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Autospacing="0" w:afterAutospacing="0"/>
        <w:jc w:val="both"/>
        <w:outlineLvl w:val="1"/>
        <w:rPr>
          <w:rFonts w:ascii="宋体" w:hAnsi="宋体" w:eastAsia="宋体" w:cs="宋体"/>
          <w:b/>
          <w:bCs/>
          <w:spacing w:val="5"/>
          <w:sz w:val="28"/>
          <w:szCs w:val="28"/>
        </w:rPr>
      </w:pPr>
      <w:r>
        <w:rPr>
          <w:sz w:val="28"/>
        </w:rPr>
        <mc:AlternateContent>
          <mc:Choice Requires="wps">
            <w:drawing>
              <wp:anchor distT="0" distB="0" distL="114300" distR="114300" simplePos="0" relativeHeight="251661312" behindDoc="0" locked="0" layoutInCell="1" allowOverlap="1">
                <wp:simplePos x="0" y="0"/>
                <wp:positionH relativeFrom="column">
                  <wp:posOffset>-481965</wp:posOffset>
                </wp:positionH>
                <wp:positionV relativeFrom="paragraph">
                  <wp:posOffset>709930</wp:posOffset>
                </wp:positionV>
                <wp:extent cx="552450" cy="686435"/>
                <wp:effectExtent l="0" t="0" r="0" b="18415"/>
                <wp:wrapNone/>
                <wp:docPr id="4" name="文本框 4"/>
                <wp:cNvGraphicFramePr/>
                <a:graphic xmlns:a="http://schemas.openxmlformats.org/drawingml/2006/main">
                  <a:graphicData uri="http://schemas.microsoft.com/office/word/2010/wordprocessingShape">
                    <wps:wsp>
                      <wps:cNvSpPr txBox="true"/>
                      <wps:spPr>
                        <a:xfrm>
                          <a:off x="383540" y="5545455"/>
                          <a:ext cx="552450" cy="686435"/>
                        </a:xfrm>
                        <a:prstGeom prst="rect">
                          <a:avLst/>
                        </a:prstGeom>
                        <a:solidFill>
                          <a:srgbClr val="FFFFFF"/>
                        </a:solidFill>
                        <a:ln w="6350">
                          <a:noFill/>
                        </a:ln>
                        <a:effectLst/>
                      </wps:spPr>
                      <wps:txbx>
                        <w:txbxContent>
                          <w:p>
                            <w:pP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p>
                        </w:txbxContent>
                      </wps:txbx>
                      <wps:bodyPr rot="0" spcFirstLastPara="0" vertOverflow="overflow" horzOverflow="overflow" vert="eaVert"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37.95pt;margin-top:55.9pt;height:54.05pt;width:43.5pt;z-index:251661312;mso-width-relative:page;mso-height-relative:page;" fillcolor="#FFFFFF" filled="t" stroked="f" coordsize="21600,21600" o:gfxdata="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WAAAAZHJzL1BLAQIUABQAAAAIAIdO&#10;4kCKe2Zc1wAAAAoBAAAPAAAAAAAAAAEAIAAAADgAAABkcnMvZG93bnJldi54bWxQSwECFAAUAAAA&#10;CACHTuJAl0r+T0sCAABtBAAADgAAAAAAAAABACAAAAA8AQAAZHJzL2Uyb0RvYy54bWxQSwUGAAAA&#10;AAYABgBZAQAA+QUAAAAA&#10;">
                <v:fill on="t" focussize="0,0"/>
                <v:stroke on="f" weight="0.5pt"/>
                <v:imagedata o:title=""/>
                <o:lock v:ext="edit" aspectratio="f"/>
                <v:textbox style="layout-flow:vertical-ideographic;">
                  <w:txbxContent>
                    <w:p>
                      <w:pP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p>
                  </w:txbxContent>
                </v:textbox>
              </v:shape>
            </w:pict>
          </mc:Fallback>
        </mc:AlternateContent>
      </w:r>
      <w:bookmarkStart w:id="0" w:name="_Toc31591"/>
      <w:r>
        <w:rPr>
          <w:sz w:val="28"/>
        </w:rPr>
        <mc:AlternateContent>
          <mc:Choice Requires="wps">
            <w:drawing>
              <wp:anchor distT="0" distB="0" distL="114300" distR="114300" simplePos="0" relativeHeight="251662336" behindDoc="0" locked="0" layoutInCell="1" allowOverlap="1">
                <wp:simplePos x="0" y="0"/>
                <wp:positionH relativeFrom="column">
                  <wp:posOffset>-502285</wp:posOffset>
                </wp:positionH>
                <wp:positionV relativeFrom="paragraph">
                  <wp:posOffset>-55245</wp:posOffset>
                </wp:positionV>
                <wp:extent cx="495300" cy="676275"/>
                <wp:effectExtent l="0" t="0" r="0" b="9525"/>
                <wp:wrapNone/>
                <wp:docPr id="5" name="文本框 5"/>
                <wp:cNvGraphicFramePr/>
                <a:graphic xmlns:a="http://schemas.openxmlformats.org/drawingml/2006/main">
                  <a:graphicData uri="http://schemas.microsoft.com/office/word/2010/wordprocessingShape">
                    <wps:wsp>
                      <wps:cNvSpPr txBox="true"/>
                      <wps:spPr>
                        <a:xfrm>
                          <a:off x="412115" y="1087755"/>
                          <a:ext cx="495300" cy="676275"/>
                        </a:xfrm>
                        <a:prstGeom prst="rect">
                          <a:avLst/>
                        </a:prstGeom>
                        <a:solidFill>
                          <a:srgbClr val="FFFFFF"/>
                        </a:solidFill>
                        <a:ln w="6350">
                          <a:noFill/>
                        </a:ln>
                        <a:effectLst/>
                      </wps:spPr>
                      <wps:txbx>
                        <w:txbxContent>
                          <w:p>
                            <w:pP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p>
                          <w:p/>
                        </w:txbxContent>
                      </wps:txbx>
                      <wps:bodyPr rot="0" spcFirstLastPara="0" vertOverflow="overflow" horzOverflow="overflow" vert="eaVert"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39.55pt;margin-top:-4.35pt;height:53.25pt;width:39pt;z-index:251662336;mso-width-relative:page;mso-height-relative:page;" fillcolor="#FFFFFF" filled="t" stroked="f" coordsize="21600,21600" o:gfxdata="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WAAAAZHJzL1BLAQIUABQAAAAIAIdO&#10;4kAE+XMM1AAAAAgBAAAPAAAAAAAAAAEAIAAAADgAAABkcnMvZG93bnJldi54bWxQSwECFAAUAAAA&#10;CACHTuJAFu2Mt04CAABtBAAADgAAAAAAAAABACAAAAA5AQAAZHJzL2Uyb0RvYy54bWxQSwUGAAAA&#10;AAYABgBZAQAA+QUAAAAA&#10;">
                <v:fill on="t" focussize="0,0"/>
                <v:stroke on="f" weight="0.5pt"/>
                <v:imagedata o:title=""/>
                <o:lock v:ext="edit" aspectratio="f"/>
                <v:textbox style="layout-flow:vertical-ideographic;">
                  <w:txbxContent>
                    <w:p>
                      <w:pP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p>
                    <w:p/>
                  </w:txbxContent>
                </v:textbox>
              </v:shape>
            </w:pict>
          </mc:Fallback>
        </mc:AlternateContent>
      </w:r>
      <w:r>
        <w:rPr>
          <w:rFonts w:hint="eastAsia" w:ascii="宋体" w:hAnsi="宋体" w:eastAsia="宋体" w:cs="宋体"/>
          <w:b/>
          <w:bCs/>
          <w:spacing w:val="5"/>
          <w:sz w:val="28"/>
          <w:szCs w:val="28"/>
        </w:rPr>
        <w:t>附件3</w:t>
      </w:r>
      <w:bookmarkEnd w:id="0"/>
      <w:r>
        <w:rPr>
          <w:rFonts w:hint="eastAsia" w:ascii="宋体" w:hAnsi="宋体" w:eastAsia="宋体" w:cs="宋体"/>
          <w:b/>
          <w:bCs/>
          <w:spacing w:val="5"/>
          <w:sz w:val="28"/>
          <w:szCs w:val="28"/>
          <w:lang w:eastAsia="zh-CN"/>
        </w:rPr>
        <w:t>：</w:t>
      </w:r>
      <w:bookmarkStart w:id="1" w:name="_Toc31878"/>
      <w:bookmarkStart w:id="2" w:name="_GoBack"/>
      <w:r>
        <w:rPr>
          <w:rFonts w:hint="eastAsia" w:ascii="宋体" w:hAnsi="宋体" w:eastAsia="宋体" w:cs="宋体"/>
          <w:b/>
          <w:bCs/>
          <w:spacing w:val="5"/>
          <w:sz w:val="28"/>
          <w:szCs w:val="28"/>
        </w:rPr>
        <w:t>壶关县突发公共卫生事件应急工作指挥部成员单位工作职责</w:t>
      </w:r>
      <w:bookmarkEnd w:id="1"/>
    </w:p>
    <w:bookmarkEnd w:id="2"/>
    <w:p>
      <w:pPr>
        <w:rPr>
          <w:rFonts w:hint="eastAsia" w:ascii="宋体" w:hAnsi="宋体" w:eastAsia="宋体" w:cs="宋体"/>
          <w:b/>
          <w:bCs/>
          <w:spacing w:val="5"/>
          <w:sz w:val="28"/>
          <w:szCs w:val="28"/>
          <w:lang w:eastAsia="zh-CN"/>
        </w:rPr>
      </w:pPr>
    </w:p>
    <w:tbl>
      <w:tblPr>
        <w:tblStyle w:val="10"/>
        <w:tblpPr w:leftFromText="180" w:rightFromText="180" w:vertAnchor="text" w:horzAnchor="page" w:tblpX="1418" w:tblpY="578"/>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81"/>
        <w:gridCol w:w="72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pStyle w:val="16"/>
              <w:spacing w:line="240" w:lineRule="auto"/>
              <w:ind w:firstLine="0"/>
              <w:jc w:val="center"/>
              <w:rPr>
                <w:rFonts w:ascii="仿宋_GB2312" w:hAnsi="仿宋_GB2312" w:eastAsia="仿宋_GB2312" w:cs="仿宋_GB2312"/>
                <w:b/>
                <w:bCs/>
                <w:color w:val="000000"/>
                <w:lang w:eastAsia="zh-CN"/>
              </w:rPr>
            </w:pPr>
            <w: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828800" cy="1828800"/>
                      <wp:effectExtent l="4445" t="4445" r="14605" b="14605"/>
                      <wp:wrapSquare wrapText="bothSides"/>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solidFill>
                                <a:srgbClr val="FFFFFF"/>
                              </a:solidFill>
                              <a:ln w="6350">
                                <a:solidFill>
                                  <a:prstClr val="black"/>
                                </a:solidFill>
                              </a:ln>
                              <a:effectLst/>
                            </wps:spPr>
                            <wps:txbx>
                              <w:txbxContent>
                                <w:p/>
                              </w:txbxContent>
                            </wps:txbx>
                            <wps:bodyPr rot="0" spcFirstLastPara="0" vertOverflow="overflow" horzOverflow="overflow" vert="horz" wrap="none" lIns="91440" tIns="45720" rIns="91440" bIns="4572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left:0pt;margin-top:0pt;height:144pt;width:144pt;mso-wrap-distance-bottom:0pt;mso-wrap-distance-left:9pt;mso-wrap-distance-right:9pt;mso-wrap-distance-top:0pt;mso-wrap-style:none;z-index:251663360;mso-width-relative:page;mso-height-relative:page;" fillcolor="#FFFFFF" filled="t" stroked="t" coordsize="21600,21600" o:gfxdata="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WAAAAZHJzL1BLAQIUABQAAAAIAIdO4kCbKke9zwAAAAUBAAAP&#10;AAAAAAAAAAEAIAAAADgAAABkcnMvZG93bnJldi54bWxQSwECFAAUAAAACACHTuJAo+m9SkQCAACI&#10;BAAADgAAAAAAAAABACAAAAA0AQAAZHJzL2Uyb0RvYy54bWxQSwUGAAAAAAYABgBZAQAA6gUAAAAA&#10;">
                      <v:fill on="t" focussize="0,0"/>
                      <v:stroke weight="0.5pt" color="#000000" joinstyle="round"/>
                      <v:imagedata o:title=""/>
                      <o:lock v:ext="edit" aspectratio="f"/>
                      <v:textbox style="mso-fit-shape-to-text:t;">
                        <w:txbxContent>
                          <w:p/>
                        </w:txbxContent>
                      </v:textbox>
                      <w10:wrap type="square"/>
                    </v:shape>
                  </w:pict>
                </mc:Fallback>
              </mc:AlternateContent>
            </w:r>
            <w:r>
              <w:rPr>
                <w:rFonts w:hint="eastAsia" w:ascii="仿宋_GB2312" w:hAnsi="仿宋_GB2312" w:eastAsia="仿宋_GB2312" w:cs="仿宋_GB2312"/>
                <w:b/>
                <w:bCs/>
                <w:color w:val="000000"/>
                <w:lang w:val="en-US" w:eastAsia="zh-CN"/>
              </w:rPr>
              <w:t>指挥部</w:t>
            </w:r>
            <w:r>
              <w:rPr>
                <w:rFonts w:hint="eastAsia" w:ascii="仿宋_GB2312" w:hAnsi="仿宋_GB2312" w:eastAsia="仿宋_GB2312" w:cs="仿宋_GB2312"/>
                <w:b/>
                <w:bCs/>
                <w:color w:val="000000"/>
              </w:rPr>
              <w:t>成员单位</w:t>
            </w:r>
          </w:p>
        </w:tc>
        <w:tc>
          <w:tcPr>
            <w:tcW w:w="11318" w:type="dxa"/>
            <w:tcBorders>
              <w:tl2br w:val="nil"/>
              <w:tr2bl w:val="nil"/>
            </w:tcBorders>
            <w:vAlign w:val="center"/>
          </w:tcPr>
          <w:p>
            <w:pPr>
              <w:pStyle w:val="16"/>
              <w:spacing w:line="240" w:lineRule="auto"/>
              <w:ind w:firstLine="0"/>
              <w:jc w:val="center"/>
              <w:rPr>
                <w:rFonts w:ascii="仿宋_GB2312" w:hAnsi="仿宋_GB2312" w:eastAsia="仿宋_GB2312" w:cs="仿宋_GB2312"/>
                <w:b/>
                <w:bCs/>
                <w:color w:val="000000"/>
              </w:rPr>
            </w:pPr>
            <w:r>
              <w:rPr>
                <w:rFonts w:hint="eastAsia" w:ascii="仿宋_GB2312" w:hAnsi="仿宋_GB2312" w:eastAsia="仿宋_GB2312" w:cs="仿宋_GB2312"/>
                <w:b/>
                <w:bCs/>
                <w:color w:val="000000"/>
              </w:rPr>
              <w:t>工 作 职 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县委宣传部</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rPr>
            </w:pPr>
            <w:r>
              <w:rPr>
                <w:rFonts w:hint="eastAsia" w:ascii="仿宋_GB2312" w:hAnsi="仿宋_GB2312" w:eastAsia="仿宋_GB2312" w:cs="仿宋_GB2312"/>
                <w:sz w:val="28"/>
                <w:szCs w:val="28"/>
              </w:rPr>
              <w:t>根据县指挥部的统一部署，组织协调新闻媒体开展应急新闻报道，积极引导舆论。负责指导各有关部门主动开展自身工作领域的舆情监测工作，指导涉事地方部门及时正面发声、回应网民关切、引导网上舆论。组织各新闻网站推送县指挥部及有关部门授权发布的突发公共卫生事件信息、应急处置宣传报道和防病知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县委统战部</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负责组织协调参加进出境朝觐活动的相关人士的健康监测及管理，配合开展相关病例、疑似病例和密切接触者的联络、追踪、管理，互通和会商研判相关信息</w:t>
            </w:r>
            <w:r>
              <w:rPr>
                <w:rFonts w:hint="eastAsia" w:ascii="仿宋_GB2312" w:hAnsi="仿宋_GB2312" w:eastAsia="仿宋_GB2312" w:cs="仿宋_GB2312"/>
                <w:sz w:val="28"/>
                <w:szCs w:val="2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kern w:val="0"/>
                <w:sz w:val="28"/>
                <w:szCs w:val="28"/>
              </w:rPr>
              <w:t>县发展改革和科学技术局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执行县委、县政府下达的动用重要物资和应急储备物资命令</w:t>
            </w:r>
            <w:r>
              <w:rPr>
                <w:rFonts w:hint="eastAsia" w:ascii="仿宋_GB2312" w:hAnsi="仿宋_GB2312" w:eastAsia="仿宋_GB2312" w:cs="仿宋_GB2312"/>
                <w:sz w:val="28"/>
                <w:szCs w:val="2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kern w:val="0"/>
                <w:sz w:val="28"/>
                <w:szCs w:val="28"/>
              </w:rPr>
              <w:t>县教育局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负责督促学校落实防控工作主体责任，强化宣传教育；在传染病疫情等突发公共卫生事件发生时，督促学校在各级疾病预防控制机构的指导下做好紧急应对及处置工作，互通和会商研判相关信息。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kern w:val="0"/>
                <w:sz w:val="28"/>
                <w:szCs w:val="28"/>
              </w:rPr>
              <w:t>县工信局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组织做好参加经贸活动人员的宣传、登记、健康观察工作，防止突发公共卫生事件在外经贸活动期间跨地区传播扩散。互通和会商研判相关信息。负责组织科研力量开展应急防治技术科研攻关，协调解决检验技术/药物/疫苗研发和应用中的科技问题。负责县级医药物资储备应急调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kern w:val="0"/>
                <w:sz w:val="28"/>
                <w:szCs w:val="28"/>
              </w:rPr>
              <w:t>县公安局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负责密切关注突发公共卫生事件有关社会动态，依法、及时、妥善处置各类相关治安事件，严厉打击相关违法犯罪活动，维护社会治安秩序；与卫体部门共同开展流行病学调查，协助卫体部门依法实施强制隔离措施，必要时协助进行密切接触者追踪；做好交通疏导，保障突发公共卫生事件应急处置车辆通行</w:t>
            </w:r>
            <w:r>
              <w:rPr>
                <w:rFonts w:hint="eastAsia" w:ascii="仿宋_GB2312" w:hAnsi="仿宋_GB2312" w:eastAsia="仿宋_GB2312" w:cs="仿宋_GB2312"/>
                <w:sz w:val="28"/>
                <w:szCs w:val="2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kern w:val="0"/>
                <w:sz w:val="28"/>
                <w:szCs w:val="28"/>
              </w:rPr>
              <w:t>县民政局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按照国家有关政策规定负责突发公共卫生事件死亡人员遗体火化工作。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sz w:val="28"/>
                <w:szCs w:val="28"/>
              </w:rPr>
            </w:pPr>
            <w:r>
              <w:rPr>
                <w:sz w:val="28"/>
              </w:rPr>
              <mc:AlternateContent>
                <mc:Choice Requires="wps">
                  <w:drawing>
                    <wp:anchor distT="0" distB="0" distL="114300" distR="114300" simplePos="0" relativeHeight="251664384" behindDoc="0" locked="0" layoutInCell="1" allowOverlap="1">
                      <wp:simplePos x="0" y="0"/>
                      <wp:positionH relativeFrom="column">
                        <wp:posOffset>-668655</wp:posOffset>
                      </wp:positionH>
                      <wp:positionV relativeFrom="paragraph">
                        <wp:posOffset>135255</wp:posOffset>
                      </wp:positionV>
                      <wp:extent cx="581025" cy="1095375"/>
                      <wp:effectExtent l="0" t="0" r="9525" b="9525"/>
                      <wp:wrapNone/>
                      <wp:docPr id="8" name="文本框 8"/>
                      <wp:cNvGraphicFramePr/>
                      <a:graphic xmlns:a="http://schemas.openxmlformats.org/drawingml/2006/main">
                        <a:graphicData uri="http://schemas.microsoft.com/office/word/2010/wordprocessingShape">
                          <wps:wsp>
                            <wps:cNvSpPr txBox="true"/>
                            <wps:spPr>
                              <a:xfrm>
                                <a:off x="231140" y="5774055"/>
                                <a:ext cx="581025" cy="1095375"/>
                              </a:xfrm>
                              <a:prstGeom prst="rect">
                                <a:avLst/>
                              </a:prstGeom>
                              <a:solidFill>
                                <a:srgbClr val="FFFFFF"/>
                              </a:solidFill>
                              <a:ln w="6350">
                                <a:noFill/>
                              </a:ln>
                              <a:effectLst/>
                            </wps:spPr>
                            <wps:txbx>
                              <w:txbxContent>
                                <w:p>
                                  <w:pP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p>
                                <w:p/>
                              </w:txbxContent>
                            </wps:txbx>
                            <wps:bodyPr rot="0" spcFirstLastPara="0" vertOverflow="overflow" horzOverflow="overflow" vert="eaVert"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52.65pt;margin-top:10.65pt;height:86.25pt;width:45.75pt;z-index:251664384;mso-width-relative:page;mso-height-relative:page;" fillcolor="#FFFFFF" filled="t" stroked="f" coordsize="21600,21600" o:gfxdata="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WAAAAZHJzL1BLAQIUABQA&#10;AAAIAIdO4kD/WB/X2AAAAAsBAAAPAAAAAAAAAAEAIAAAADgAAABkcnMvZG93bnJldi54bWxQSwEC&#10;FAAUAAAACACHTuJAlw0UO1ACAABuBAAADgAAAAAAAAABACAAAAA9AQAAZHJzL2Uyb0RvYy54bWxQ&#10;SwUGAAAAAAYABgBZAQAA/wUAAAAA&#10;">
                      <v:fill on="t" focussize="0,0"/>
                      <v:stroke on="f" weight="0.5pt"/>
                      <v:imagedata o:title=""/>
                      <o:lock v:ext="edit" aspectratio="f"/>
                      <v:textbox style="layout-flow:vertical-ideographic;">
                        <w:txbxContent>
                          <w:p>
                            <w:pPr>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p>
                          <w:p/>
                        </w:txbxContent>
                      </v:textbox>
                    </v:shape>
                  </w:pict>
                </mc:Fallback>
              </mc:AlternateContent>
            </w:r>
            <w:r>
              <w:rPr>
                <w:rFonts w:hint="eastAsia" w:ascii="仿宋_GB2312" w:hAnsi="仿宋_GB2312" w:eastAsia="仿宋_GB2312" w:cs="仿宋_GB2312"/>
                <w:b/>
                <w:bCs/>
                <w:kern w:val="0"/>
                <w:sz w:val="28"/>
                <w:szCs w:val="28"/>
              </w:rPr>
              <w:t>县司法局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负责组织协调监狱、戒毒场所和所属院校突发公共卫生事件的预防和处置。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kern w:val="0"/>
                <w:sz w:val="28"/>
                <w:szCs w:val="28"/>
              </w:rPr>
              <w:t>县财政局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负责安排突发公共卫生事件处置所需经费，加强对经费的监督管理。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sz w:val="28"/>
                <w:szCs w:val="28"/>
              </w:rPr>
            </w:pPr>
            <w:r>
              <w:rPr>
                <w:sz w:val="28"/>
              </w:rPr>
              <mc:AlternateContent>
                <mc:Choice Requires="wps">
                  <w:drawing>
                    <wp:anchor distT="0" distB="0" distL="114300" distR="114300" simplePos="0" relativeHeight="251665408" behindDoc="0" locked="0" layoutInCell="1" allowOverlap="1">
                      <wp:simplePos x="0" y="0"/>
                      <wp:positionH relativeFrom="column">
                        <wp:posOffset>-527050</wp:posOffset>
                      </wp:positionH>
                      <wp:positionV relativeFrom="paragraph">
                        <wp:posOffset>-308610</wp:posOffset>
                      </wp:positionV>
                      <wp:extent cx="410845" cy="810260"/>
                      <wp:effectExtent l="0" t="0" r="8255" b="8890"/>
                      <wp:wrapNone/>
                      <wp:docPr id="9" name="文本框 9"/>
                      <wp:cNvGraphicFramePr/>
                      <a:graphic xmlns:a="http://schemas.openxmlformats.org/drawingml/2006/main">
                        <a:graphicData uri="http://schemas.microsoft.com/office/word/2010/wordprocessingShape">
                          <wps:wsp>
                            <wps:cNvSpPr txBox="true"/>
                            <wps:spPr>
                              <a:xfrm>
                                <a:off x="335915" y="1205865"/>
                                <a:ext cx="410845" cy="810260"/>
                              </a:xfrm>
                              <a:prstGeom prst="rect">
                                <a:avLst/>
                              </a:prstGeom>
                              <a:solidFill>
                                <a:srgbClr val="FFFFFF"/>
                              </a:solidFill>
                              <a:ln w="6350">
                                <a:noFill/>
                              </a:ln>
                              <a:effectLst/>
                            </wps:spPr>
                            <wps:txbx>
                              <w:txbxContent>
                                <w:p>
                                  <w:pPr>
                                    <w:spacing w:line="2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p>
                                <w:p/>
                              </w:txbxContent>
                            </wps:txbx>
                            <wps:bodyPr rot="0" spcFirstLastPara="0" vertOverflow="overflow" horzOverflow="overflow" vert="eaVert"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41.5pt;margin-top:-24.3pt;height:63.8pt;width:32.35pt;z-index:251665408;mso-width-relative:page;mso-height-relative:page;" fillcolor="#FFFFFF" filled="t" stroked="f" coordsize="21600,21600" o:gfxdata="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WAAAAZHJzL1BLAQIUABQA&#10;AAAIAIdO4kAu7HMP2QAAAAoBAAAPAAAAAAAAAAEAIAAAADgAAABkcnMvZG93bnJldi54bWxQSwEC&#10;FAAUAAAACACHTuJA0RRwFE8CAABtBAAADgAAAAAAAAABACAAAAA+AQAAZHJzL2Uyb0RvYy54bWxQ&#10;SwUGAAAAAAYABgBZAQAA/wUAAAAA&#10;">
                      <v:fill on="t" focussize="0,0"/>
                      <v:stroke on="f" weight="0.5pt"/>
                      <v:imagedata o:title=""/>
                      <o:lock v:ext="edit" aspectratio="f"/>
                      <v:textbox style="layout-flow:vertical-ideographic;">
                        <w:txbxContent>
                          <w:p>
                            <w:pPr>
                              <w:spacing w:line="26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p>
                          <w:p/>
                        </w:txbxContent>
                      </v:textbox>
                    </v:shape>
                  </w:pict>
                </mc:Fallback>
              </mc:AlternateContent>
            </w:r>
            <w:r>
              <w:rPr>
                <w:rFonts w:hint="eastAsia" w:ascii="仿宋_GB2312" w:hAnsi="仿宋_GB2312" w:eastAsia="仿宋_GB2312" w:cs="仿宋_GB2312"/>
                <w:b/>
                <w:bCs/>
                <w:kern w:val="0"/>
                <w:sz w:val="28"/>
                <w:szCs w:val="28"/>
              </w:rPr>
              <w:t>县人社局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指导相关单位按照《工伤保险条例》及《山西省实施工伤保险条例办法》规定，落实因参与突发公共卫生事件应 急处置工作中受到伤害，被认定为工伤（或视同工伤）人员的工伤保险待遇。指导有关单位按照人社部、财政部规定，对直接参与传染病类突发公共卫生事件的一线工作人员计发传染病疫情防治人员临时性工作补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县规划和自然资源局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负责组织开展陆生野生动物疫源疫病的监测和管理工作；会同有关部门落实陆生野生动物疫情防控措施。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生态环境局壶关分局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负责对突发公共卫生事件引发的次生环境污染进行监测及应急处置。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县交通局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负责协助开展乘坐交通工具人员的交通检疫、查验工作，防止传染病通过交通工具传播；组织协调疫区公路、水路及航空运输运力保障工作，确保突发公共卫生事件应急处置人员、药品、器械、物资及有关标本的运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县农业农村局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负责与突发公共卫生事件相关的家畜家禽人畜共患传染病的预防、控制、扑灭工作。开展与人密切接触的家畜家禽感染人畜共患传染病的监测和管理工作；协助开展初级农产品（种植业产品和畜禽产品）生产环节质量安全引发的突发公共卫生事件的应急处置工作。互通和会商研判相关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县文旅局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负责督促指导旅行社做好团队游客的健康宣传和安全管理等工作，防止突发公共卫生事件在旅游团队中发生和跨地区传播扩散。互通和会商研判相关信息。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县卫体局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承担县指挥部办公室日常工作职责，牵头联络县联防联控工作机制。负责组织建设和日常管理突发公共卫生事件专家咨询委员会、卫生应急队伍。督导实施突发公共卫生事件及相关信息的监测、评估、报告。组织认定突发公共卫生事件，提出应急响应建议。报送和发布突发公共卫生事件信息、处置信息和健康宣教信息。互通和会商研判相关信息。组织制定、督导执行诊疗和防控方案。组派或协调医疗救治和疾病防控专家、卫生应急队伍等力量，参与和指导处置。组织实施相关病例采样检测、会诊排查、转运救治及相关人员医学观察。提报医药和物资应急储备需求及调拨计划、应急处置经费预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县应急局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b/>
                <w:bCs/>
                <w:kern w:val="0"/>
                <w:sz w:val="28"/>
                <w:szCs w:val="28"/>
              </w:rPr>
            </w:pPr>
            <w:r>
              <w:rPr>
                <w:rFonts w:hint="eastAsia" w:ascii="仿宋_GB2312" w:hAnsi="仿宋_GB2312" w:eastAsia="仿宋_GB2312" w:cs="仿宋_GB2312"/>
                <w:kern w:val="0"/>
                <w:sz w:val="28"/>
                <w:szCs w:val="28"/>
              </w:rPr>
              <w:t>负责组织协调全县应急救援自然灾害、安全生产类应急救援力量，配合做好突发公共卫生事件应急处置工作。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p>
          <w:p>
            <w:pPr>
              <w:spacing w:line="500" w:lineRule="exact"/>
              <w:jc w:val="center"/>
              <w:rPr>
                <w:rFonts w:ascii="仿宋_GB2312" w:hAnsi="仿宋_GB2312" w:eastAsia="仿宋_GB2312" w:cs="仿宋_GB2312"/>
                <w:b/>
                <w:bCs/>
                <w:kern w:val="0"/>
                <w:sz w:val="28"/>
                <w:szCs w:val="28"/>
              </w:rPr>
            </w:pPr>
          </w:p>
          <w:p>
            <w:pPr>
              <w:spacing w:line="500" w:lineRule="exact"/>
              <w:jc w:val="center"/>
              <w:rPr>
                <w:rFonts w:ascii="仿宋_GB2312" w:hAnsi="仿宋_GB2312" w:eastAsia="仿宋_GB2312" w:cs="仿宋_GB2312"/>
                <w:b/>
                <w:bCs/>
                <w:kern w:val="0"/>
                <w:sz w:val="28"/>
                <w:szCs w:val="28"/>
              </w:rPr>
            </w:pPr>
            <w:r>
              <w:rPr>
                <w:sz w:val="28"/>
              </w:rPr>
              <mc:AlternateContent>
                <mc:Choice Requires="wps">
                  <w:drawing>
                    <wp:anchor distT="0" distB="0" distL="114300" distR="114300" simplePos="0" relativeHeight="251666432" behindDoc="0" locked="0" layoutInCell="1" allowOverlap="1">
                      <wp:simplePos x="0" y="0"/>
                      <wp:positionH relativeFrom="column">
                        <wp:posOffset>-554355</wp:posOffset>
                      </wp:positionH>
                      <wp:positionV relativeFrom="paragraph">
                        <wp:posOffset>101600</wp:posOffset>
                      </wp:positionV>
                      <wp:extent cx="428625" cy="685800"/>
                      <wp:effectExtent l="0" t="0" r="9525" b="0"/>
                      <wp:wrapNone/>
                      <wp:docPr id="10" name="文本框 10"/>
                      <wp:cNvGraphicFramePr/>
                      <a:graphic xmlns:a="http://schemas.openxmlformats.org/drawingml/2006/main">
                        <a:graphicData uri="http://schemas.microsoft.com/office/word/2010/wordprocessingShape">
                          <wps:wsp>
                            <wps:cNvSpPr txBox="true"/>
                            <wps:spPr>
                              <a:xfrm>
                                <a:off x="335915" y="5086350"/>
                                <a:ext cx="428625" cy="685800"/>
                              </a:xfrm>
                              <a:prstGeom prst="rect">
                                <a:avLst/>
                              </a:prstGeom>
                              <a:solidFill>
                                <a:srgbClr val="FFFFFF"/>
                              </a:solidFill>
                              <a:ln w="6350">
                                <a:noFill/>
                              </a:ln>
                              <a:effectLst/>
                            </wps:spPr>
                            <wps:txbx>
                              <w:txbxContent>
                                <w:p>
                                  <w:pPr>
                                    <w:spacing w:line="30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p>
                                <w:p/>
                              </w:txbxContent>
                            </wps:txbx>
                            <wps:bodyPr rot="0" spcFirstLastPara="0" vertOverflow="overflow" horzOverflow="overflow" vert="eaVert"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43.65pt;margin-top:8pt;height:54pt;width:33.75pt;z-index:251666432;mso-width-relative:page;mso-height-relative:page;" fillcolor="#FFFFFF" filled="t" stroked="f" coordsize="21600,21600" o:gfxdata="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BYAAABkcnMvUEsBAhQAFAAAAAgA&#10;h07iQOPJkP/XAAAACgEAAA8AAAAAAAAAAQAgAAAAOAAAAGRycy9kb3ducmV2LnhtbFBLAQIUABQA&#10;AAAIAIdO4kBRxiLzTQIAAG8EAAAOAAAAAAAAAAEAIAAAADwBAABkcnMvZTJvRG9jLnhtbFBLBQYA&#10;AAAABgAGAFkBAAD7BQAAAAA=&#10;">
                      <v:fill on="t" focussize="0,0"/>
                      <v:stroke on="f" weight="0.5pt"/>
                      <v:imagedata o:title=""/>
                      <o:lock v:ext="edit" aspectratio="f"/>
                      <v:textbox style="layout-flow:vertical-ideographic;">
                        <w:txbxContent>
                          <w:p>
                            <w:pPr>
                              <w:spacing w:line="30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p>
                          <w:p/>
                        </w:txbxContent>
                      </v:textbox>
                    </v:shape>
                  </w:pict>
                </mc:Fallback>
              </mc:AlternateContent>
            </w:r>
            <w:r>
              <w:rPr>
                <w:rFonts w:hint="eastAsia" w:ascii="仿宋_GB2312" w:hAnsi="仿宋_GB2312" w:eastAsia="仿宋_GB2312" w:cs="仿宋_GB2312"/>
                <w:b/>
                <w:bCs/>
                <w:kern w:val="0"/>
                <w:sz w:val="28"/>
                <w:szCs w:val="28"/>
              </w:rPr>
              <w:t>县市场监管局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负责对突发公共卫生事件相关产品的市场监管工作，维护市场秩序；根据需要，对导致突发公共卫生事件发生的经营行为采取临时管理措施；负责较大食物中毒事件的综合协调处置；做好生产加工、流通、消费环节食物中毒较大等突发公共卫生事件的应急处置工作；互通和会商研判相关信息。负责对药品、疫苗等相关突发公共卫生事件的处置，及相关药械的监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r>
              <w:rPr>
                <w:sz w:val="28"/>
              </w:rPr>
              <mc:AlternateContent>
                <mc:Choice Requires="wps">
                  <w:drawing>
                    <wp:anchor distT="0" distB="0" distL="114300" distR="114300" simplePos="0" relativeHeight="251667456" behindDoc="0" locked="0" layoutInCell="1" allowOverlap="1">
                      <wp:simplePos x="0" y="0"/>
                      <wp:positionH relativeFrom="column">
                        <wp:posOffset>-534670</wp:posOffset>
                      </wp:positionH>
                      <wp:positionV relativeFrom="paragraph">
                        <wp:posOffset>-323215</wp:posOffset>
                      </wp:positionV>
                      <wp:extent cx="399415" cy="695325"/>
                      <wp:effectExtent l="0" t="0" r="635" b="9525"/>
                      <wp:wrapNone/>
                      <wp:docPr id="11" name="文本框 11"/>
                      <wp:cNvGraphicFramePr/>
                      <a:graphic xmlns:a="http://schemas.openxmlformats.org/drawingml/2006/main">
                        <a:graphicData uri="http://schemas.microsoft.com/office/word/2010/wordprocessingShape">
                          <wps:wsp>
                            <wps:cNvSpPr txBox="true"/>
                            <wps:spPr>
                              <a:xfrm>
                                <a:off x="450215" y="1156335"/>
                                <a:ext cx="399415" cy="695325"/>
                              </a:xfrm>
                              <a:prstGeom prst="rect">
                                <a:avLst/>
                              </a:prstGeom>
                              <a:solidFill>
                                <a:srgbClr val="FFFFFF"/>
                              </a:solidFill>
                              <a:ln w="6350">
                                <a:noFill/>
                              </a:ln>
                              <a:effectLst/>
                            </wps:spPr>
                            <wps:txbx>
                              <w:txbxContent>
                                <w:p>
                                  <w:pPr>
                                    <w:spacing w:line="30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p>
                                <w:p/>
                              </w:txbxContent>
                            </wps:txbx>
                            <wps:bodyPr rot="0" spcFirstLastPara="0" vertOverflow="overflow" horzOverflow="overflow" vert="eaVert"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42.1pt;margin-top:-25.45pt;height:54.75pt;width:31.45pt;z-index:251667456;mso-width-relative:page;mso-height-relative:page;" fillcolor="#FFFFFF" filled="t" stroked="f" coordsize="21600,21600" o:gfxdata="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FgAAAGRycy9QSwECFAAUAAAA&#10;CACHTuJAJfNw/9kAAAAKAQAADwAAAAAAAAABACAAAAA4AAAAZHJzL2Rvd25yZXYueG1sUEsBAhQA&#10;FAAAAAgAh07iQESuBPVNAgAAbwQAAA4AAAAAAAAAAQAgAAAAPgEAAGRycy9lMm9Eb2MueG1sUEsF&#10;BgAAAAAGAAYAWQEAAP0FAAAAAA==&#10;">
                      <v:fill on="t" focussize="0,0"/>
                      <v:stroke on="f" weight="0.5pt"/>
                      <v:imagedata o:title=""/>
                      <o:lock v:ext="edit" aspectratio="f"/>
                      <v:textbox style="layout-flow:vertical-ideographic;">
                        <w:txbxContent>
                          <w:p>
                            <w:pPr>
                              <w:spacing w:line="300" w:lineRule="exac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p>
                          <w:p/>
                        </w:txbxContent>
                      </v:textbox>
                    </v:shape>
                  </w:pict>
                </mc:Fallback>
              </mc:AlternateContent>
            </w:r>
            <w:r>
              <w:rPr>
                <w:rFonts w:hint="eastAsia" w:ascii="仿宋_GB2312" w:hAnsi="仿宋_GB2312" w:eastAsia="仿宋_GB2312" w:cs="仿宋_GB2312"/>
                <w:b/>
                <w:bCs/>
                <w:kern w:val="0"/>
                <w:sz w:val="28"/>
                <w:szCs w:val="28"/>
              </w:rPr>
              <w:t>县医保局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负责指导实施突发公共卫生事件相关病例救治费 用的医疗保障工作；将患者救治所需的医保目录外费用，临时纳入医保支付范围；对患者救治必需的药品和医用耗材开辟绿色（备案采购）通道，确保临床使用需求。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县林业局</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组织开展野生动物相关传染病的监测和基础调查，发现异常情况及时报告，协助有关部门采样检验。在突发公共卫生事件发生期间，快速组织隔离并组织专家分析和提出有关 野生动物活动范围和预警信息。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县红十字会</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根据突发公共卫生事件的具体情况，向社会发出紧急救助呼吁，依法接受国内外组织和个人的捐赠，并依据有关规定分配募捐款物；组织公众和志愿者服务团队开展初级卫生 救护和急需的人道主义援助。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县融媒体中心</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与县卫生健康行政主管部门建立沟通、协商机制，按照县公共卫生应急指挥部领导的要求会同县卫生健康行政主管部门组织新闻发布会或邀请新闻媒体采访，及时澄清事实，主动引导舆论。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县武装部</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负责军队系统突发公共卫生事件应急处置工作，组织协调当地驻军、民兵、预备役部队参加突发公共卫生事件应急处置工作。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2595" w:type="dxa"/>
            <w:tcBorders>
              <w:tl2br w:val="nil"/>
              <w:tr2bl w:val="nil"/>
            </w:tcBorders>
            <w:vAlign w:val="center"/>
          </w:tcPr>
          <w:p>
            <w:pPr>
              <w:spacing w:line="500" w:lineRule="exact"/>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武警中队</w:t>
            </w:r>
          </w:p>
        </w:tc>
        <w:tc>
          <w:tcPr>
            <w:tcW w:w="11318" w:type="dxa"/>
            <w:tcBorders>
              <w:tl2br w:val="nil"/>
              <w:tr2bl w:val="nil"/>
            </w:tcBorders>
            <w:vAlign w:val="center"/>
          </w:tcPr>
          <w:p>
            <w:pPr>
              <w:spacing w:line="50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负责本中队突发公共卫生事件应急处置工作，组织指挥所属部队参与突发公共卫生事件应对，配合公安机关做好事件现场的控制工作。</w:t>
            </w:r>
          </w:p>
        </w:tc>
      </w:tr>
    </w:tbl>
    <w:p>
      <w:pPr>
        <w:spacing w:line="540" w:lineRule="exact"/>
        <w:ind w:firstLine="640" w:firstLineChars="200"/>
        <w:rPr>
          <w:rFonts w:ascii="仿宋" w:hAnsi="仿宋" w:eastAsia="仿宋" w:cs="仿宋"/>
          <w:sz w:val="32"/>
          <w:szCs w:val="32"/>
        </w:rPr>
      </w:pPr>
    </w:p>
    <w:sectPr>
      <w:headerReference r:id="rId3" w:type="default"/>
      <w:footerReference r:id="rId4" w:type="default"/>
      <w:pgSz w:w="11906" w:h="16838"/>
      <w:pgMar w:top="1984" w:right="1474" w:bottom="1701" w:left="1587" w:header="851" w:footer="158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黑体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jMmIwMTY1YzMwMjYyODBkNGQyYWE4OTJkYjcwNjAifQ=="/>
  </w:docVars>
  <w:rsids>
    <w:rsidRoot w:val="007B251A"/>
    <w:rsid w:val="001B3D20"/>
    <w:rsid w:val="004306B9"/>
    <w:rsid w:val="00683852"/>
    <w:rsid w:val="007B251A"/>
    <w:rsid w:val="008A1B3F"/>
    <w:rsid w:val="00C07242"/>
    <w:rsid w:val="00DE39F1"/>
    <w:rsid w:val="00F63428"/>
    <w:rsid w:val="01D55F84"/>
    <w:rsid w:val="023B0A08"/>
    <w:rsid w:val="02605241"/>
    <w:rsid w:val="02E64D83"/>
    <w:rsid w:val="033232DE"/>
    <w:rsid w:val="03AA6042"/>
    <w:rsid w:val="03CD651D"/>
    <w:rsid w:val="04682DC1"/>
    <w:rsid w:val="05DE59E6"/>
    <w:rsid w:val="0765246D"/>
    <w:rsid w:val="0A8F7AAE"/>
    <w:rsid w:val="0C882A52"/>
    <w:rsid w:val="0FF96182"/>
    <w:rsid w:val="11A021F8"/>
    <w:rsid w:val="1255782F"/>
    <w:rsid w:val="154C4F1A"/>
    <w:rsid w:val="16983E4A"/>
    <w:rsid w:val="169C77DB"/>
    <w:rsid w:val="17076407"/>
    <w:rsid w:val="196F20E0"/>
    <w:rsid w:val="19CA1593"/>
    <w:rsid w:val="1AF8519F"/>
    <w:rsid w:val="1C715E43"/>
    <w:rsid w:val="1CAC0DA1"/>
    <w:rsid w:val="20B16D09"/>
    <w:rsid w:val="217167DD"/>
    <w:rsid w:val="21EE41F9"/>
    <w:rsid w:val="22D54299"/>
    <w:rsid w:val="24C43303"/>
    <w:rsid w:val="254F3522"/>
    <w:rsid w:val="275D78FA"/>
    <w:rsid w:val="28D62CD6"/>
    <w:rsid w:val="2C693AAB"/>
    <w:rsid w:val="2D4744ED"/>
    <w:rsid w:val="2ECB4CA9"/>
    <w:rsid w:val="32E34EF1"/>
    <w:rsid w:val="37140E36"/>
    <w:rsid w:val="391D4B19"/>
    <w:rsid w:val="39386364"/>
    <w:rsid w:val="39785333"/>
    <w:rsid w:val="3AB40CE8"/>
    <w:rsid w:val="3AF269F5"/>
    <w:rsid w:val="3CEF6007"/>
    <w:rsid w:val="3E3D1289"/>
    <w:rsid w:val="3F4A177D"/>
    <w:rsid w:val="3F696545"/>
    <w:rsid w:val="3F8F41F0"/>
    <w:rsid w:val="418A09F4"/>
    <w:rsid w:val="41C932CA"/>
    <w:rsid w:val="42353D5C"/>
    <w:rsid w:val="437718B3"/>
    <w:rsid w:val="47092ECC"/>
    <w:rsid w:val="48592ECE"/>
    <w:rsid w:val="491264F8"/>
    <w:rsid w:val="4AE505EB"/>
    <w:rsid w:val="4B1F1A20"/>
    <w:rsid w:val="4B83273C"/>
    <w:rsid w:val="4C016441"/>
    <w:rsid w:val="4C6F1454"/>
    <w:rsid w:val="4DA20215"/>
    <w:rsid w:val="50A078EC"/>
    <w:rsid w:val="51812A8A"/>
    <w:rsid w:val="519531F7"/>
    <w:rsid w:val="527C1C93"/>
    <w:rsid w:val="537110B6"/>
    <w:rsid w:val="542D40A1"/>
    <w:rsid w:val="56DE2442"/>
    <w:rsid w:val="57A90BE7"/>
    <w:rsid w:val="58586424"/>
    <w:rsid w:val="5A117328"/>
    <w:rsid w:val="5A4222DC"/>
    <w:rsid w:val="5BDB745C"/>
    <w:rsid w:val="5CBF734C"/>
    <w:rsid w:val="5E0522E5"/>
    <w:rsid w:val="5E174F66"/>
    <w:rsid w:val="608A5CBC"/>
    <w:rsid w:val="60D158A0"/>
    <w:rsid w:val="62206886"/>
    <w:rsid w:val="62586279"/>
    <w:rsid w:val="637A4621"/>
    <w:rsid w:val="67B3208A"/>
    <w:rsid w:val="689C6793"/>
    <w:rsid w:val="6B322BE5"/>
    <w:rsid w:val="6B8B34F4"/>
    <w:rsid w:val="6BFB5EC7"/>
    <w:rsid w:val="6DEC5AC7"/>
    <w:rsid w:val="6E0440B0"/>
    <w:rsid w:val="6E5921CD"/>
    <w:rsid w:val="6EAF6C68"/>
    <w:rsid w:val="6FCE7B7A"/>
    <w:rsid w:val="6FEA2A60"/>
    <w:rsid w:val="724709F3"/>
    <w:rsid w:val="74C831D7"/>
    <w:rsid w:val="761632E0"/>
    <w:rsid w:val="761D47A4"/>
    <w:rsid w:val="77602068"/>
    <w:rsid w:val="7A0211FE"/>
    <w:rsid w:val="7A534993"/>
    <w:rsid w:val="7DF528C0"/>
    <w:rsid w:val="7F1934A6"/>
    <w:rsid w:val="F6BB3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Balloon Text"/>
    <w:basedOn w:val="1"/>
    <w:link w:val="17"/>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0"/>
  </w:style>
  <w:style w:type="paragraph" w:styleId="7">
    <w:name w:val="toc 2"/>
    <w:basedOn w:val="1"/>
    <w:next w:val="1"/>
    <w:qFormat/>
    <w:uiPriority w:val="0"/>
    <w:pPr>
      <w:ind w:left="420" w:leftChars="200"/>
    </w:pPr>
  </w:style>
  <w:style w:type="paragraph" w:styleId="8">
    <w:name w:val="Normal (Web)"/>
    <w:basedOn w:val="1"/>
    <w:next w:val="1"/>
    <w:qFormat/>
    <w:uiPriority w:val="0"/>
    <w:pPr>
      <w:spacing w:beforeAutospacing="1" w:afterAutospacing="1"/>
      <w:jc w:val="left"/>
    </w:pPr>
    <w:rPr>
      <w:rFonts w:cs="Times New Roman"/>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rPr>
  </w:style>
  <w:style w:type="character" w:customStyle="1" w:styleId="13">
    <w:name w:val="NormalCharacter"/>
    <w:semiHidden/>
    <w:qFormat/>
    <w:uiPriority w:val="0"/>
    <w:rPr>
      <w:rFonts w:ascii="Calibri" w:hAnsi="Calibri" w:eastAsia="宋体" w:cs="Times New Roman"/>
      <w:kern w:val="2"/>
      <w:sz w:val="21"/>
      <w:szCs w:val="24"/>
      <w:lang w:val="en-US" w:eastAsia="zh-CN" w:bidi="ar-SA"/>
    </w:rPr>
  </w:style>
  <w:style w:type="paragraph" w:customStyle="1" w:styleId="14">
    <w:name w:val="正文首行缩进 21"/>
    <w:basedOn w:val="15"/>
    <w:next w:val="8"/>
    <w:qFormat/>
    <w:uiPriority w:val="0"/>
    <w:pPr>
      <w:widowControl/>
      <w:ind w:firstLine="200" w:firstLineChars="200"/>
      <w:jc w:val="left"/>
    </w:pPr>
    <w:rPr>
      <w:rFonts w:eastAsia="仿宋_GB2312" w:cs="Calibri"/>
      <w:kern w:val="0"/>
      <w:sz w:val="24"/>
    </w:rPr>
  </w:style>
  <w:style w:type="paragraph" w:customStyle="1" w:styleId="15">
    <w:name w:val="正文文本缩进1"/>
    <w:basedOn w:val="1"/>
    <w:qFormat/>
    <w:uiPriority w:val="0"/>
    <w:pPr>
      <w:ind w:left="200" w:leftChars="200"/>
    </w:pPr>
    <w:rPr>
      <w:rFonts w:cs="Times New Roman"/>
    </w:rPr>
  </w:style>
  <w:style w:type="paragraph" w:customStyle="1" w:styleId="16">
    <w:name w:val="Other|1"/>
    <w:basedOn w:val="1"/>
    <w:qFormat/>
    <w:uiPriority w:val="0"/>
    <w:pPr>
      <w:spacing w:line="442" w:lineRule="auto"/>
      <w:ind w:firstLine="400"/>
    </w:pPr>
    <w:rPr>
      <w:rFonts w:ascii="宋体" w:hAnsi="宋体" w:eastAsia="宋体" w:cs="宋体"/>
      <w:sz w:val="28"/>
      <w:szCs w:val="28"/>
      <w:lang w:val="zh-TW" w:eastAsia="zh-TW" w:bidi="zh-TW"/>
    </w:rPr>
  </w:style>
  <w:style w:type="character" w:customStyle="1" w:styleId="17">
    <w:name w:val="批注框文本 Char"/>
    <w:basedOn w:val="11"/>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9371</Words>
  <Characters>9596</Characters>
  <Lines>120</Lines>
  <Paragraphs>33</Paragraphs>
  <TotalTime>2</TotalTime>
  <ScaleCrop>false</ScaleCrop>
  <LinksUpToDate>false</LinksUpToDate>
  <CharactersWithSpaces>9825</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2022-03-04T15:14:00Z</dcterms:created>
  <dc:creator>Administrator</dc:creator>
  <cp:lastModifiedBy>user</cp:lastModifiedBy>
  <cp:lastPrinted>2025-05-18T10:59:00Z</cp:lastPrinted>
  <dcterms:modified xsi:type="dcterms:W3CDTF">2025-06-27T22:10:29Z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86EAC6E0A88A43A081E72FBCEEF76CCB_13</vt:lpwstr>
  </property>
  <property fmtid="{D5CDD505-2E9C-101B-9397-08002B2CF9AE}" pid="4" name="KSOTemplateDocerSaveRecord">
    <vt:lpwstr>eyJoZGlkIjoiYTVkYzY2ZjdkMjUzMDhhMzJiZDI3MTY3NjBhZmRmOGIiLCJ1c2VySWQiOiIxNDg1ODMyNDU2In0=</vt:lpwstr>
  </property>
</Properties>
</file>