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FE8D93">
      <w:pPr>
        <w:keepNext w:val="0"/>
        <w:keepLines w:val="0"/>
        <w:pageBreakBefore w:val="0"/>
        <w:widowControl w:val="0"/>
        <w:kinsoku/>
        <w:wordWrap/>
        <w:overflowPunct/>
        <w:topLinePunct w:val="0"/>
        <w:autoSpaceDE/>
        <w:autoSpaceDN/>
        <w:bidi w:val="0"/>
        <w:adjustRightInd/>
        <w:snapToGrid/>
        <w:spacing w:line="2000" w:lineRule="exact"/>
        <w:ind w:firstLine="0" w:firstLineChars="0"/>
        <w:jc w:val="center"/>
        <w:textAlignment w:val="auto"/>
        <w:rPr>
          <w:rFonts w:hint="eastAsia" w:ascii="方正仿宋_GB2312" w:hAnsi="方正仿宋_GB2312" w:eastAsia="方正仿宋_GB2312" w:cs="方正仿宋_GB2312"/>
          <w:color w:val="auto"/>
          <w:kern w:val="2"/>
          <w:sz w:val="22"/>
          <w:szCs w:val="22"/>
          <w:highlight w:val="none"/>
          <w:lang w:val="en-US" w:eastAsia="zh-CN" w:bidi="ar-SA"/>
        </w:rPr>
      </w:pPr>
      <w:bookmarkStart w:id="64" w:name="_GoBack"/>
      <w:bookmarkEnd w:id="64"/>
    </w:p>
    <w:p w14:paraId="60B272A7">
      <w:pPr>
        <w:pStyle w:val="39"/>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_GBK" w:hAnsi="方正小标宋_GBK" w:eastAsia="方正小标宋_GBK" w:cs="方正小标宋_GBK"/>
          <w:color w:val="auto"/>
          <w:sz w:val="72"/>
          <w:szCs w:val="72"/>
          <w:highlight w:val="none"/>
          <w:lang w:val="en-US" w:eastAsia="zh-CN"/>
        </w:rPr>
      </w:pPr>
      <w:r>
        <w:rPr>
          <w:rFonts w:hint="eastAsia" w:ascii="方正小标宋_GBK" w:hAnsi="方正小标宋_GBK" w:eastAsia="方正小标宋_GBK" w:cs="方正小标宋_GBK"/>
          <w:color w:val="auto"/>
          <w:sz w:val="72"/>
          <w:szCs w:val="72"/>
          <w:highlight w:val="none"/>
          <w:lang w:val="en-US" w:eastAsia="zh-CN"/>
        </w:rPr>
        <w:t>建设项目环境影响报告表</w:t>
      </w:r>
    </w:p>
    <w:p w14:paraId="47B751A7">
      <w:pPr>
        <w:pStyle w:val="39"/>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楷体" w:hAnsi="楷体" w:eastAsia="楷体" w:cs="楷体"/>
          <w:color w:val="auto"/>
          <w:sz w:val="48"/>
          <w:szCs w:val="48"/>
          <w:highlight w:val="none"/>
          <w:lang w:val="en-US" w:eastAsia="zh-CN"/>
        </w:rPr>
      </w:pPr>
      <w:r>
        <w:rPr>
          <w:rFonts w:hint="eastAsia" w:ascii="楷体" w:hAnsi="楷体" w:eastAsia="楷体" w:cs="楷体"/>
          <w:color w:val="auto"/>
          <w:sz w:val="48"/>
          <w:szCs w:val="48"/>
          <w:highlight w:val="none"/>
          <w:lang w:val="en-US" w:eastAsia="zh-CN"/>
        </w:rPr>
        <w:t>（污染影响类）</w:t>
      </w:r>
    </w:p>
    <w:p w14:paraId="76B3439A">
      <w:pPr>
        <w:pStyle w:val="39"/>
        <w:keepNext w:val="0"/>
        <w:keepLines w:val="0"/>
        <w:pageBreakBefore w:val="0"/>
        <w:widowControl w:val="0"/>
        <w:kinsoku/>
        <w:wordWrap/>
        <w:overflowPunct/>
        <w:topLinePunct w:val="0"/>
        <w:autoSpaceDE/>
        <w:autoSpaceDN/>
        <w:bidi w:val="0"/>
        <w:adjustRightInd/>
        <w:snapToGrid/>
        <w:spacing w:line="7800" w:lineRule="exact"/>
        <w:ind w:firstLine="0" w:firstLineChars="0"/>
        <w:jc w:val="center"/>
        <w:textAlignment w:val="auto"/>
        <w:rPr>
          <w:rFonts w:hint="eastAsia"/>
          <w:color w:val="auto"/>
          <w:highlight w:val="none"/>
          <w:lang w:val="en-US" w:eastAsia="zh-CN"/>
        </w:rPr>
      </w:pPr>
      <w:r>
        <w:rPr>
          <w:color w:val="auto"/>
          <w:highlight w:val="none"/>
          <w:lang w:val="en-US" w:eastAsia="zh-CN"/>
        </w:rPr>
        <mc:AlternateContent>
          <mc:Choice Requires="wps">
            <w:drawing>
              <wp:anchor distT="0" distB="0" distL="114300" distR="114300" simplePos="0" relativeHeight="251659264" behindDoc="0" locked="0" layoutInCell="1" allowOverlap="1">
                <wp:simplePos x="0" y="0"/>
                <wp:positionH relativeFrom="column">
                  <wp:posOffset>208280</wp:posOffset>
                </wp:positionH>
                <wp:positionV relativeFrom="page">
                  <wp:posOffset>6385560</wp:posOffset>
                </wp:positionV>
                <wp:extent cx="5147945" cy="1254760"/>
                <wp:effectExtent l="0" t="0" r="0" b="0"/>
                <wp:wrapNone/>
                <wp:docPr id="1" name="文本框 1"/>
                <wp:cNvGraphicFramePr/>
                <a:graphic xmlns:a="http://schemas.openxmlformats.org/drawingml/2006/main">
                  <a:graphicData uri="http://schemas.microsoft.com/office/word/2010/wordprocessingShape">
                    <wps:wsp>
                      <wps:cNvSpPr txBox="1"/>
                      <wps:spPr>
                        <a:xfrm>
                          <a:off x="971550" y="6188075"/>
                          <a:ext cx="5147945" cy="1254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7BF04D9">
                            <w:pPr>
                              <w:pStyle w:val="39"/>
                              <w:keepNext w:val="0"/>
                              <w:keepLines w:val="0"/>
                              <w:pageBreakBefore w:val="0"/>
                              <w:widowControl w:val="0"/>
                              <w:kinsoku/>
                              <w:wordWrap/>
                              <w:overflowPunct/>
                              <w:topLinePunct w:val="0"/>
                              <w:bidi w:val="0"/>
                              <w:adjustRightInd w:val="0"/>
                              <w:snapToGrid w:val="0"/>
                              <w:spacing w:line="560" w:lineRule="exact"/>
                              <w:ind w:left="1800" w:hanging="1800" w:hangingChars="500"/>
                              <w:jc w:val="left"/>
                              <w:textAlignment w:val="auto"/>
                              <w:rPr>
                                <w:rFonts w:hint="default" w:ascii="仿宋" w:hAnsi="仿宋" w:eastAsia="仿宋" w:cs="仿宋"/>
                                <w:color w:val="auto"/>
                                <w:sz w:val="36"/>
                                <w:szCs w:val="36"/>
                                <w:u w:val="single"/>
                                <w:lang w:val="en-US" w:eastAsia="zh-CN"/>
                              </w:rPr>
                            </w:pPr>
                            <w:r>
                              <w:rPr>
                                <w:rFonts w:hint="eastAsia" w:ascii="仿宋" w:hAnsi="仿宋" w:eastAsia="仿宋" w:cs="仿宋"/>
                                <w:color w:val="auto"/>
                                <w:sz w:val="36"/>
                                <w:szCs w:val="36"/>
                              </w:rPr>
                              <w:t>项目名称：</w:t>
                            </w:r>
                            <w:r>
                              <w:rPr>
                                <w:rFonts w:hint="eastAsia" w:ascii="仿宋" w:hAnsi="仿宋" w:eastAsia="仿宋" w:cs="仿宋"/>
                                <w:color w:val="auto"/>
                                <w:sz w:val="36"/>
                                <w:szCs w:val="36"/>
                                <w:u w:val="single"/>
                                <w:lang w:val="en-US" w:eastAsia="zh-CN"/>
                              </w:rPr>
                              <w:t>山西省长治市壶关县高级中学建设项目</w:t>
                            </w:r>
                          </w:p>
                          <w:p w14:paraId="628C95F5">
                            <w:pPr>
                              <w:pStyle w:val="39"/>
                              <w:keepNext w:val="0"/>
                              <w:keepLines w:val="0"/>
                              <w:pageBreakBefore w:val="0"/>
                              <w:widowControl w:val="0"/>
                              <w:kinsoku/>
                              <w:wordWrap/>
                              <w:overflowPunct/>
                              <w:topLinePunct w:val="0"/>
                              <w:bidi w:val="0"/>
                              <w:adjustRightInd w:val="0"/>
                              <w:snapToGrid w:val="0"/>
                              <w:spacing w:line="560" w:lineRule="exact"/>
                              <w:ind w:left="2016" w:hanging="2016" w:hangingChars="700"/>
                              <w:jc w:val="left"/>
                              <w:textAlignment w:val="auto"/>
                              <w:rPr>
                                <w:rFonts w:hint="default" w:ascii="仿宋" w:hAnsi="仿宋" w:eastAsia="仿宋" w:cs="仿宋"/>
                                <w:color w:val="auto"/>
                                <w:sz w:val="36"/>
                                <w:szCs w:val="36"/>
                                <w:lang w:val="en-US" w:eastAsia="zh-CN"/>
                              </w:rPr>
                            </w:pPr>
                            <w:r>
                              <w:rPr>
                                <w:rFonts w:hint="eastAsia" w:ascii="仿宋" w:hAnsi="仿宋" w:eastAsia="仿宋" w:cs="仿宋"/>
                                <w:color w:val="auto"/>
                                <w:w w:val="80"/>
                                <w:sz w:val="36"/>
                                <w:szCs w:val="36"/>
                              </w:rPr>
                              <w:t>建设单位</w:t>
                            </w:r>
                            <w:r>
                              <w:rPr>
                                <w:rFonts w:hint="eastAsia" w:ascii="仿宋" w:hAnsi="仿宋" w:eastAsia="仿宋" w:cs="仿宋"/>
                                <w:color w:val="auto"/>
                                <w:w w:val="80"/>
                                <w:sz w:val="36"/>
                                <w:szCs w:val="36"/>
                                <w:lang w:val="en-US" w:eastAsia="zh-CN"/>
                              </w:rPr>
                              <w:t>(</w:t>
                            </w:r>
                            <w:r>
                              <w:rPr>
                                <w:rFonts w:hint="eastAsia" w:ascii="仿宋" w:hAnsi="仿宋" w:eastAsia="仿宋" w:cs="仿宋"/>
                                <w:color w:val="auto"/>
                                <w:w w:val="80"/>
                                <w:sz w:val="36"/>
                                <w:szCs w:val="36"/>
                              </w:rPr>
                              <w:t>盖章</w:t>
                            </w:r>
                            <w:r>
                              <w:rPr>
                                <w:rFonts w:hint="eastAsia" w:ascii="仿宋" w:hAnsi="仿宋" w:eastAsia="仿宋" w:cs="仿宋"/>
                                <w:color w:val="auto"/>
                                <w:w w:val="80"/>
                                <w:sz w:val="36"/>
                                <w:szCs w:val="36"/>
                                <w:lang w:val="en-US" w:eastAsia="zh-CN"/>
                              </w:rPr>
                              <w:t>)</w:t>
                            </w:r>
                            <w:r>
                              <w:rPr>
                                <w:rFonts w:hint="eastAsia" w:ascii="仿宋" w:hAnsi="仿宋" w:eastAsia="仿宋" w:cs="仿宋"/>
                                <w:color w:val="auto"/>
                                <w:w w:val="80"/>
                                <w:sz w:val="36"/>
                                <w:szCs w:val="36"/>
                              </w:rPr>
                              <w:t>：</w:t>
                            </w:r>
                            <w:r>
                              <w:rPr>
                                <w:rFonts w:hint="eastAsia" w:ascii="仿宋" w:hAnsi="仿宋" w:eastAsia="仿宋" w:cs="仿宋"/>
                                <w:color w:val="auto"/>
                                <w:w w:val="80"/>
                                <w:sz w:val="36"/>
                                <w:szCs w:val="36"/>
                                <w:u w:val="single"/>
                                <w:lang w:val="en-US" w:eastAsia="zh-CN"/>
                              </w:rPr>
                              <w:t xml:space="preserve">          </w:t>
                            </w:r>
                            <w:r>
                              <w:rPr>
                                <w:rFonts w:hint="eastAsia" w:ascii="仿宋" w:hAnsi="仿宋" w:eastAsia="仿宋" w:cs="仿宋"/>
                                <w:color w:val="auto"/>
                                <w:sz w:val="36"/>
                                <w:szCs w:val="36"/>
                                <w:u w:val="single"/>
                                <w:lang w:val="en-US" w:eastAsia="zh-CN"/>
                              </w:rPr>
                              <w:t xml:space="preserve">壶关县教育局           </w:t>
                            </w:r>
                          </w:p>
                          <w:p w14:paraId="799C06ED">
                            <w:pPr>
                              <w:pStyle w:val="39"/>
                              <w:keepNext w:val="0"/>
                              <w:keepLines w:val="0"/>
                              <w:pageBreakBefore w:val="0"/>
                              <w:widowControl w:val="0"/>
                              <w:kinsoku/>
                              <w:wordWrap/>
                              <w:overflowPunct/>
                              <w:topLinePunct w:val="0"/>
                              <w:bidi w:val="0"/>
                              <w:adjustRightInd w:val="0"/>
                              <w:snapToGrid w:val="0"/>
                              <w:spacing w:line="560" w:lineRule="exact"/>
                              <w:ind w:firstLine="0" w:firstLineChars="0"/>
                              <w:jc w:val="left"/>
                              <w:textAlignment w:val="auto"/>
                              <w:rPr>
                                <w:rFonts w:hint="default" w:ascii="仿宋" w:hAnsi="仿宋" w:eastAsia="仿宋" w:cs="仿宋"/>
                                <w:color w:val="0000FF"/>
                                <w:sz w:val="36"/>
                                <w:szCs w:val="36"/>
                                <w:u w:val="single"/>
                                <w:lang w:val="en-US"/>
                              </w:rPr>
                            </w:pPr>
                            <w:r>
                              <w:rPr>
                                <w:rFonts w:hint="eastAsia" w:ascii="仿宋" w:hAnsi="仿宋" w:eastAsia="仿宋" w:cs="仿宋"/>
                                <w:color w:val="auto"/>
                                <w:sz w:val="36"/>
                                <w:szCs w:val="36"/>
                              </w:rPr>
                              <w:t>编制日期：</w:t>
                            </w:r>
                            <w:r>
                              <w:rPr>
                                <w:rFonts w:hint="eastAsia" w:ascii="仿宋" w:hAnsi="仿宋" w:eastAsia="仿宋" w:cs="仿宋"/>
                                <w:color w:val="auto"/>
                                <w:sz w:val="36"/>
                                <w:szCs w:val="36"/>
                                <w:u w:val="single"/>
                                <w:lang w:val="en-US" w:eastAsia="zh-CN"/>
                              </w:rPr>
                              <w:t xml:space="preserve">            </w:t>
                            </w:r>
                            <w:r>
                              <w:rPr>
                                <w:rFonts w:hint="default" w:ascii="Times New Roman" w:hAnsi="Times New Roman" w:eastAsia="仿宋" w:cs="Times New Roman"/>
                                <w:color w:val="auto"/>
                                <w:sz w:val="36"/>
                                <w:szCs w:val="36"/>
                                <w:u w:val="single"/>
                                <w:lang w:val="en-US" w:eastAsia="zh-CN"/>
                              </w:rPr>
                              <w:t>202</w:t>
                            </w:r>
                            <w:r>
                              <w:rPr>
                                <w:rFonts w:hint="eastAsia" w:eastAsia="仿宋" w:cs="Times New Roman"/>
                                <w:color w:val="auto"/>
                                <w:sz w:val="36"/>
                                <w:szCs w:val="36"/>
                                <w:u w:val="single"/>
                                <w:lang w:val="en-US" w:eastAsia="zh-CN"/>
                              </w:rPr>
                              <w:t>6</w:t>
                            </w:r>
                            <w:r>
                              <w:rPr>
                                <w:rFonts w:hint="default" w:ascii="Times New Roman" w:hAnsi="Times New Roman" w:eastAsia="仿宋" w:cs="Times New Roman"/>
                                <w:color w:val="auto"/>
                                <w:sz w:val="36"/>
                                <w:szCs w:val="36"/>
                                <w:u w:val="single"/>
                                <w:lang w:val="en-US" w:eastAsia="zh-CN"/>
                              </w:rPr>
                              <w:t>年</w:t>
                            </w:r>
                            <w:r>
                              <w:rPr>
                                <w:rFonts w:hint="eastAsia" w:eastAsia="仿宋" w:cs="Times New Roman"/>
                                <w:color w:val="auto"/>
                                <w:sz w:val="36"/>
                                <w:szCs w:val="36"/>
                                <w:u w:val="single"/>
                                <w:lang w:val="en-US" w:eastAsia="zh-CN"/>
                              </w:rPr>
                              <w:t>3</w:t>
                            </w:r>
                            <w:r>
                              <w:rPr>
                                <w:rFonts w:hint="default" w:ascii="Times New Roman" w:hAnsi="Times New Roman" w:eastAsia="仿宋" w:cs="Times New Roman"/>
                                <w:color w:val="auto"/>
                                <w:sz w:val="36"/>
                                <w:szCs w:val="36"/>
                                <w:u w:val="single"/>
                                <w:lang w:val="en-US" w:eastAsia="zh-CN"/>
                              </w:rPr>
                              <w:t>月</w:t>
                            </w:r>
                            <w:r>
                              <w:rPr>
                                <w:rFonts w:hint="eastAsia" w:eastAsia="仿宋" w:cs="Times New Roman"/>
                                <w:color w:val="auto"/>
                                <w:sz w:val="36"/>
                                <w:szCs w:val="36"/>
                                <w:u w:val="single"/>
                                <w:lang w:val="en-US" w:eastAsia="zh-CN"/>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pt;margin-top:502.8pt;height:98.8pt;width:405.35pt;mso-position-vertical-relative:page;z-index:251659264;mso-width-relative:page;mso-height-relative:page;" filled="f" stroked="f" coordsize="21600,21600" o:gfxdata="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P6ZI3jbAAAADAEAAA8A&#10;AAAAAAAAAQAgAAAAIgAAAGRycy9kb3ducmV2LnhtbFBLAQIUABQAAAAIAIdO4kDxPjQvTQIAAIAE&#10;AAAOAAAAAAAAAAEAIAAAACoBAABkcnMvZTJvRG9jLnhtbFBLBQYAAAAABgAGAFkBAADpBQAAAAA=&#10;">
                <v:fill on="f" focussize="0,0"/>
                <v:stroke on="f" weight="0.5pt"/>
                <v:imagedata o:title=""/>
                <o:lock v:ext="edit" aspectratio="f"/>
                <v:textbox>
                  <w:txbxContent>
                    <w:p w14:paraId="47BF04D9">
                      <w:pPr>
                        <w:pStyle w:val="39"/>
                        <w:keepNext w:val="0"/>
                        <w:keepLines w:val="0"/>
                        <w:pageBreakBefore w:val="0"/>
                        <w:widowControl w:val="0"/>
                        <w:kinsoku/>
                        <w:wordWrap/>
                        <w:overflowPunct/>
                        <w:topLinePunct w:val="0"/>
                        <w:bidi w:val="0"/>
                        <w:adjustRightInd w:val="0"/>
                        <w:snapToGrid w:val="0"/>
                        <w:spacing w:line="560" w:lineRule="exact"/>
                        <w:ind w:left="1800" w:hanging="1800" w:hangingChars="500"/>
                        <w:jc w:val="left"/>
                        <w:textAlignment w:val="auto"/>
                        <w:rPr>
                          <w:rFonts w:hint="default" w:ascii="仿宋" w:hAnsi="仿宋" w:eastAsia="仿宋" w:cs="仿宋"/>
                          <w:color w:val="auto"/>
                          <w:sz w:val="36"/>
                          <w:szCs w:val="36"/>
                          <w:u w:val="single"/>
                          <w:lang w:val="en-US" w:eastAsia="zh-CN"/>
                        </w:rPr>
                      </w:pPr>
                      <w:r>
                        <w:rPr>
                          <w:rFonts w:hint="eastAsia" w:ascii="仿宋" w:hAnsi="仿宋" w:eastAsia="仿宋" w:cs="仿宋"/>
                          <w:color w:val="auto"/>
                          <w:sz w:val="36"/>
                          <w:szCs w:val="36"/>
                        </w:rPr>
                        <w:t>项目名称：</w:t>
                      </w:r>
                      <w:r>
                        <w:rPr>
                          <w:rFonts w:hint="eastAsia" w:ascii="仿宋" w:hAnsi="仿宋" w:eastAsia="仿宋" w:cs="仿宋"/>
                          <w:color w:val="auto"/>
                          <w:sz w:val="36"/>
                          <w:szCs w:val="36"/>
                          <w:u w:val="single"/>
                          <w:lang w:val="en-US" w:eastAsia="zh-CN"/>
                        </w:rPr>
                        <w:t>山西省长治市壶关县高级中学建设项目</w:t>
                      </w:r>
                    </w:p>
                    <w:p w14:paraId="628C95F5">
                      <w:pPr>
                        <w:pStyle w:val="39"/>
                        <w:keepNext w:val="0"/>
                        <w:keepLines w:val="0"/>
                        <w:pageBreakBefore w:val="0"/>
                        <w:widowControl w:val="0"/>
                        <w:kinsoku/>
                        <w:wordWrap/>
                        <w:overflowPunct/>
                        <w:topLinePunct w:val="0"/>
                        <w:bidi w:val="0"/>
                        <w:adjustRightInd w:val="0"/>
                        <w:snapToGrid w:val="0"/>
                        <w:spacing w:line="560" w:lineRule="exact"/>
                        <w:ind w:left="2016" w:hanging="2016" w:hangingChars="700"/>
                        <w:jc w:val="left"/>
                        <w:textAlignment w:val="auto"/>
                        <w:rPr>
                          <w:rFonts w:hint="default" w:ascii="仿宋" w:hAnsi="仿宋" w:eastAsia="仿宋" w:cs="仿宋"/>
                          <w:color w:val="auto"/>
                          <w:sz w:val="36"/>
                          <w:szCs w:val="36"/>
                          <w:lang w:val="en-US" w:eastAsia="zh-CN"/>
                        </w:rPr>
                      </w:pPr>
                      <w:r>
                        <w:rPr>
                          <w:rFonts w:hint="eastAsia" w:ascii="仿宋" w:hAnsi="仿宋" w:eastAsia="仿宋" w:cs="仿宋"/>
                          <w:color w:val="auto"/>
                          <w:w w:val="80"/>
                          <w:sz w:val="36"/>
                          <w:szCs w:val="36"/>
                        </w:rPr>
                        <w:t>建设单位</w:t>
                      </w:r>
                      <w:r>
                        <w:rPr>
                          <w:rFonts w:hint="eastAsia" w:ascii="仿宋" w:hAnsi="仿宋" w:eastAsia="仿宋" w:cs="仿宋"/>
                          <w:color w:val="auto"/>
                          <w:w w:val="80"/>
                          <w:sz w:val="36"/>
                          <w:szCs w:val="36"/>
                          <w:lang w:val="en-US" w:eastAsia="zh-CN"/>
                        </w:rPr>
                        <w:t>(</w:t>
                      </w:r>
                      <w:r>
                        <w:rPr>
                          <w:rFonts w:hint="eastAsia" w:ascii="仿宋" w:hAnsi="仿宋" w:eastAsia="仿宋" w:cs="仿宋"/>
                          <w:color w:val="auto"/>
                          <w:w w:val="80"/>
                          <w:sz w:val="36"/>
                          <w:szCs w:val="36"/>
                        </w:rPr>
                        <w:t>盖章</w:t>
                      </w:r>
                      <w:r>
                        <w:rPr>
                          <w:rFonts w:hint="eastAsia" w:ascii="仿宋" w:hAnsi="仿宋" w:eastAsia="仿宋" w:cs="仿宋"/>
                          <w:color w:val="auto"/>
                          <w:w w:val="80"/>
                          <w:sz w:val="36"/>
                          <w:szCs w:val="36"/>
                          <w:lang w:val="en-US" w:eastAsia="zh-CN"/>
                        </w:rPr>
                        <w:t>)</w:t>
                      </w:r>
                      <w:r>
                        <w:rPr>
                          <w:rFonts w:hint="eastAsia" w:ascii="仿宋" w:hAnsi="仿宋" w:eastAsia="仿宋" w:cs="仿宋"/>
                          <w:color w:val="auto"/>
                          <w:w w:val="80"/>
                          <w:sz w:val="36"/>
                          <w:szCs w:val="36"/>
                        </w:rPr>
                        <w:t>：</w:t>
                      </w:r>
                      <w:r>
                        <w:rPr>
                          <w:rFonts w:hint="eastAsia" w:ascii="仿宋" w:hAnsi="仿宋" w:eastAsia="仿宋" w:cs="仿宋"/>
                          <w:color w:val="auto"/>
                          <w:w w:val="80"/>
                          <w:sz w:val="36"/>
                          <w:szCs w:val="36"/>
                          <w:u w:val="single"/>
                          <w:lang w:val="en-US" w:eastAsia="zh-CN"/>
                        </w:rPr>
                        <w:t xml:space="preserve">          </w:t>
                      </w:r>
                      <w:r>
                        <w:rPr>
                          <w:rFonts w:hint="eastAsia" w:ascii="仿宋" w:hAnsi="仿宋" w:eastAsia="仿宋" w:cs="仿宋"/>
                          <w:color w:val="auto"/>
                          <w:sz w:val="36"/>
                          <w:szCs w:val="36"/>
                          <w:u w:val="single"/>
                          <w:lang w:val="en-US" w:eastAsia="zh-CN"/>
                        </w:rPr>
                        <w:t xml:space="preserve">壶关县教育局           </w:t>
                      </w:r>
                    </w:p>
                    <w:p w14:paraId="799C06ED">
                      <w:pPr>
                        <w:pStyle w:val="39"/>
                        <w:keepNext w:val="0"/>
                        <w:keepLines w:val="0"/>
                        <w:pageBreakBefore w:val="0"/>
                        <w:widowControl w:val="0"/>
                        <w:kinsoku/>
                        <w:wordWrap/>
                        <w:overflowPunct/>
                        <w:topLinePunct w:val="0"/>
                        <w:bidi w:val="0"/>
                        <w:adjustRightInd w:val="0"/>
                        <w:snapToGrid w:val="0"/>
                        <w:spacing w:line="560" w:lineRule="exact"/>
                        <w:ind w:firstLine="0" w:firstLineChars="0"/>
                        <w:jc w:val="left"/>
                        <w:textAlignment w:val="auto"/>
                        <w:rPr>
                          <w:rFonts w:hint="default" w:ascii="仿宋" w:hAnsi="仿宋" w:eastAsia="仿宋" w:cs="仿宋"/>
                          <w:color w:val="0000FF"/>
                          <w:sz w:val="36"/>
                          <w:szCs w:val="36"/>
                          <w:u w:val="single"/>
                          <w:lang w:val="en-US"/>
                        </w:rPr>
                      </w:pPr>
                      <w:r>
                        <w:rPr>
                          <w:rFonts w:hint="eastAsia" w:ascii="仿宋" w:hAnsi="仿宋" w:eastAsia="仿宋" w:cs="仿宋"/>
                          <w:color w:val="auto"/>
                          <w:sz w:val="36"/>
                          <w:szCs w:val="36"/>
                        </w:rPr>
                        <w:t>编制日期：</w:t>
                      </w:r>
                      <w:r>
                        <w:rPr>
                          <w:rFonts w:hint="eastAsia" w:ascii="仿宋" w:hAnsi="仿宋" w:eastAsia="仿宋" w:cs="仿宋"/>
                          <w:color w:val="auto"/>
                          <w:sz w:val="36"/>
                          <w:szCs w:val="36"/>
                          <w:u w:val="single"/>
                          <w:lang w:val="en-US" w:eastAsia="zh-CN"/>
                        </w:rPr>
                        <w:t xml:space="preserve">            </w:t>
                      </w:r>
                      <w:r>
                        <w:rPr>
                          <w:rFonts w:hint="default" w:ascii="Times New Roman" w:hAnsi="Times New Roman" w:eastAsia="仿宋" w:cs="Times New Roman"/>
                          <w:color w:val="auto"/>
                          <w:sz w:val="36"/>
                          <w:szCs w:val="36"/>
                          <w:u w:val="single"/>
                          <w:lang w:val="en-US" w:eastAsia="zh-CN"/>
                        </w:rPr>
                        <w:t>202</w:t>
                      </w:r>
                      <w:r>
                        <w:rPr>
                          <w:rFonts w:hint="eastAsia" w:eastAsia="仿宋" w:cs="Times New Roman"/>
                          <w:color w:val="auto"/>
                          <w:sz w:val="36"/>
                          <w:szCs w:val="36"/>
                          <w:u w:val="single"/>
                          <w:lang w:val="en-US" w:eastAsia="zh-CN"/>
                        </w:rPr>
                        <w:t>6</w:t>
                      </w:r>
                      <w:r>
                        <w:rPr>
                          <w:rFonts w:hint="default" w:ascii="Times New Roman" w:hAnsi="Times New Roman" w:eastAsia="仿宋" w:cs="Times New Roman"/>
                          <w:color w:val="auto"/>
                          <w:sz w:val="36"/>
                          <w:szCs w:val="36"/>
                          <w:u w:val="single"/>
                          <w:lang w:val="en-US" w:eastAsia="zh-CN"/>
                        </w:rPr>
                        <w:t>年</w:t>
                      </w:r>
                      <w:r>
                        <w:rPr>
                          <w:rFonts w:hint="eastAsia" w:eastAsia="仿宋" w:cs="Times New Roman"/>
                          <w:color w:val="auto"/>
                          <w:sz w:val="36"/>
                          <w:szCs w:val="36"/>
                          <w:u w:val="single"/>
                          <w:lang w:val="en-US" w:eastAsia="zh-CN"/>
                        </w:rPr>
                        <w:t>3</w:t>
                      </w:r>
                      <w:r>
                        <w:rPr>
                          <w:rFonts w:hint="default" w:ascii="Times New Roman" w:hAnsi="Times New Roman" w:eastAsia="仿宋" w:cs="Times New Roman"/>
                          <w:color w:val="auto"/>
                          <w:sz w:val="36"/>
                          <w:szCs w:val="36"/>
                          <w:u w:val="single"/>
                          <w:lang w:val="en-US" w:eastAsia="zh-CN"/>
                        </w:rPr>
                        <w:t>月</w:t>
                      </w:r>
                      <w:r>
                        <w:rPr>
                          <w:rFonts w:hint="eastAsia" w:eastAsia="仿宋" w:cs="Times New Roman"/>
                          <w:color w:val="auto"/>
                          <w:sz w:val="36"/>
                          <w:szCs w:val="36"/>
                          <w:u w:val="single"/>
                          <w:lang w:val="en-US" w:eastAsia="zh-CN"/>
                        </w:rPr>
                        <w:t xml:space="preserve">            </w:t>
                      </w:r>
                    </w:p>
                  </w:txbxContent>
                </v:textbox>
              </v:shape>
            </w:pict>
          </mc:Fallback>
        </mc:AlternateContent>
      </w:r>
    </w:p>
    <w:p w14:paraId="7C66B0ED">
      <w:pPr>
        <w:pStyle w:val="39"/>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楷体" w:hAnsi="楷体" w:eastAsia="楷体" w:cs="楷体"/>
          <w:color w:val="auto"/>
          <w:sz w:val="36"/>
          <w:szCs w:val="36"/>
          <w:highlight w:val="none"/>
          <w:lang w:val="en-US" w:eastAsia="zh-CN"/>
        </w:rPr>
      </w:pPr>
      <w:r>
        <w:rPr>
          <w:rFonts w:hint="eastAsia" w:ascii="楷体" w:hAnsi="楷体" w:eastAsia="楷体" w:cs="楷体"/>
          <w:color w:val="auto"/>
          <w:kern w:val="2"/>
          <w:sz w:val="36"/>
          <w:szCs w:val="36"/>
          <w:highlight w:val="none"/>
          <w:lang w:val="en-US" w:eastAsia="zh-CN" w:bidi="ar-SA"/>
        </w:rPr>
        <w:t>中华人民共和国生态环境部制</w:t>
      </w:r>
    </w:p>
    <w:p w14:paraId="664338F3">
      <w:pPr>
        <w:pStyle w:val="39"/>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方正仿宋_GB2312" w:hAnsi="方正仿宋_GB2312" w:eastAsia="方正仿宋_GB2312" w:cs="方正仿宋_GB2312"/>
          <w:color w:val="auto"/>
          <w:sz w:val="22"/>
          <w:szCs w:val="22"/>
          <w:highlight w:val="none"/>
        </w:rPr>
      </w:pPr>
    </w:p>
    <w:p w14:paraId="416F0F3A">
      <w:pPr>
        <w:pStyle w:val="39"/>
        <w:keepNext w:val="0"/>
        <w:keepLines w:val="0"/>
        <w:pageBreakBefore w:val="0"/>
        <w:widowControl w:val="0"/>
        <w:kinsoku/>
        <w:wordWrap/>
        <w:overflowPunct/>
        <w:topLinePunct w:val="0"/>
        <w:autoSpaceDE/>
        <w:autoSpaceDN/>
        <w:bidi w:val="0"/>
        <w:adjustRightInd/>
        <w:snapToGrid/>
        <w:ind w:firstLine="564" w:firstLineChars="0"/>
        <w:jc w:val="center"/>
        <w:textAlignment w:val="auto"/>
        <w:rPr>
          <w:rFonts w:hint="eastAsia" w:ascii="方正仿宋_GB2312" w:hAnsi="方正仿宋_GB2312" w:eastAsia="方正仿宋_GB2312" w:cs="方正仿宋_GB2312"/>
          <w:color w:val="auto"/>
          <w:sz w:val="22"/>
          <w:szCs w:val="22"/>
          <w:highlight w:val="none"/>
        </w:rPr>
        <w:sectPr>
          <w:pgSz w:w="11906" w:h="16838"/>
          <w:pgMar w:top="1701" w:right="1531" w:bottom="1701" w:left="1531" w:header="851" w:footer="992" w:gutter="0"/>
          <w:pgBorders>
            <w:top w:val="none" w:sz="0" w:space="0"/>
            <w:left w:val="none" w:sz="0" w:space="0"/>
            <w:bottom w:val="none" w:sz="0" w:space="0"/>
            <w:right w:val="none" w:sz="0" w:space="0"/>
          </w:pgBorders>
          <w:pgNumType w:fmt="decimal"/>
          <w:cols w:space="0" w:num="1"/>
          <w:rtlGutter w:val="0"/>
          <w:docGrid w:type="lines" w:linePitch="327" w:charSpace="0"/>
        </w:sectPr>
      </w:pPr>
    </w:p>
    <w:p w14:paraId="4D69FFC6">
      <w:pPr>
        <w:spacing w:before="0" w:beforeLines="0" w:after="0" w:afterLines="0" w:line="240" w:lineRule="auto"/>
        <w:ind w:left="0" w:leftChars="0" w:right="0" w:rightChars="0" w:firstLine="0" w:firstLineChars="0"/>
        <w:jc w:val="center"/>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目录</w:t>
      </w:r>
    </w:p>
    <w:p w14:paraId="66755B4A">
      <w:pPr>
        <w:spacing w:before="0" w:beforeLines="0" w:after="0" w:afterLines="0" w:line="240" w:lineRule="auto"/>
        <w:ind w:left="0" w:leftChars="0" w:right="0" w:rightChars="0" w:firstLine="0" w:firstLineChars="0"/>
        <w:jc w:val="center"/>
        <w:rPr>
          <w:rFonts w:hint="eastAsia" w:ascii="黑体" w:hAnsi="黑体" w:eastAsia="黑体" w:cs="黑体"/>
          <w:color w:val="auto"/>
          <w:sz w:val="32"/>
          <w:szCs w:val="32"/>
          <w:highlight w:val="none"/>
        </w:rPr>
      </w:pPr>
    </w:p>
    <w:p w14:paraId="1991D6C8">
      <w:pPr>
        <w:pStyle w:val="23"/>
        <w:tabs>
          <w:tab w:val="right" w:leader="dot" w:pos="9072"/>
        </w:tabs>
        <w:rPr>
          <w:color w:val="auto"/>
          <w:highlight w:val="none"/>
        </w:rPr>
      </w:pPr>
      <w:r>
        <w:rPr>
          <w:color w:val="auto"/>
          <w:highlight w:val="none"/>
        </w:rPr>
        <w:fldChar w:fldCharType="begin"/>
      </w:r>
      <w:r>
        <w:rPr>
          <w:color w:val="auto"/>
          <w:highlight w:val="none"/>
        </w:rPr>
        <w:instrText xml:space="preserve">TOC \o "1-2" \h \u </w:instrText>
      </w:r>
      <w:r>
        <w:rPr>
          <w:color w:val="auto"/>
          <w:highlight w:val="none"/>
        </w:rPr>
        <w:fldChar w:fldCharType="separate"/>
      </w:r>
      <w:r>
        <w:rPr>
          <w:color w:val="auto"/>
          <w:highlight w:val="none"/>
        </w:rPr>
        <w:fldChar w:fldCharType="begin"/>
      </w:r>
      <w:r>
        <w:rPr>
          <w:color w:val="auto"/>
          <w:highlight w:val="none"/>
        </w:rPr>
        <w:instrText xml:space="preserve"> HYPERLINK \l _Toc20217 </w:instrText>
      </w:r>
      <w:r>
        <w:rPr>
          <w:color w:val="auto"/>
          <w:highlight w:val="none"/>
        </w:rPr>
        <w:fldChar w:fldCharType="separate"/>
      </w:r>
      <w:r>
        <w:rPr>
          <w:rFonts w:hint="eastAsia"/>
          <w:color w:val="auto"/>
          <w:highlight w:val="none"/>
          <w:lang w:eastAsia="zh-CN"/>
        </w:rPr>
        <w:t>第一章</w:t>
      </w:r>
      <w:r>
        <w:rPr>
          <w:rFonts w:hint="eastAsia"/>
          <w:color w:val="auto"/>
          <w:highlight w:val="none"/>
          <w:lang w:val="en-US" w:eastAsia="zh-CN"/>
        </w:rPr>
        <w:t xml:space="preserve"> </w:t>
      </w:r>
      <w:r>
        <w:rPr>
          <w:rFonts w:hint="eastAsia"/>
          <w:color w:val="auto"/>
          <w:highlight w:val="none"/>
          <w:lang w:eastAsia="zh-CN"/>
        </w:rPr>
        <w:t>建设项目基本情况</w:t>
      </w:r>
      <w:r>
        <w:rPr>
          <w:color w:val="auto"/>
          <w:highlight w:val="none"/>
        </w:rPr>
        <w:tab/>
      </w:r>
      <w:r>
        <w:rPr>
          <w:color w:val="auto"/>
          <w:highlight w:val="none"/>
        </w:rPr>
        <w:fldChar w:fldCharType="begin"/>
      </w:r>
      <w:r>
        <w:rPr>
          <w:color w:val="auto"/>
          <w:highlight w:val="none"/>
        </w:rPr>
        <w:instrText xml:space="preserve"> PAGEREF _Toc20217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14:paraId="39D99EF3">
      <w:pPr>
        <w:pStyle w:val="23"/>
        <w:tabs>
          <w:tab w:val="right" w:leader="dot" w:pos="9072"/>
        </w:tabs>
        <w:rPr>
          <w:color w:val="auto"/>
          <w:highlight w:val="none"/>
        </w:rPr>
      </w:pPr>
      <w:r>
        <w:rPr>
          <w:color w:val="auto"/>
          <w:highlight w:val="none"/>
        </w:rPr>
        <w:fldChar w:fldCharType="begin"/>
      </w:r>
      <w:r>
        <w:rPr>
          <w:color w:val="auto"/>
          <w:highlight w:val="none"/>
        </w:rPr>
        <w:instrText xml:space="preserve"> HYPERLINK \l _Toc10738 </w:instrText>
      </w:r>
      <w:r>
        <w:rPr>
          <w:color w:val="auto"/>
          <w:highlight w:val="none"/>
        </w:rPr>
        <w:fldChar w:fldCharType="separate"/>
      </w:r>
      <w:r>
        <w:rPr>
          <w:rFonts w:hint="eastAsia"/>
          <w:color w:val="auto"/>
          <w:highlight w:val="none"/>
          <w:lang w:eastAsia="zh-CN"/>
        </w:rPr>
        <w:t>第二章</w:t>
      </w:r>
      <w:r>
        <w:rPr>
          <w:rFonts w:hint="eastAsia"/>
          <w:color w:val="auto"/>
          <w:highlight w:val="none"/>
          <w:lang w:val="en-US" w:eastAsia="zh-CN"/>
        </w:rPr>
        <w:t xml:space="preserve"> </w:t>
      </w:r>
      <w:r>
        <w:rPr>
          <w:rFonts w:hint="eastAsia"/>
          <w:color w:val="auto"/>
          <w:highlight w:val="none"/>
          <w:lang w:eastAsia="zh-CN"/>
        </w:rPr>
        <w:t>建设项目工程分析</w:t>
      </w:r>
      <w:r>
        <w:rPr>
          <w:color w:val="auto"/>
          <w:highlight w:val="none"/>
        </w:rPr>
        <w:tab/>
      </w:r>
      <w:r>
        <w:rPr>
          <w:color w:val="auto"/>
          <w:highlight w:val="none"/>
        </w:rPr>
        <w:fldChar w:fldCharType="begin"/>
      </w:r>
      <w:r>
        <w:rPr>
          <w:color w:val="auto"/>
          <w:highlight w:val="none"/>
        </w:rPr>
        <w:instrText xml:space="preserve"> PAGEREF _Toc10738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14:paraId="315D015A">
      <w:pPr>
        <w:pStyle w:val="23"/>
        <w:tabs>
          <w:tab w:val="right" w:leader="dot" w:pos="9072"/>
        </w:tabs>
        <w:rPr>
          <w:color w:val="auto"/>
          <w:highlight w:val="none"/>
        </w:rPr>
      </w:pPr>
      <w:r>
        <w:rPr>
          <w:color w:val="auto"/>
          <w:highlight w:val="none"/>
        </w:rPr>
        <w:fldChar w:fldCharType="begin"/>
      </w:r>
      <w:r>
        <w:rPr>
          <w:color w:val="auto"/>
          <w:highlight w:val="none"/>
        </w:rPr>
        <w:instrText xml:space="preserve"> HYPERLINK \l _Toc1149 </w:instrText>
      </w:r>
      <w:r>
        <w:rPr>
          <w:color w:val="auto"/>
          <w:highlight w:val="none"/>
        </w:rPr>
        <w:fldChar w:fldCharType="separate"/>
      </w:r>
      <w:r>
        <w:rPr>
          <w:rFonts w:hint="eastAsia"/>
          <w:color w:val="auto"/>
          <w:highlight w:val="none"/>
          <w:lang w:eastAsia="zh-CN"/>
        </w:rPr>
        <w:t>第三章</w:t>
      </w:r>
      <w:r>
        <w:rPr>
          <w:rFonts w:hint="eastAsia"/>
          <w:color w:val="auto"/>
          <w:highlight w:val="none"/>
          <w:lang w:val="en-US" w:eastAsia="zh-CN"/>
        </w:rPr>
        <w:t xml:space="preserve"> </w:t>
      </w:r>
      <w:r>
        <w:rPr>
          <w:rFonts w:hint="eastAsia"/>
          <w:color w:val="auto"/>
          <w:highlight w:val="none"/>
          <w:lang w:eastAsia="zh-CN"/>
        </w:rPr>
        <w:t>区域环境质量现状、环境保护目标及评价标准</w:t>
      </w:r>
      <w:r>
        <w:rPr>
          <w:color w:val="auto"/>
          <w:highlight w:val="none"/>
        </w:rPr>
        <w:tab/>
      </w:r>
      <w:r>
        <w:rPr>
          <w:color w:val="auto"/>
          <w:highlight w:val="none"/>
        </w:rPr>
        <w:fldChar w:fldCharType="begin"/>
      </w:r>
      <w:r>
        <w:rPr>
          <w:color w:val="auto"/>
          <w:highlight w:val="none"/>
        </w:rPr>
        <w:instrText xml:space="preserve"> PAGEREF _Toc1149 \h </w:instrText>
      </w:r>
      <w:r>
        <w:rPr>
          <w:color w:val="auto"/>
          <w:highlight w:val="none"/>
        </w:rPr>
        <w:fldChar w:fldCharType="separate"/>
      </w:r>
      <w:r>
        <w:rPr>
          <w:color w:val="auto"/>
          <w:highlight w:val="none"/>
        </w:rPr>
        <w:t>32</w:t>
      </w:r>
      <w:r>
        <w:rPr>
          <w:color w:val="auto"/>
          <w:highlight w:val="none"/>
        </w:rPr>
        <w:fldChar w:fldCharType="end"/>
      </w:r>
      <w:r>
        <w:rPr>
          <w:color w:val="auto"/>
          <w:highlight w:val="none"/>
        </w:rPr>
        <w:fldChar w:fldCharType="end"/>
      </w:r>
    </w:p>
    <w:p w14:paraId="3678DCA0">
      <w:pPr>
        <w:pStyle w:val="23"/>
        <w:tabs>
          <w:tab w:val="right" w:leader="dot" w:pos="9072"/>
        </w:tabs>
        <w:rPr>
          <w:color w:val="auto"/>
          <w:highlight w:val="none"/>
        </w:rPr>
      </w:pPr>
      <w:r>
        <w:rPr>
          <w:color w:val="auto"/>
          <w:highlight w:val="none"/>
        </w:rPr>
        <w:fldChar w:fldCharType="begin"/>
      </w:r>
      <w:r>
        <w:rPr>
          <w:color w:val="auto"/>
          <w:highlight w:val="none"/>
        </w:rPr>
        <w:instrText xml:space="preserve"> HYPERLINK \l _Toc30542 </w:instrText>
      </w:r>
      <w:r>
        <w:rPr>
          <w:color w:val="auto"/>
          <w:highlight w:val="none"/>
        </w:rPr>
        <w:fldChar w:fldCharType="separate"/>
      </w:r>
      <w:r>
        <w:rPr>
          <w:rFonts w:hint="eastAsia"/>
          <w:color w:val="auto"/>
          <w:highlight w:val="none"/>
          <w:lang w:eastAsia="zh-CN"/>
        </w:rPr>
        <w:t>第四章</w:t>
      </w:r>
      <w:r>
        <w:rPr>
          <w:rFonts w:hint="eastAsia"/>
          <w:color w:val="auto"/>
          <w:highlight w:val="none"/>
          <w:lang w:val="en-US" w:eastAsia="zh-CN"/>
        </w:rPr>
        <w:t xml:space="preserve"> </w:t>
      </w:r>
      <w:r>
        <w:rPr>
          <w:rFonts w:hint="eastAsia"/>
          <w:color w:val="auto"/>
          <w:highlight w:val="none"/>
          <w:lang w:eastAsia="zh-CN"/>
        </w:rPr>
        <w:t>主要环境影响和保护措施</w:t>
      </w:r>
      <w:r>
        <w:rPr>
          <w:color w:val="auto"/>
          <w:highlight w:val="none"/>
        </w:rPr>
        <w:tab/>
      </w:r>
      <w:r>
        <w:rPr>
          <w:color w:val="auto"/>
          <w:highlight w:val="none"/>
        </w:rPr>
        <w:fldChar w:fldCharType="begin"/>
      </w:r>
      <w:r>
        <w:rPr>
          <w:color w:val="auto"/>
          <w:highlight w:val="none"/>
        </w:rPr>
        <w:instrText xml:space="preserve"> PAGEREF _Toc30542 \h </w:instrText>
      </w:r>
      <w:r>
        <w:rPr>
          <w:color w:val="auto"/>
          <w:highlight w:val="none"/>
        </w:rPr>
        <w:fldChar w:fldCharType="separate"/>
      </w:r>
      <w:r>
        <w:rPr>
          <w:color w:val="auto"/>
          <w:highlight w:val="none"/>
        </w:rPr>
        <w:t>35</w:t>
      </w:r>
      <w:r>
        <w:rPr>
          <w:color w:val="auto"/>
          <w:highlight w:val="none"/>
        </w:rPr>
        <w:fldChar w:fldCharType="end"/>
      </w:r>
      <w:r>
        <w:rPr>
          <w:color w:val="auto"/>
          <w:highlight w:val="none"/>
        </w:rPr>
        <w:fldChar w:fldCharType="end"/>
      </w:r>
    </w:p>
    <w:p w14:paraId="28AC9167">
      <w:pPr>
        <w:pStyle w:val="23"/>
        <w:tabs>
          <w:tab w:val="right" w:leader="dot" w:pos="9072"/>
        </w:tabs>
        <w:rPr>
          <w:color w:val="auto"/>
          <w:highlight w:val="none"/>
        </w:rPr>
      </w:pPr>
      <w:r>
        <w:rPr>
          <w:color w:val="auto"/>
          <w:highlight w:val="none"/>
        </w:rPr>
        <w:fldChar w:fldCharType="begin"/>
      </w:r>
      <w:r>
        <w:rPr>
          <w:color w:val="auto"/>
          <w:highlight w:val="none"/>
        </w:rPr>
        <w:instrText xml:space="preserve"> HYPERLINK \l _Toc12847 </w:instrText>
      </w:r>
      <w:r>
        <w:rPr>
          <w:color w:val="auto"/>
          <w:highlight w:val="none"/>
        </w:rPr>
        <w:fldChar w:fldCharType="separate"/>
      </w:r>
      <w:r>
        <w:rPr>
          <w:rFonts w:hint="eastAsia"/>
          <w:color w:val="auto"/>
          <w:highlight w:val="none"/>
          <w:lang w:eastAsia="zh-CN"/>
        </w:rPr>
        <w:t>第五章</w:t>
      </w:r>
      <w:r>
        <w:rPr>
          <w:rFonts w:hint="eastAsia"/>
          <w:color w:val="auto"/>
          <w:highlight w:val="none"/>
          <w:lang w:val="en-US" w:eastAsia="zh-CN"/>
        </w:rPr>
        <w:t xml:space="preserve"> </w:t>
      </w:r>
      <w:r>
        <w:rPr>
          <w:rFonts w:hint="eastAsia"/>
          <w:color w:val="auto"/>
          <w:highlight w:val="none"/>
          <w:lang w:eastAsia="zh-CN"/>
        </w:rPr>
        <w:t>环境保护措施监督检查清单</w:t>
      </w:r>
      <w:r>
        <w:rPr>
          <w:color w:val="auto"/>
          <w:highlight w:val="none"/>
        </w:rPr>
        <w:tab/>
      </w:r>
      <w:r>
        <w:rPr>
          <w:color w:val="auto"/>
          <w:highlight w:val="none"/>
        </w:rPr>
        <w:fldChar w:fldCharType="begin"/>
      </w:r>
      <w:r>
        <w:rPr>
          <w:color w:val="auto"/>
          <w:highlight w:val="none"/>
        </w:rPr>
        <w:instrText xml:space="preserve"> PAGEREF _Toc12847 \h </w:instrText>
      </w:r>
      <w:r>
        <w:rPr>
          <w:color w:val="auto"/>
          <w:highlight w:val="none"/>
        </w:rPr>
        <w:fldChar w:fldCharType="separate"/>
      </w:r>
      <w:r>
        <w:rPr>
          <w:color w:val="auto"/>
          <w:highlight w:val="none"/>
        </w:rPr>
        <w:t>58</w:t>
      </w:r>
      <w:r>
        <w:rPr>
          <w:color w:val="auto"/>
          <w:highlight w:val="none"/>
        </w:rPr>
        <w:fldChar w:fldCharType="end"/>
      </w:r>
      <w:r>
        <w:rPr>
          <w:color w:val="auto"/>
          <w:highlight w:val="none"/>
        </w:rPr>
        <w:fldChar w:fldCharType="end"/>
      </w:r>
    </w:p>
    <w:p w14:paraId="70EC9895">
      <w:pPr>
        <w:pStyle w:val="23"/>
        <w:tabs>
          <w:tab w:val="right" w:leader="dot" w:pos="9072"/>
        </w:tabs>
        <w:rPr>
          <w:color w:val="auto"/>
          <w:highlight w:val="none"/>
        </w:rPr>
      </w:pPr>
      <w:r>
        <w:rPr>
          <w:color w:val="auto"/>
          <w:highlight w:val="none"/>
        </w:rPr>
        <w:fldChar w:fldCharType="begin"/>
      </w:r>
      <w:r>
        <w:rPr>
          <w:color w:val="auto"/>
          <w:highlight w:val="none"/>
        </w:rPr>
        <w:instrText xml:space="preserve"> HYPERLINK \l _Toc19931 </w:instrText>
      </w:r>
      <w:r>
        <w:rPr>
          <w:color w:val="auto"/>
          <w:highlight w:val="none"/>
        </w:rPr>
        <w:fldChar w:fldCharType="separate"/>
      </w:r>
      <w:r>
        <w:rPr>
          <w:rFonts w:hint="eastAsia"/>
          <w:color w:val="auto"/>
          <w:highlight w:val="none"/>
          <w:lang w:eastAsia="zh-CN"/>
        </w:rPr>
        <w:t>第六章</w:t>
      </w:r>
      <w:r>
        <w:rPr>
          <w:rFonts w:hint="eastAsia"/>
          <w:color w:val="auto"/>
          <w:highlight w:val="none"/>
          <w:lang w:val="en-US" w:eastAsia="zh-CN"/>
        </w:rPr>
        <w:t xml:space="preserve"> </w:t>
      </w:r>
      <w:r>
        <w:rPr>
          <w:rFonts w:hint="eastAsia"/>
          <w:color w:val="auto"/>
          <w:highlight w:val="none"/>
          <w:lang w:eastAsia="zh-CN"/>
        </w:rPr>
        <w:t>结论</w:t>
      </w:r>
      <w:r>
        <w:rPr>
          <w:color w:val="auto"/>
          <w:highlight w:val="none"/>
        </w:rPr>
        <w:tab/>
      </w:r>
      <w:r>
        <w:rPr>
          <w:color w:val="auto"/>
          <w:highlight w:val="none"/>
        </w:rPr>
        <w:fldChar w:fldCharType="begin"/>
      </w:r>
      <w:r>
        <w:rPr>
          <w:color w:val="auto"/>
          <w:highlight w:val="none"/>
        </w:rPr>
        <w:instrText xml:space="preserve"> PAGEREF _Toc19931 \h </w:instrText>
      </w:r>
      <w:r>
        <w:rPr>
          <w:color w:val="auto"/>
          <w:highlight w:val="none"/>
        </w:rPr>
        <w:fldChar w:fldCharType="separate"/>
      </w:r>
      <w:r>
        <w:rPr>
          <w:color w:val="auto"/>
          <w:highlight w:val="none"/>
        </w:rPr>
        <w:t>63</w:t>
      </w:r>
      <w:r>
        <w:rPr>
          <w:color w:val="auto"/>
          <w:highlight w:val="none"/>
        </w:rPr>
        <w:fldChar w:fldCharType="end"/>
      </w:r>
      <w:r>
        <w:rPr>
          <w:color w:val="auto"/>
          <w:highlight w:val="none"/>
        </w:rPr>
        <w:fldChar w:fldCharType="end"/>
      </w:r>
    </w:p>
    <w:p w14:paraId="226C55CA">
      <w:pPr>
        <w:pStyle w:val="23"/>
        <w:tabs>
          <w:tab w:val="right" w:leader="dot" w:pos="9072"/>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_Toc26899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Cs w:val="0"/>
          <w:color w:val="auto"/>
          <w:szCs w:val="32"/>
          <w:highlight w:val="none"/>
          <w:lang w:eastAsia="zh-CN"/>
        </w:rPr>
        <w:t>附表</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_Toc26899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64</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03D53CBA">
      <w:pPr>
        <w:rPr>
          <w:color w:val="auto"/>
          <w:highlight w:val="none"/>
        </w:rPr>
      </w:pPr>
      <w:r>
        <w:rPr>
          <w:color w:val="auto"/>
          <w:highlight w:val="none"/>
        </w:rPr>
        <w:fldChar w:fldCharType="end"/>
      </w:r>
    </w:p>
    <w:p w14:paraId="44604E84">
      <w:pPr>
        <w:rPr>
          <w:color w:val="auto"/>
          <w:highlight w:val="none"/>
        </w:rPr>
      </w:pPr>
    </w:p>
    <w:p w14:paraId="0EA688BA">
      <w:pPr>
        <w:pStyle w:val="2"/>
        <w:bidi w:val="0"/>
        <w:ind w:left="432" w:leftChars="0" w:hanging="432" w:firstLineChars="0"/>
        <w:rPr>
          <w:rFonts w:hint="eastAsia"/>
          <w:color w:val="auto"/>
          <w:highlight w:val="none"/>
          <w:lang w:eastAsia="zh-CN"/>
        </w:rPr>
        <w:sectPr>
          <w:headerReference r:id="rId5" w:type="default"/>
          <w:footerReference r:id="rId6" w:type="default"/>
          <w:pgSz w:w="11906" w:h="16838"/>
          <w:pgMar w:top="1701" w:right="1417" w:bottom="1701" w:left="1417" w:header="851" w:footer="992" w:gutter="0"/>
          <w:pgBorders>
            <w:top w:val="none" w:sz="0" w:space="0"/>
            <w:left w:val="none" w:sz="0" w:space="0"/>
            <w:bottom w:val="none" w:sz="0" w:space="0"/>
            <w:right w:val="none" w:sz="0" w:space="0"/>
          </w:pgBorders>
          <w:pgNumType w:fmt="decimal" w:start="1"/>
          <w:cols w:space="0" w:num="1"/>
          <w:rtlGutter w:val="0"/>
          <w:docGrid w:type="lines" w:linePitch="327" w:charSpace="0"/>
        </w:sectPr>
      </w:pPr>
    </w:p>
    <w:p w14:paraId="7D547503">
      <w:pPr>
        <w:pStyle w:val="2"/>
        <w:bidi w:val="0"/>
        <w:rPr>
          <w:rFonts w:hint="eastAsia"/>
          <w:color w:val="auto"/>
          <w:highlight w:val="none"/>
          <w:lang w:eastAsia="zh-CN"/>
        </w:rPr>
      </w:pPr>
      <w:bookmarkStart w:id="0" w:name="_Toc20217"/>
      <w:r>
        <w:rPr>
          <w:rFonts w:hint="eastAsia"/>
          <w:color w:val="auto"/>
          <w:highlight w:val="none"/>
          <w:lang w:eastAsia="zh-CN"/>
        </w:rPr>
        <w:t>建设项目基本情况</w:t>
      </w:r>
      <w:bookmarkEnd w:id="0"/>
    </w:p>
    <w:tbl>
      <w:tblPr>
        <w:tblStyle w:val="33"/>
        <w:tblW w:w="509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2164"/>
        <w:gridCol w:w="2082"/>
        <w:gridCol w:w="2029"/>
        <w:gridCol w:w="3044"/>
      </w:tblGrid>
      <w:tr w14:paraId="6B755E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3E2A4AA4">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建设项目名称</w:t>
            </w:r>
          </w:p>
        </w:tc>
        <w:tc>
          <w:tcPr>
            <w:tcW w:w="7123" w:type="dxa"/>
            <w:gridSpan w:val="3"/>
            <w:noWrap w:val="0"/>
            <w:vAlign w:val="center"/>
          </w:tcPr>
          <w:p w14:paraId="27CFB887">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lang w:eastAsia="zh-CN"/>
              </w:rPr>
            </w:pPr>
            <w:r>
              <w:rPr>
                <w:rFonts w:hint="eastAsia" w:cs="Times New Roman"/>
                <w:color w:val="auto"/>
                <w:sz w:val="24"/>
                <w:szCs w:val="24"/>
                <w:highlight w:val="none"/>
                <w:lang w:eastAsia="zh-CN"/>
              </w:rPr>
              <w:t>山西省长治市壶关县高级中学建设项目</w:t>
            </w:r>
          </w:p>
        </w:tc>
      </w:tr>
      <w:tr w14:paraId="2C0F21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549C6EE6">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项目代码</w:t>
            </w:r>
          </w:p>
        </w:tc>
        <w:tc>
          <w:tcPr>
            <w:tcW w:w="7123" w:type="dxa"/>
            <w:gridSpan w:val="3"/>
            <w:noWrap w:val="0"/>
            <w:vAlign w:val="center"/>
          </w:tcPr>
          <w:p w14:paraId="4C381E25">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eastAsia" w:ascii="Times New Roman" w:hAnsi="Times New Roman" w:eastAsia="宋体" w:cs="Times New Roman"/>
                <w:color w:val="auto"/>
                <w:sz w:val="24"/>
                <w:szCs w:val="24"/>
                <w:highlight w:val="none"/>
                <w:lang w:eastAsia="zh-CN"/>
              </w:rPr>
            </w:pPr>
            <w:r>
              <w:rPr>
                <w:rFonts w:hint="eastAsia" w:cs="Times New Roman"/>
                <w:color w:val="auto"/>
                <w:sz w:val="24"/>
                <w:szCs w:val="24"/>
                <w:highlight w:val="none"/>
                <w:lang w:eastAsia="zh-CN"/>
              </w:rPr>
              <w:t>2601-140427-89-01-762198</w:t>
            </w:r>
          </w:p>
        </w:tc>
      </w:tr>
      <w:tr w14:paraId="7265D5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7D667291">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建设单位联系人</w:t>
            </w:r>
          </w:p>
        </w:tc>
        <w:tc>
          <w:tcPr>
            <w:tcW w:w="2073" w:type="dxa"/>
            <w:noWrap w:val="0"/>
            <w:vAlign w:val="center"/>
          </w:tcPr>
          <w:p w14:paraId="46603DBE">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p>
        </w:tc>
        <w:tc>
          <w:tcPr>
            <w:tcW w:w="2020" w:type="dxa"/>
            <w:noWrap w:val="0"/>
            <w:vAlign w:val="center"/>
          </w:tcPr>
          <w:p w14:paraId="09CB7A38">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联系方式</w:t>
            </w:r>
          </w:p>
        </w:tc>
        <w:tc>
          <w:tcPr>
            <w:tcW w:w="3030" w:type="dxa"/>
            <w:noWrap w:val="0"/>
            <w:vAlign w:val="center"/>
          </w:tcPr>
          <w:p w14:paraId="21922A39">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p>
        </w:tc>
      </w:tr>
      <w:tr w14:paraId="3E3A57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4630E2AC">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建设地点</w:t>
            </w:r>
          </w:p>
        </w:tc>
        <w:tc>
          <w:tcPr>
            <w:tcW w:w="7123" w:type="dxa"/>
            <w:gridSpan w:val="3"/>
            <w:noWrap w:val="0"/>
            <w:vAlign w:val="center"/>
          </w:tcPr>
          <w:p w14:paraId="0C2A4D5A">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山西省长治市壶关县集店镇常平村南150m处</w:t>
            </w:r>
          </w:p>
        </w:tc>
      </w:tr>
      <w:tr w14:paraId="7C1EA3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45A9C7BA">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地理坐标</w:t>
            </w:r>
          </w:p>
        </w:tc>
        <w:tc>
          <w:tcPr>
            <w:tcW w:w="7123" w:type="dxa"/>
            <w:gridSpan w:val="3"/>
            <w:noWrap w:val="0"/>
            <w:vAlign w:val="center"/>
          </w:tcPr>
          <w:p w14:paraId="7B2152AF">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u w:val="single"/>
                <w:lang w:val="en-US" w:eastAsia="zh-CN"/>
              </w:rPr>
              <w:t>113</w:t>
            </w:r>
            <w:r>
              <w:rPr>
                <w:rFonts w:hint="default" w:ascii="Times New Roman" w:hAnsi="Times New Roman" w:eastAsia="宋体" w:cs="Times New Roman"/>
                <w:color w:val="auto"/>
                <w:sz w:val="24"/>
                <w:szCs w:val="24"/>
                <w:highlight w:val="none"/>
              </w:rPr>
              <w:t>度</w:t>
            </w:r>
            <w:r>
              <w:rPr>
                <w:rFonts w:hint="eastAsia" w:cs="Times New Roman"/>
                <w:color w:val="auto"/>
                <w:sz w:val="24"/>
                <w:szCs w:val="24"/>
                <w:highlight w:val="none"/>
                <w:u w:val="single"/>
                <w:lang w:val="en-US" w:eastAsia="zh-CN"/>
              </w:rPr>
              <w:t>14</w:t>
            </w:r>
            <w:r>
              <w:rPr>
                <w:rFonts w:hint="default" w:ascii="Times New Roman" w:hAnsi="Times New Roman" w:eastAsia="宋体" w:cs="Times New Roman"/>
                <w:color w:val="auto"/>
                <w:sz w:val="24"/>
                <w:szCs w:val="24"/>
                <w:highlight w:val="none"/>
              </w:rPr>
              <w:t>分</w:t>
            </w:r>
            <w:r>
              <w:rPr>
                <w:rFonts w:hint="eastAsia" w:cs="Times New Roman"/>
                <w:color w:val="auto"/>
                <w:sz w:val="24"/>
                <w:szCs w:val="24"/>
                <w:highlight w:val="none"/>
                <w:u w:val="single"/>
                <w:lang w:val="en-US" w:eastAsia="zh-CN"/>
              </w:rPr>
              <w:t>14.441</w:t>
            </w:r>
            <w:r>
              <w:rPr>
                <w:rFonts w:hint="default" w:ascii="Times New Roman" w:hAnsi="Times New Roman" w:eastAsia="宋体" w:cs="Times New Roman"/>
                <w:color w:val="auto"/>
                <w:sz w:val="24"/>
                <w:szCs w:val="24"/>
                <w:highlight w:val="none"/>
              </w:rPr>
              <w:t>秒，</w:t>
            </w:r>
            <w:r>
              <w:rPr>
                <w:rFonts w:hint="default" w:ascii="Times New Roman" w:hAnsi="Times New Roman" w:eastAsia="宋体" w:cs="Times New Roman"/>
                <w:color w:val="auto"/>
                <w:sz w:val="24"/>
                <w:szCs w:val="24"/>
                <w:highlight w:val="none"/>
                <w:u w:val="single"/>
                <w:lang w:val="en-US" w:eastAsia="zh-CN"/>
              </w:rPr>
              <w:t>36</w:t>
            </w:r>
            <w:r>
              <w:rPr>
                <w:rFonts w:hint="default" w:ascii="Times New Roman" w:hAnsi="Times New Roman" w:eastAsia="宋体" w:cs="Times New Roman"/>
                <w:color w:val="auto"/>
                <w:sz w:val="24"/>
                <w:szCs w:val="24"/>
                <w:highlight w:val="none"/>
              </w:rPr>
              <w:t>度</w:t>
            </w:r>
            <w:r>
              <w:rPr>
                <w:rFonts w:hint="eastAsia" w:cs="Times New Roman"/>
                <w:color w:val="auto"/>
                <w:sz w:val="24"/>
                <w:szCs w:val="24"/>
                <w:highlight w:val="none"/>
                <w:u w:val="single"/>
                <w:lang w:val="en-US" w:eastAsia="zh-CN"/>
              </w:rPr>
              <w:t>07</w:t>
            </w:r>
            <w:r>
              <w:rPr>
                <w:rFonts w:hint="default" w:ascii="Times New Roman" w:hAnsi="Times New Roman" w:eastAsia="宋体" w:cs="Times New Roman"/>
                <w:color w:val="auto"/>
                <w:sz w:val="24"/>
                <w:szCs w:val="24"/>
                <w:highlight w:val="none"/>
              </w:rPr>
              <w:t>分</w:t>
            </w:r>
            <w:r>
              <w:rPr>
                <w:rFonts w:hint="eastAsia" w:cs="Times New Roman"/>
                <w:color w:val="auto"/>
                <w:sz w:val="24"/>
                <w:szCs w:val="24"/>
                <w:highlight w:val="none"/>
                <w:u w:val="single"/>
                <w:lang w:val="en-US" w:eastAsia="zh-CN"/>
              </w:rPr>
              <w:t>40.319</w:t>
            </w:r>
            <w:r>
              <w:rPr>
                <w:rFonts w:hint="default" w:ascii="Times New Roman" w:hAnsi="Times New Roman" w:eastAsia="宋体" w:cs="Times New Roman"/>
                <w:color w:val="auto"/>
                <w:sz w:val="24"/>
                <w:szCs w:val="24"/>
                <w:highlight w:val="none"/>
              </w:rPr>
              <w:t>秒）</w:t>
            </w:r>
          </w:p>
        </w:tc>
      </w:tr>
      <w:tr w14:paraId="51234B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53E3FE6E">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国民经济</w:t>
            </w:r>
          </w:p>
          <w:p w14:paraId="038D500C">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行业类别</w:t>
            </w:r>
          </w:p>
        </w:tc>
        <w:tc>
          <w:tcPr>
            <w:tcW w:w="2073" w:type="dxa"/>
            <w:noWrap w:val="0"/>
            <w:vAlign w:val="center"/>
          </w:tcPr>
          <w:p w14:paraId="79E5E981">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普通高中教育P8334</w:t>
            </w:r>
          </w:p>
        </w:tc>
        <w:tc>
          <w:tcPr>
            <w:tcW w:w="2020" w:type="dxa"/>
            <w:noWrap w:val="0"/>
            <w:vAlign w:val="center"/>
          </w:tcPr>
          <w:p w14:paraId="37D9B169">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w:t>
            </w:r>
          </w:p>
          <w:p w14:paraId="0499A943">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行业类别</w:t>
            </w:r>
          </w:p>
        </w:tc>
        <w:tc>
          <w:tcPr>
            <w:tcW w:w="3030" w:type="dxa"/>
            <w:noWrap w:val="0"/>
            <w:vAlign w:val="center"/>
          </w:tcPr>
          <w:p w14:paraId="36FD514F">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五十、社会事业与服务业110、学校、福利院、养老院（建筑面积5000平方米及以上的）</w:t>
            </w:r>
          </w:p>
        </w:tc>
      </w:tr>
      <w:tr w14:paraId="74D5F4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643D6AA6">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建设性质</w:t>
            </w:r>
          </w:p>
        </w:tc>
        <w:tc>
          <w:tcPr>
            <w:tcW w:w="2073" w:type="dxa"/>
            <w:noWrap w:val="0"/>
            <w:vAlign w:val="center"/>
          </w:tcPr>
          <w:p w14:paraId="4774844A">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both"/>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新建（迁建）</w:t>
            </w:r>
          </w:p>
          <w:p w14:paraId="19959724">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both"/>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改建</w:t>
            </w:r>
          </w:p>
          <w:p w14:paraId="1C4FE692">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both"/>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扩建</w:t>
            </w:r>
          </w:p>
          <w:p w14:paraId="62EBCC3F">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both"/>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技术改造</w:t>
            </w:r>
          </w:p>
        </w:tc>
        <w:tc>
          <w:tcPr>
            <w:tcW w:w="2020" w:type="dxa"/>
            <w:noWrap w:val="0"/>
            <w:vAlign w:val="center"/>
          </w:tcPr>
          <w:p w14:paraId="47097443">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w:t>
            </w:r>
          </w:p>
          <w:p w14:paraId="22697173">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申报情形</w:t>
            </w:r>
          </w:p>
        </w:tc>
        <w:tc>
          <w:tcPr>
            <w:tcW w:w="3030" w:type="dxa"/>
            <w:noWrap w:val="0"/>
            <w:vAlign w:val="center"/>
          </w:tcPr>
          <w:p w14:paraId="5018C869">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首次申报项目</w:t>
            </w:r>
          </w:p>
          <w:p w14:paraId="5EDCE5B6">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both"/>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不予批准后再次申报项目</w:t>
            </w:r>
          </w:p>
          <w:p w14:paraId="4CB6560E">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both"/>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超五年重新审核项目</w:t>
            </w:r>
          </w:p>
          <w:p w14:paraId="5EB8B626">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both"/>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重大变动重新报批项目</w:t>
            </w:r>
          </w:p>
        </w:tc>
      </w:tr>
      <w:tr w14:paraId="5E1BF0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740739AC">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项目审批（核准/</w:t>
            </w:r>
          </w:p>
          <w:p w14:paraId="61438647">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备案）部门（选填）</w:t>
            </w:r>
          </w:p>
        </w:tc>
        <w:tc>
          <w:tcPr>
            <w:tcW w:w="2073" w:type="dxa"/>
            <w:noWrap w:val="0"/>
            <w:vAlign w:val="center"/>
          </w:tcPr>
          <w:p w14:paraId="2DDD3FD3">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壶关县发展改革和科学技术局</w:t>
            </w:r>
          </w:p>
        </w:tc>
        <w:tc>
          <w:tcPr>
            <w:tcW w:w="2020" w:type="dxa"/>
            <w:noWrap w:val="0"/>
            <w:vAlign w:val="center"/>
          </w:tcPr>
          <w:p w14:paraId="1695FEBF">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项目审批（核准/</w:t>
            </w:r>
          </w:p>
          <w:p w14:paraId="6689DB06">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备案）文号（选填）</w:t>
            </w:r>
          </w:p>
        </w:tc>
        <w:tc>
          <w:tcPr>
            <w:tcW w:w="3030" w:type="dxa"/>
            <w:noWrap w:val="0"/>
            <w:vAlign w:val="center"/>
          </w:tcPr>
          <w:p w14:paraId="65F6841F">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eastAsia" w:ascii="Times New Roman" w:hAnsi="Times New Roman" w:eastAsia="宋体" w:cs="Times New Roman"/>
                <w:color w:val="auto"/>
                <w:sz w:val="24"/>
                <w:szCs w:val="24"/>
                <w:highlight w:val="none"/>
                <w:lang w:eastAsia="zh-CN"/>
              </w:rPr>
            </w:pPr>
            <w:r>
              <w:rPr>
                <w:rFonts w:hint="eastAsia" w:cs="Times New Roman"/>
                <w:color w:val="auto"/>
                <w:sz w:val="24"/>
                <w:szCs w:val="24"/>
                <w:highlight w:val="none"/>
                <w:lang w:eastAsia="zh-CN"/>
              </w:rPr>
              <w:t>壶发科审发[2026]7号</w:t>
            </w:r>
          </w:p>
        </w:tc>
      </w:tr>
      <w:tr w14:paraId="062EDB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45B5F707">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总投资（万元）</w:t>
            </w:r>
          </w:p>
        </w:tc>
        <w:tc>
          <w:tcPr>
            <w:tcW w:w="2073" w:type="dxa"/>
            <w:noWrap w:val="0"/>
            <w:vAlign w:val="center"/>
          </w:tcPr>
          <w:p w14:paraId="1A651FA1">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17241.16</w:t>
            </w:r>
          </w:p>
        </w:tc>
        <w:tc>
          <w:tcPr>
            <w:tcW w:w="2020" w:type="dxa"/>
            <w:noWrap w:val="0"/>
            <w:tcMar>
              <w:top w:w="16" w:type="dxa"/>
              <w:left w:w="16" w:type="dxa"/>
              <w:right w:w="16" w:type="dxa"/>
            </w:tcMar>
            <w:vAlign w:val="center"/>
          </w:tcPr>
          <w:p w14:paraId="630CB4BA">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环保投资（万元）</w:t>
            </w:r>
          </w:p>
        </w:tc>
        <w:tc>
          <w:tcPr>
            <w:tcW w:w="3030" w:type="dxa"/>
            <w:noWrap w:val="0"/>
            <w:vAlign w:val="center"/>
          </w:tcPr>
          <w:p w14:paraId="6F5CF91C">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75.5</w:t>
            </w:r>
          </w:p>
        </w:tc>
      </w:tr>
      <w:tr w14:paraId="679B76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307E2713">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环保投资占比（%）</w:t>
            </w:r>
          </w:p>
        </w:tc>
        <w:tc>
          <w:tcPr>
            <w:tcW w:w="2073" w:type="dxa"/>
            <w:noWrap w:val="0"/>
            <w:vAlign w:val="center"/>
          </w:tcPr>
          <w:p w14:paraId="23A52810">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0.44%</w:t>
            </w:r>
          </w:p>
        </w:tc>
        <w:tc>
          <w:tcPr>
            <w:tcW w:w="2020" w:type="dxa"/>
            <w:noWrap w:val="0"/>
            <w:tcMar>
              <w:top w:w="16" w:type="dxa"/>
              <w:left w:w="16" w:type="dxa"/>
              <w:right w:w="16" w:type="dxa"/>
            </w:tcMar>
            <w:vAlign w:val="center"/>
          </w:tcPr>
          <w:p w14:paraId="361AF65D">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施工工期</w:t>
            </w:r>
          </w:p>
        </w:tc>
        <w:tc>
          <w:tcPr>
            <w:tcW w:w="3030" w:type="dxa"/>
            <w:noWrap w:val="0"/>
            <w:vAlign w:val="center"/>
          </w:tcPr>
          <w:p w14:paraId="77326D5D">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rPr>
              <w:t>个月</w:t>
            </w:r>
          </w:p>
        </w:tc>
      </w:tr>
      <w:tr w14:paraId="510C38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264F891D">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是否开工建设</w:t>
            </w:r>
          </w:p>
        </w:tc>
        <w:tc>
          <w:tcPr>
            <w:tcW w:w="2073" w:type="dxa"/>
            <w:noWrap w:val="0"/>
            <w:vAlign w:val="center"/>
          </w:tcPr>
          <w:p w14:paraId="2E0618F8">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☑否</w:t>
            </w:r>
          </w:p>
          <w:p w14:paraId="7B508DDF">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both"/>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是：</w:t>
            </w:r>
            <w:r>
              <w:rPr>
                <w:rFonts w:hint="eastAsia" w:cs="Times New Roman"/>
                <w:color w:val="auto"/>
                <w:sz w:val="24"/>
                <w:szCs w:val="24"/>
                <w:highlight w:val="none"/>
                <w:u w:val="single"/>
                <w:lang w:val="en-US" w:eastAsia="zh-CN"/>
              </w:rPr>
              <w:t xml:space="preserve">       </w:t>
            </w:r>
          </w:p>
        </w:tc>
        <w:tc>
          <w:tcPr>
            <w:tcW w:w="2020" w:type="dxa"/>
            <w:noWrap w:val="0"/>
            <w:tcMar>
              <w:top w:w="16" w:type="dxa"/>
              <w:left w:w="16" w:type="dxa"/>
              <w:right w:w="16" w:type="dxa"/>
            </w:tcMar>
            <w:vAlign w:val="center"/>
          </w:tcPr>
          <w:p w14:paraId="2311DF45">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用地（用海）</w:t>
            </w:r>
          </w:p>
          <w:p w14:paraId="6A7193B5">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面积（m</w:t>
            </w:r>
            <w:r>
              <w:rPr>
                <w:rFonts w:hint="default" w:ascii="Times New Roman" w:hAnsi="Times New Roman" w:eastAsia="宋体" w:cs="Times New Roman"/>
                <w:color w:val="auto"/>
                <w:sz w:val="24"/>
                <w:szCs w:val="24"/>
                <w:highlight w:val="none"/>
                <w:vertAlign w:val="superscript"/>
              </w:rPr>
              <w:t>2</w:t>
            </w:r>
            <w:r>
              <w:rPr>
                <w:rFonts w:hint="default" w:ascii="Times New Roman" w:hAnsi="Times New Roman" w:eastAsia="宋体" w:cs="Times New Roman"/>
                <w:color w:val="auto"/>
                <w:sz w:val="24"/>
                <w:szCs w:val="24"/>
                <w:highlight w:val="none"/>
              </w:rPr>
              <w:t>）</w:t>
            </w:r>
          </w:p>
        </w:tc>
        <w:tc>
          <w:tcPr>
            <w:tcW w:w="3030" w:type="dxa"/>
            <w:noWrap w:val="0"/>
            <w:vAlign w:val="center"/>
          </w:tcPr>
          <w:p w14:paraId="3FA40660">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55121.35</w:t>
            </w:r>
          </w:p>
        </w:tc>
      </w:tr>
      <w:tr w14:paraId="7C9453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22C0BF9B">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专项评价设置情况</w:t>
            </w:r>
          </w:p>
        </w:tc>
        <w:tc>
          <w:tcPr>
            <w:tcW w:w="7123" w:type="dxa"/>
            <w:gridSpan w:val="3"/>
            <w:noWrap w:val="0"/>
            <w:vAlign w:val="center"/>
          </w:tcPr>
          <w:p w14:paraId="0CF20E2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auto"/>
                <w:highlight w:val="none"/>
                <w:lang w:val="en-US" w:eastAsia="zh-CN"/>
              </w:rPr>
            </w:pPr>
            <w:r>
              <w:rPr>
                <w:rFonts w:hint="eastAsia"/>
                <w:color w:val="auto"/>
                <w:highlight w:val="none"/>
                <w:lang w:val="en-US" w:eastAsia="zh-CN"/>
              </w:rPr>
              <w:t>无</w:t>
            </w:r>
          </w:p>
        </w:tc>
      </w:tr>
      <w:tr w14:paraId="4BA37B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2B95ED21">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规划情况</w:t>
            </w:r>
          </w:p>
        </w:tc>
        <w:tc>
          <w:tcPr>
            <w:tcW w:w="7123" w:type="dxa"/>
            <w:gridSpan w:val="3"/>
            <w:noWrap w:val="0"/>
            <w:vAlign w:val="center"/>
          </w:tcPr>
          <w:p w14:paraId="3AED968B">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color w:val="auto"/>
                <w:highlight w:val="none"/>
                <w:lang w:val="en-US" w:eastAsia="zh-CN"/>
              </w:rPr>
            </w:pPr>
            <w:r>
              <w:rPr>
                <w:rFonts w:hint="eastAsia"/>
                <w:color w:val="auto"/>
                <w:highlight w:val="none"/>
                <w:lang w:val="en-US" w:eastAsia="zh-CN"/>
              </w:rPr>
              <w:t>规划名称：《山西省壶关经济开发区扩区总体规划（2020-2035）》；</w:t>
            </w:r>
          </w:p>
          <w:p w14:paraId="76D4C0FA">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color w:val="auto"/>
                <w:highlight w:val="none"/>
                <w:lang w:val="en-US" w:eastAsia="zh-CN"/>
              </w:rPr>
            </w:pPr>
            <w:r>
              <w:rPr>
                <w:rFonts w:hint="eastAsia"/>
                <w:color w:val="auto"/>
                <w:highlight w:val="none"/>
                <w:lang w:val="en-US" w:eastAsia="zh-CN"/>
              </w:rPr>
              <w:t>设立机关：山西省人民政府；</w:t>
            </w:r>
          </w:p>
          <w:p w14:paraId="2A990332">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color w:val="auto"/>
                <w:highlight w:val="none"/>
                <w:lang w:val="en-US" w:eastAsia="zh-CN"/>
              </w:rPr>
            </w:pPr>
            <w:r>
              <w:rPr>
                <w:rFonts w:hint="eastAsia"/>
                <w:color w:val="auto"/>
                <w:highlight w:val="none"/>
                <w:lang w:val="en-US" w:eastAsia="zh-CN"/>
              </w:rPr>
              <w:t>文号：山西省人民政府关于同意壶关经济开发区扩区的批复（晋政函[2017]117号）</w:t>
            </w:r>
          </w:p>
        </w:tc>
      </w:tr>
      <w:tr w14:paraId="5B9422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61C8E23B">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规划环境影响</w:t>
            </w:r>
          </w:p>
          <w:p w14:paraId="5B2F380D">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评价情况</w:t>
            </w:r>
          </w:p>
        </w:tc>
        <w:tc>
          <w:tcPr>
            <w:tcW w:w="7123" w:type="dxa"/>
            <w:gridSpan w:val="3"/>
            <w:noWrap w:val="0"/>
            <w:vAlign w:val="center"/>
          </w:tcPr>
          <w:p w14:paraId="300AD71E">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color w:val="auto"/>
                <w:highlight w:val="none"/>
                <w:lang w:val="en-US" w:eastAsia="zh-CN"/>
              </w:rPr>
            </w:pPr>
            <w:r>
              <w:rPr>
                <w:rFonts w:hint="eastAsia"/>
                <w:color w:val="auto"/>
                <w:highlight w:val="none"/>
                <w:lang w:val="en-US" w:eastAsia="zh-CN"/>
              </w:rPr>
              <w:t>规划环评影响评价报告：《壶关经济开发区扩区总体规划（2020-2035）环境影响报告书》</w:t>
            </w:r>
          </w:p>
          <w:p w14:paraId="67D03CCE">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color w:val="auto"/>
                <w:highlight w:val="none"/>
                <w:lang w:val="en-US" w:eastAsia="zh-CN"/>
              </w:rPr>
            </w:pPr>
            <w:r>
              <w:rPr>
                <w:rFonts w:hint="eastAsia"/>
                <w:color w:val="auto"/>
                <w:highlight w:val="none"/>
                <w:lang w:val="en-US" w:eastAsia="zh-CN"/>
              </w:rPr>
              <w:t>审查机关：山西省生态环境厅</w:t>
            </w:r>
          </w:p>
          <w:p w14:paraId="024DB39D">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color w:val="auto"/>
                <w:highlight w:val="none"/>
                <w:lang w:val="en-US" w:eastAsia="zh-CN"/>
              </w:rPr>
            </w:pPr>
            <w:r>
              <w:rPr>
                <w:rFonts w:hint="eastAsia"/>
                <w:color w:val="auto"/>
                <w:highlight w:val="none"/>
                <w:lang w:val="en-US" w:eastAsia="zh-CN"/>
              </w:rPr>
              <w:t>审批文件文号：山西省生态环境厅关于《壶关经济开发区扩区总体规划（2020-2035）环境影响报告书》的审查意见（晋环函[2023]573号）</w:t>
            </w:r>
          </w:p>
        </w:tc>
      </w:tr>
      <w:tr w14:paraId="1113E3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154" w:type="dxa"/>
            <w:noWrap w:val="0"/>
            <w:tcMar>
              <w:top w:w="16" w:type="dxa"/>
              <w:left w:w="16" w:type="dxa"/>
              <w:right w:w="16" w:type="dxa"/>
            </w:tcMar>
            <w:vAlign w:val="center"/>
          </w:tcPr>
          <w:p w14:paraId="3B724F34">
            <w:pPr>
              <w:pStyle w:val="39"/>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规划及规划环境影响评价符合性分析</w:t>
            </w:r>
          </w:p>
        </w:tc>
        <w:tc>
          <w:tcPr>
            <w:tcW w:w="7123" w:type="dxa"/>
            <w:gridSpan w:val="3"/>
            <w:noWrap w:val="0"/>
            <w:vAlign w:val="center"/>
          </w:tcPr>
          <w:p w14:paraId="28B24822">
            <w:pPr>
              <w:keepNext w:val="0"/>
              <w:keepLines w:val="0"/>
              <w:pageBreakBefore w:val="0"/>
              <w:widowControl w:val="0"/>
              <w:kinsoku/>
              <w:wordWrap/>
              <w:overflowPunct/>
              <w:topLinePunct/>
              <w:bidi w:val="0"/>
              <w:adjustRightInd/>
              <w:snapToGrid/>
              <w:spacing w:line="360" w:lineRule="auto"/>
              <w:ind w:firstLine="480" w:firstLineChars="200"/>
              <w:textAlignment w:val="auto"/>
              <w:rPr>
                <w:color w:val="auto"/>
                <w:highlight w:val="none"/>
              </w:rPr>
            </w:pPr>
            <w:r>
              <w:rPr>
                <w:color w:val="auto"/>
                <w:highlight w:val="none"/>
              </w:rPr>
              <w:t>1.本项目与《山西省壶关经济开发区扩区总体规划（2020-2035）》的符合性分析</w:t>
            </w:r>
          </w:p>
          <w:p w14:paraId="599FFB56">
            <w:pPr>
              <w:keepNext w:val="0"/>
              <w:keepLines w:val="0"/>
              <w:pageBreakBefore w:val="0"/>
              <w:widowControl w:val="0"/>
              <w:kinsoku/>
              <w:wordWrap/>
              <w:overflowPunct/>
              <w:topLinePunct/>
              <w:bidi w:val="0"/>
              <w:adjustRightInd/>
              <w:snapToGrid/>
              <w:spacing w:line="360" w:lineRule="auto"/>
              <w:ind w:firstLine="480" w:firstLineChars="200"/>
              <w:textAlignment w:val="auto"/>
              <w:rPr>
                <w:color w:val="auto"/>
                <w:highlight w:val="none"/>
              </w:rPr>
            </w:pPr>
            <w:r>
              <w:rPr>
                <w:color w:val="auto"/>
                <w:highlight w:val="none"/>
              </w:rPr>
              <w:t>（1）规划范围</w:t>
            </w:r>
          </w:p>
          <w:p w14:paraId="6375FE0F">
            <w:pPr>
              <w:keepNext w:val="0"/>
              <w:keepLines w:val="0"/>
              <w:pageBreakBefore w:val="0"/>
              <w:widowControl w:val="0"/>
              <w:kinsoku/>
              <w:wordWrap/>
              <w:overflowPunct/>
              <w:autoSpaceDE w:val="0"/>
              <w:autoSpaceDN w:val="0"/>
              <w:bidi w:val="0"/>
              <w:adjustRightInd/>
              <w:snapToGrid/>
              <w:spacing w:line="360" w:lineRule="auto"/>
              <w:ind w:firstLine="480" w:firstLineChars="200"/>
              <w:textAlignment w:val="auto"/>
              <w:rPr>
                <w:color w:val="auto"/>
                <w:highlight w:val="none"/>
              </w:rPr>
            </w:pPr>
            <w:r>
              <w:rPr>
                <w:rFonts w:hint="eastAsia"/>
                <w:color w:val="auto"/>
                <w:highlight w:val="none"/>
              </w:rPr>
              <w:t>扩区后的壶关经济开发区规划四至范围，东至长治绕城高速（不含），南至山西壶关化工集团有限公司南侧，西至中南铁路壶关段（不含），北至壶关与平顺县界。总占地面积</w:t>
            </w:r>
            <w:r>
              <w:rPr>
                <w:color w:val="auto"/>
                <w:highlight w:val="none"/>
              </w:rPr>
              <w:t>29.65</w:t>
            </w:r>
            <w:r>
              <w:rPr>
                <w:rFonts w:hint="eastAsia"/>
                <w:color w:val="auto"/>
                <w:highlight w:val="none"/>
              </w:rPr>
              <w:t>平方公里</w:t>
            </w:r>
            <w:r>
              <w:rPr>
                <w:color w:val="auto"/>
                <w:highlight w:val="none"/>
              </w:rPr>
              <w:t>。</w:t>
            </w:r>
          </w:p>
          <w:p w14:paraId="4DE53B16">
            <w:pPr>
              <w:keepNext w:val="0"/>
              <w:keepLines w:val="0"/>
              <w:pageBreakBefore w:val="0"/>
              <w:widowControl w:val="0"/>
              <w:kinsoku/>
              <w:wordWrap/>
              <w:overflowPunct/>
              <w:topLinePunct/>
              <w:bidi w:val="0"/>
              <w:adjustRightInd/>
              <w:snapToGrid/>
              <w:spacing w:line="360" w:lineRule="auto"/>
              <w:ind w:firstLine="480" w:firstLineChars="200"/>
              <w:textAlignment w:val="auto"/>
              <w:rPr>
                <w:color w:val="auto"/>
                <w:highlight w:val="none"/>
              </w:rPr>
            </w:pPr>
            <w:r>
              <w:rPr>
                <w:color w:val="auto"/>
                <w:highlight w:val="none"/>
              </w:rPr>
              <w:t>（2）规划期限</w:t>
            </w:r>
          </w:p>
          <w:p w14:paraId="244534AE">
            <w:pPr>
              <w:keepNext w:val="0"/>
              <w:keepLines w:val="0"/>
              <w:pageBreakBefore w:val="0"/>
              <w:widowControl w:val="0"/>
              <w:kinsoku/>
              <w:wordWrap/>
              <w:overflowPunct/>
              <w:topLinePunct/>
              <w:bidi w:val="0"/>
              <w:adjustRightInd/>
              <w:snapToGrid/>
              <w:spacing w:line="360" w:lineRule="auto"/>
              <w:ind w:firstLine="480" w:firstLineChars="200"/>
              <w:textAlignment w:val="auto"/>
              <w:rPr>
                <w:color w:val="auto"/>
                <w:highlight w:val="none"/>
              </w:rPr>
            </w:pPr>
            <w:r>
              <w:rPr>
                <w:color w:val="auto"/>
                <w:highlight w:val="none"/>
              </w:rPr>
              <w:t>规划期限为2020-2035年，其中：近期：2020-2025年；远期：2026-2035年。</w:t>
            </w:r>
          </w:p>
          <w:p w14:paraId="6BECE33B">
            <w:pPr>
              <w:keepNext w:val="0"/>
              <w:keepLines w:val="0"/>
              <w:pageBreakBefore w:val="0"/>
              <w:widowControl w:val="0"/>
              <w:kinsoku/>
              <w:wordWrap/>
              <w:overflowPunct/>
              <w:topLinePunct/>
              <w:bidi w:val="0"/>
              <w:adjustRightInd/>
              <w:snapToGrid/>
              <w:spacing w:line="360" w:lineRule="auto"/>
              <w:ind w:firstLine="480" w:firstLineChars="200"/>
              <w:textAlignment w:val="auto"/>
              <w:rPr>
                <w:color w:val="auto"/>
                <w:highlight w:val="none"/>
              </w:rPr>
            </w:pPr>
            <w:r>
              <w:rPr>
                <w:color w:val="auto"/>
                <w:highlight w:val="none"/>
              </w:rPr>
              <w:t>（3）规划定位</w:t>
            </w:r>
          </w:p>
          <w:p w14:paraId="1D6EA023">
            <w:pPr>
              <w:keepNext w:val="0"/>
              <w:keepLines w:val="0"/>
              <w:pageBreakBefore w:val="0"/>
              <w:widowControl w:val="0"/>
              <w:kinsoku/>
              <w:wordWrap/>
              <w:overflowPunct/>
              <w:topLinePunct/>
              <w:bidi w:val="0"/>
              <w:adjustRightInd/>
              <w:snapToGrid/>
              <w:spacing w:line="360" w:lineRule="auto"/>
              <w:ind w:firstLine="480" w:firstLineChars="200"/>
              <w:textAlignment w:val="auto"/>
              <w:rPr>
                <w:color w:val="auto"/>
                <w:highlight w:val="none"/>
              </w:rPr>
            </w:pPr>
            <w:r>
              <w:rPr>
                <w:color w:val="auto"/>
                <w:highlight w:val="none"/>
              </w:rPr>
              <w:t>全国特色产业基地，壶关生态新城。以新材料、装备制造业、文化旅游为特色的产业基地，壶关生态新城。</w:t>
            </w:r>
          </w:p>
          <w:p w14:paraId="5E8DFD0E">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）功能分区</w:t>
            </w:r>
          </w:p>
          <w:p w14:paraId="45EA20CD">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lang w:eastAsia="zh-CN"/>
              </w:rPr>
            </w:pPr>
            <w:r>
              <w:rPr>
                <w:rFonts w:hint="eastAsia"/>
                <w:color w:val="auto"/>
                <w:highlight w:val="none"/>
                <w:lang w:eastAsia="zh-CN"/>
              </w:rPr>
              <w:t>产业发展区：规划保留中部常平钢铁厂传统产业；北部发展新材料、节能环保、高端装备等战略性新兴产业；推动西部现代物流集散基地，规划金烨国际物流园、壶关国投铁路专用线、长治一运现代物流等项目，着力打造山西乃至华北地区有影响力的产业集群区。</w:t>
            </w:r>
          </w:p>
          <w:p w14:paraId="3EF1516D">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lang w:eastAsia="zh-CN"/>
              </w:rPr>
            </w:pPr>
            <w:r>
              <w:rPr>
                <w:rFonts w:hint="eastAsia"/>
                <w:color w:val="auto"/>
                <w:highlight w:val="none"/>
                <w:lang w:eastAsia="zh-CN"/>
              </w:rPr>
              <w:t>综合服务区：规划结合现状位于长平高速连接线北侧的壶关经开区（壶关碧城工业园）布置城市级公共服务和产业管理办公、研发孵化等功能，构建外向型综合服务门户和功能核心，强化对外开放和对内集聚效应，进而形成以综合服务职能为主的区域。</w:t>
            </w:r>
          </w:p>
          <w:p w14:paraId="23B73FF8">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lang w:eastAsia="zh-CN"/>
              </w:rPr>
            </w:pPr>
            <w:r>
              <w:rPr>
                <w:rFonts w:hint="eastAsia"/>
                <w:color w:val="auto"/>
                <w:highlight w:val="none"/>
                <w:lang w:eastAsia="zh-CN"/>
              </w:rPr>
              <w:t>产城融合区：规划构建生活居住、商业配套完善、布局合理的公共服务设施网络，通过产业、居住、商业服务等功能空间的整合，促进城市功能与空间格局的协调和优化，促进产城空间的统筹融合。</w:t>
            </w:r>
          </w:p>
          <w:p w14:paraId="21413C85">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eastAsia="宋体"/>
                <w:color w:val="auto"/>
                <w:highlight w:val="none"/>
                <w:lang w:eastAsia="zh-CN"/>
              </w:rPr>
            </w:pPr>
            <w:r>
              <w:rPr>
                <w:rFonts w:hint="eastAsia"/>
                <w:color w:val="auto"/>
                <w:highlight w:val="none"/>
                <w:lang w:eastAsia="zh-CN"/>
              </w:rPr>
              <w:t>文娱特色区：规划以4A级欢乐太行谷、常平温泉乐园等龙头景区，配套完善景区内外基础设施；坚持以文塑旅、以旅彰文，深入挖掘历史文化底蕴，推动民俗演艺、传统非遗、文化产品进入景区；结合常平中学、新时代双语学校、壶关特校、壶关县职教中心及长治职业技术学院南校区为平台，以经开区管委会为平台，促进教育链、人才链与产业链、创新链有机衔接，优化学校布局。</w:t>
            </w:r>
          </w:p>
          <w:p w14:paraId="22D2E2E1">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rPr>
            </w:pPr>
            <w:r>
              <w:rPr>
                <w:rFonts w:hint="eastAsia"/>
                <w:color w:val="auto"/>
                <w:highlight w:val="none"/>
              </w:rPr>
              <w:t>（</w:t>
            </w:r>
            <w:r>
              <w:rPr>
                <w:rFonts w:hint="eastAsia"/>
                <w:color w:val="auto"/>
                <w:highlight w:val="none"/>
                <w:lang w:val="en-US" w:eastAsia="zh-CN"/>
              </w:rPr>
              <w:t>5</w:t>
            </w:r>
            <w:r>
              <w:rPr>
                <w:rFonts w:hint="eastAsia"/>
                <w:color w:val="auto"/>
                <w:highlight w:val="none"/>
              </w:rPr>
              <w:t>）开发区基础设施建设情况：</w:t>
            </w:r>
          </w:p>
          <w:p w14:paraId="1CED45FB">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rPr>
            </w:pPr>
            <w:r>
              <w:rPr>
                <w:rFonts w:hint="eastAsia"/>
                <w:color w:val="auto"/>
                <w:highlight w:val="none"/>
              </w:rPr>
              <w:t>给水工程规划：</w:t>
            </w:r>
          </w:p>
          <w:p w14:paraId="4B52E808">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rPr>
            </w:pPr>
            <w:r>
              <w:rPr>
                <w:rFonts w:hint="eastAsia"/>
                <w:color w:val="auto"/>
                <w:highlight w:val="none"/>
              </w:rPr>
              <w:t>①供水水源：开发区内生活用水主要由城市供水系统进行供给，引自城市给水管道系统。由壶关县第一水厂、第二水厂作为主要水源。积极开发利用中水回用水源为工业用水水源。</w:t>
            </w:r>
          </w:p>
          <w:p w14:paraId="1159E48A">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rPr>
            </w:pPr>
            <w:r>
              <w:rPr>
                <w:rFonts w:hint="eastAsia"/>
                <w:color w:val="auto"/>
                <w:highlight w:val="none"/>
              </w:rPr>
              <w:t>②给水管网规划：管网规划结合开发区主干路网布置成环状主管网。给水主干管为DN400-DN600，支管为DN200-DN300。</w:t>
            </w:r>
          </w:p>
          <w:p w14:paraId="60F13943">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rPr>
            </w:pPr>
            <w:r>
              <w:rPr>
                <w:rFonts w:hint="eastAsia"/>
                <w:color w:val="auto"/>
                <w:highlight w:val="none"/>
              </w:rPr>
              <w:t>③再生水规划：开发区北侧的开发区污水处理厂配建再生水厂（两厂场址合设）。再生水回用根据不同用途，水质必须符合《城市污水再生利用分类》（GB/T18919-2002）等相关标准的要求。</w:t>
            </w:r>
          </w:p>
          <w:p w14:paraId="7D5D6B27">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rPr>
            </w:pPr>
            <w:r>
              <w:rPr>
                <w:rFonts w:hint="eastAsia"/>
                <w:color w:val="auto"/>
                <w:highlight w:val="none"/>
              </w:rPr>
              <w:t>排水工程规划：</w:t>
            </w:r>
          </w:p>
          <w:p w14:paraId="7C61CCBB">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rPr>
            </w:pPr>
            <w:r>
              <w:rPr>
                <w:rFonts w:hint="eastAsia"/>
                <w:color w:val="auto"/>
                <w:highlight w:val="none"/>
              </w:rPr>
              <w:t>①排水体制选择：采用雨污分流的排水体制。</w:t>
            </w:r>
          </w:p>
          <w:p w14:paraId="5B22B438">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rPr>
            </w:pPr>
            <w:r>
              <w:rPr>
                <w:rFonts w:hint="eastAsia"/>
                <w:color w:val="auto"/>
                <w:highlight w:val="none"/>
              </w:rPr>
              <w:t>②雨水工程规划：依地面高程使雨水分散排入石子河和南大河沟。</w:t>
            </w:r>
          </w:p>
          <w:p w14:paraId="40BE7B8A">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rPr>
            </w:pPr>
            <w:r>
              <w:rPr>
                <w:rFonts w:hint="eastAsia"/>
                <w:color w:val="auto"/>
                <w:highlight w:val="none"/>
              </w:rPr>
              <w:t>③污水处理厂规划：规划污水厂位于开发区北部，污水统一收集后排入污水处理厂进行净化和处理。</w:t>
            </w:r>
          </w:p>
          <w:p w14:paraId="0C2A5DDC">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rPr>
            </w:pPr>
            <w:r>
              <w:rPr>
                <w:rFonts w:hint="eastAsia"/>
                <w:color w:val="auto"/>
                <w:highlight w:val="none"/>
              </w:rPr>
              <w:t>④污水管网布局：污水管道按照南高北低、东高西低的坡向顺坡敷设，以实现最佳的排放效果。根据地形条件，结合污水收集分区，各分区污水管线应结合道路网规划与市政道路同步施工建设。各排水分区的污水收集后，经各分区污水干管送入规划的污水处理厂处理。污水管道的管径取D400-D1200。</w:t>
            </w:r>
          </w:p>
          <w:p w14:paraId="17402346">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rPr>
            </w:pPr>
            <w:r>
              <w:rPr>
                <w:rFonts w:hint="eastAsia"/>
                <w:color w:val="auto"/>
                <w:highlight w:val="none"/>
              </w:rPr>
              <w:t>电力工程规划：</w:t>
            </w:r>
          </w:p>
          <w:p w14:paraId="74620DC2">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rPr>
            </w:pPr>
            <w:r>
              <w:rPr>
                <w:rFonts w:hint="eastAsia"/>
                <w:color w:val="auto"/>
                <w:highlight w:val="none"/>
              </w:rPr>
              <w:t>①电源规划：开发区电源引自西庄220KV变电站、集店110KV变电站和杜家河110KV变电站。</w:t>
            </w:r>
          </w:p>
          <w:p w14:paraId="5409621B">
            <w:pPr>
              <w:keepNext w:val="0"/>
              <w:keepLines w:val="0"/>
              <w:pageBreakBefore w:val="0"/>
              <w:widowControl w:val="0"/>
              <w:kinsoku/>
              <w:wordWrap/>
              <w:overflowPunct/>
              <w:topLinePunct/>
              <w:bidi w:val="0"/>
              <w:adjustRightInd/>
              <w:snapToGrid/>
              <w:spacing w:line="360" w:lineRule="auto"/>
              <w:ind w:firstLine="480" w:firstLineChars="200"/>
              <w:textAlignment w:val="auto"/>
              <w:rPr>
                <w:color w:val="auto"/>
                <w:highlight w:val="none"/>
              </w:rPr>
            </w:pPr>
            <w:r>
              <w:rPr>
                <w:rFonts w:hint="eastAsia"/>
                <w:color w:val="auto"/>
                <w:highlight w:val="none"/>
              </w:rPr>
              <w:t>②电网规划：开发区10千伏配电网以10千伏开闭所为供电节点，形成电缆环网结线系统。开闭所主接线采用单母线分段，以确保每个开闭所都有两个方向的电源线。为避免近电远送，交叉供电，每个开闭所应有明确的供电区域。开闭所及10千伏电缆线路结合开发区规划建设同步进行。</w:t>
            </w:r>
          </w:p>
          <w:p w14:paraId="28E5BB3F">
            <w:pPr>
              <w:keepNext w:val="0"/>
              <w:keepLines w:val="0"/>
              <w:pageBreakBefore w:val="0"/>
              <w:widowControl w:val="0"/>
              <w:kinsoku/>
              <w:wordWrap/>
              <w:overflowPunct/>
              <w:topLinePunct/>
              <w:bidi w:val="0"/>
              <w:adjustRightInd/>
              <w:snapToGrid/>
              <w:spacing w:line="360" w:lineRule="auto"/>
              <w:ind w:firstLine="480" w:firstLineChars="200"/>
              <w:textAlignment w:val="auto"/>
              <w:rPr>
                <w:color w:val="auto"/>
                <w:highlight w:val="none"/>
              </w:rPr>
            </w:pPr>
            <w:r>
              <w:rPr>
                <w:rFonts w:hint="eastAsia"/>
                <w:color w:val="auto"/>
                <w:highlight w:val="none"/>
              </w:rPr>
              <w:t>本项目高中选址位于规划产城融合区内，产城融合区以完善居住配套、提升宜居品质、实现产城融合为核心目标。高中作为重要的公共管理与公共服务设施，是片区居住功能必备的教育配套，可完善区域公共服务设施体系，与居住、商业服务等功能形成良性互补，符合产城融合区功能布局要求。</w:t>
            </w:r>
          </w:p>
          <w:p w14:paraId="37BE854F">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lang w:eastAsia="zh-CN"/>
              </w:rPr>
            </w:pPr>
            <w:r>
              <w:rPr>
                <w:color w:val="auto"/>
                <w:highlight w:val="none"/>
              </w:rPr>
              <w:t>本项目位于山西省壶关经济开发区</w:t>
            </w:r>
            <w:r>
              <w:rPr>
                <w:rFonts w:hint="eastAsia"/>
                <w:color w:val="auto"/>
                <w:highlight w:val="none"/>
                <w:lang w:val="en-US" w:eastAsia="zh-CN"/>
              </w:rPr>
              <w:t>常平村南，</w:t>
            </w:r>
            <w:r>
              <w:rPr>
                <w:color w:val="auto"/>
                <w:highlight w:val="none"/>
              </w:rPr>
              <w:t>本项目为</w:t>
            </w:r>
            <w:r>
              <w:rPr>
                <w:rFonts w:hint="eastAsia"/>
                <w:color w:val="auto"/>
                <w:highlight w:val="none"/>
                <w:lang w:val="en-US" w:eastAsia="zh-CN"/>
              </w:rPr>
              <w:t>新建学校</w:t>
            </w:r>
            <w:r>
              <w:rPr>
                <w:color w:val="auto"/>
                <w:highlight w:val="none"/>
              </w:rPr>
              <w:t>项目</w:t>
            </w:r>
            <w:r>
              <w:rPr>
                <w:rFonts w:hint="eastAsia"/>
                <w:color w:val="auto"/>
                <w:highlight w:val="none"/>
                <w:lang w:eastAsia="zh-CN"/>
              </w:rPr>
              <w:t>，本项目排水采用雨、污分流制。各建筑单体污水均重力汇流排至室外污水管网，经化粪池处理达标后排放至常平大街市政污水管网。校区内雨水排入常平大街市政雨水管网。</w:t>
            </w:r>
          </w:p>
          <w:p w14:paraId="0B238608">
            <w:pPr>
              <w:keepNext w:val="0"/>
              <w:keepLines w:val="0"/>
              <w:pageBreakBefore w:val="0"/>
              <w:widowControl w:val="0"/>
              <w:kinsoku/>
              <w:wordWrap/>
              <w:overflowPunct/>
              <w:topLinePunct/>
              <w:bidi w:val="0"/>
              <w:adjustRightInd/>
              <w:snapToGrid/>
              <w:spacing w:line="360" w:lineRule="auto"/>
              <w:ind w:firstLine="480" w:firstLineChars="200"/>
              <w:textAlignment w:val="auto"/>
              <w:rPr>
                <w:rFonts w:hint="eastAsia"/>
                <w:color w:val="auto"/>
                <w:highlight w:val="none"/>
                <w:lang w:eastAsia="zh-CN"/>
              </w:rPr>
            </w:pPr>
            <w:r>
              <w:rPr>
                <w:rFonts w:hint="eastAsia"/>
                <w:color w:val="auto"/>
                <w:highlight w:val="none"/>
                <w:lang w:val="en-US" w:eastAsia="zh-CN"/>
              </w:rPr>
              <w:t>根据壶关经济技术开发区用地规划图（附图19），本项目选址地块规划用地类型为住宅用地；根据壶关县人民政府会议纪要，</w:t>
            </w:r>
            <w:r>
              <w:rPr>
                <w:rFonts w:hint="eastAsia"/>
                <w:color w:val="auto"/>
                <w:highlight w:val="none"/>
                <w:lang w:eastAsia="zh-CN"/>
              </w:rPr>
              <w:t>同意县教育局在集店镇常平村常平大街南侧（原规划住宅用地）选址新建18轨制高中学校（</w:t>
            </w:r>
            <w:r>
              <w:rPr>
                <w:rFonts w:hint="eastAsia"/>
                <w:color w:val="auto"/>
                <w:highlight w:val="none"/>
                <w:lang w:val="en-US" w:eastAsia="zh-CN"/>
              </w:rPr>
              <w:t>本项目为新建10轨制壶关县高级中学校</w:t>
            </w:r>
            <w:r>
              <w:rPr>
                <w:rFonts w:hint="eastAsia"/>
                <w:color w:val="auto"/>
                <w:highlight w:val="none"/>
                <w:lang w:eastAsia="zh-CN"/>
              </w:rPr>
              <w:t>），规划占地约121亩（</w:t>
            </w:r>
            <w:r>
              <w:rPr>
                <w:rFonts w:hint="eastAsia"/>
                <w:color w:val="auto"/>
                <w:highlight w:val="none"/>
                <w:lang w:val="en-US" w:eastAsia="zh-CN"/>
              </w:rPr>
              <w:t>本项目占地82.67亩</w:t>
            </w:r>
            <w:r>
              <w:rPr>
                <w:rFonts w:hint="eastAsia"/>
                <w:color w:val="auto"/>
                <w:highlight w:val="none"/>
                <w:lang w:eastAsia="zh-CN"/>
              </w:rPr>
              <w:t>），县自然资源局负责做好项目用地回购和土地性质调整等工作，并及时予以划拨。壶关经开区管委会负责在编制控制性详细规划时，将项目用地由住宅用地调整为教育建设用地，同时对该建设用地中原规划道路进行调整，保持学校校园的完整性和校外安全疏散通道的必要性。</w:t>
            </w:r>
          </w:p>
          <w:p w14:paraId="02751333">
            <w:pPr>
              <w:keepNext w:val="0"/>
              <w:keepLines w:val="0"/>
              <w:pageBreakBefore w:val="0"/>
              <w:widowControl w:val="0"/>
              <w:kinsoku/>
              <w:wordWrap/>
              <w:overflowPunct/>
              <w:topLinePunct/>
              <w:bidi w:val="0"/>
              <w:adjustRightInd/>
              <w:snapToGrid/>
              <w:spacing w:line="360" w:lineRule="auto"/>
              <w:ind w:firstLine="480" w:firstLineChars="200"/>
              <w:textAlignment w:val="auto"/>
              <w:rPr>
                <w:color w:val="auto"/>
                <w:highlight w:val="none"/>
              </w:rPr>
            </w:pPr>
            <w:r>
              <w:rPr>
                <w:rFonts w:hint="eastAsia"/>
                <w:color w:val="auto"/>
                <w:highlight w:val="none"/>
                <w:lang w:val="en-US" w:eastAsia="zh-CN"/>
              </w:rPr>
              <w:t>综上，本项目建设符合</w:t>
            </w:r>
            <w:r>
              <w:rPr>
                <w:color w:val="auto"/>
                <w:highlight w:val="none"/>
              </w:rPr>
              <w:t>《山西省壶关经济开发区扩区总体规划（2020-2035）》的要求，</w:t>
            </w:r>
            <w:r>
              <w:rPr>
                <w:rFonts w:ascii="宋体" w:hAnsi="宋体"/>
                <w:color w:val="auto"/>
                <w:highlight w:val="none"/>
              </w:rPr>
              <w:t>用地证明见</w:t>
            </w:r>
            <w:r>
              <w:rPr>
                <w:rFonts w:hint="default" w:ascii="Times New Roman" w:hAnsi="Times New Roman" w:cs="Times New Roman"/>
                <w:color w:val="auto"/>
                <w:highlight w:val="none"/>
                <w:lang w:val="en-US"/>
              </w:rPr>
              <w:fldChar w:fldCharType="begin"/>
            </w:r>
            <w:r>
              <w:rPr>
                <w:rFonts w:hint="default" w:ascii="Times New Roman" w:hAnsi="Times New Roman" w:cs="Times New Roman"/>
                <w:color w:val="auto"/>
                <w:highlight w:val="none"/>
                <w:lang w:val="en-US"/>
              </w:rPr>
              <w:instrText xml:space="preserve"> REF _Ref27035 \n \h </w:instrText>
            </w:r>
            <w:r>
              <w:rPr>
                <w:rFonts w:hint="default" w:ascii="Times New Roman" w:hAnsi="Times New Roman" w:cs="Times New Roman"/>
                <w:color w:val="auto"/>
                <w:highlight w:val="none"/>
                <w:lang w:val="en-US"/>
              </w:rPr>
              <w:fldChar w:fldCharType="separate"/>
            </w:r>
            <w:r>
              <w:rPr>
                <w:rFonts w:hint="default" w:ascii="Times New Roman" w:hAnsi="Times New Roman" w:cs="Times New Roman"/>
                <w:color w:val="auto"/>
                <w:highlight w:val="none"/>
                <w:lang w:val="en-US"/>
              </w:rPr>
              <w:t>附件4</w:t>
            </w:r>
            <w:r>
              <w:rPr>
                <w:rFonts w:hint="default" w:ascii="Times New Roman" w:hAnsi="Times New Roman" w:cs="Times New Roman"/>
                <w:color w:val="auto"/>
                <w:highlight w:val="none"/>
                <w:lang w:val="en-US"/>
              </w:rPr>
              <w:fldChar w:fldCharType="end"/>
            </w:r>
            <w:r>
              <w:rPr>
                <w:rFonts w:hint="default" w:ascii="Times New Roman" w:hAnsi="Times New Roman" w:cs="Times New Roman"/>
                <w:color w:val="auto"/>
                <w:highlight w:val="none"/>
              </w:rPr>
              <w:t>。</w:t>
            </w:r>
          </w:p>
          <w:p w14:paraId="57824C08">
            <w:pPr>
              <w:keepNext w:val="0"/>
              <w:keepLines w:val="0"/>
              <w:pageBreakBefore w:val="0"/>
              <w:widowControl w:val="0"/>
              <w:kinsoku/>
              <w:wordWrap/>
              <w:overflowPunct/>
              <w:topLinePunct/>
              <w:bidi w:val="0"/>
              <w:adjustRightInd/>
              <w:snapToGrid/>
              <w:spacing w:line="360" w:lineRule="auto"/>
              <w:ind w:firstLine="480" w:firstLineChars="200"/>
              <w:textAlignment w:val="auto"/>
              <w:rPr>
                <w:color w:val="auto"/>
                <w:highlight w:val="none"/>
              </w:rPr>
            </w:pPr>
            <w:r>
              <w:rPr>
                <w:rFonts w:hint="eastAsia"/>
                <w:color w:val="auto"/>
                <w:highlight w:val="none"/>
              </w:rPr>
              <w:t>2</w:t>
            </w:r>
            <w:r>
              <w:rPr>
                <w:color w:val="auto"/>
                <w:highlight w:val="none"/>
              </w:rPr>
              <w:t>.与《壶关</w:t>
            </w:r>
            <w:r>
              <w:rPr>
                <w:rFonts w:hint="eastAsia"/>
                <w:color w:val="auto"/>
                <w:highlight w:val="none"/>
                <w:lang w:val="en-US" w:eastAsia="zh-CN"/>
              </w:rPr>
              <w:t>经济</w:t>
            </w:r>
            <w:r>
              <w:rPr>
                <w:color w:val="auto"/>
                <w:highlight w:val="none"/>
              </w:rPr>
              <w:t>技术开发区扩区总体规划（2020-2035）环境影响报告书》的符合性分析</w:t>
            </w:r>
          </w:p>
          <w:p w14:paraId="2B866749">
            <w:pPr>
              <w:keepNext w:val="0"/>
              <w:keepLines w:val="0"/>
              <w:pageBreakBefore w:val="0"/>
              <w:widowControl w:val="0"/>
              <w:kinsoku/>
              <w:wordWrap/>
              <w:overflowPunct/>
              <w:topLinePunct/>
              <w:bidi w:val="0"/>
              <w:adjustRightInd/>
              <w:snapToGrid/>
              <w:spacing w:line="360" w:lineRule="auto"/>
              <w:ind w:firstLine="480" w:firstLineChars="200"/>
              <w:textAlignment w:val="auto"/>
              <w:rPr>
                <w:b w:val="0"/>
                <w:bCs w:val="0"/>
                <w:color w:val="auto"/>
                <w:spacing w:val="3"/>
                <w:sz w:val="24"/>
                <w:szCs w:val="24"/>
                <w:highlight w:val="none"/>
              </w:rPr>
            </w:pPr>
            <w:r>
              <w:rPr>
                <w:color w:val="auto"/>
                <w:highlight w:val="none"/>
              </w:rPr>
              <w:t>壶关经济开发区前身为壶关常平经济开发区，随着开发区</w:t>
            </w:r>
            <w:r>
              <w:rPr>
                <w:color w:val="auto"/>
                <w:spacing w:val="-1"/>
                <w:highlight w:val="none"/>
              </w:rPr>
              <w:t>建设进</w:t>
            </w:r>
            <w:r>
              <w:rPr>
                <w:color w:val="auto"/>
                <w:spacing w:val="-3"/>
                <w:highlight w:val="none"/>
              </w:rPr>
              <w:t>程加快，原有发展空间已相对不足，开发区急需</w:t>
            </w:r>
            <w:r>
              <w:rPr>
                <w:rFonts w:hint="eastAsia"/>
                <w:color w:val="auto"/>
                <w:spacing w:val="-3"/>
                <w:highlight w:val="none"/>
              </w:rPr>
              <w:t>解决</w:t>
            </w:r>
            <w:r>
              <w:rPr>
                <w:color w:val="auto"/>
                <w:spacing w:val="-3"/>
                <w:highlight w:val="none"/>
              </w:rPr>
              <w:t>土地制约，扩大</w:t>
            </w:r>
            <w:r>
              <w:rPr>
                <w:color w:val="auto"/>
                <w:spacing w:val="2"/>
                <w:highlight w:val="none"/>
              </w:rPr>
              <w:t>发展空间，</w:t>
            </w:r>
            <w:r>
              <w:rPr>
                <w:rFonts w:eastAsia="Arial"/>
                <w:color w:val="auto"/>
                <w:spacing w:val="2"/>
                <w:highlight w:val="none"/>
              </w:rPr>
              <w:t>2020</w:t>
            </w:r>
            <w:r>
              <w:rPr>
                <w:color w:val="auto"/>
                <w:spacing w:val="2"/>
                <w:highlight w:val="none"/>
              </w:rPr>
              <w:t>年</w:t>
            </w:r>
            <w:r>
              <w:rPr>
                <w:rFonts w:eastAsia="Arial"/>
                <w:color w:val="auto"/>
                <w:spacing w:val="2"/>
                <w:highlight w:val="none"/>
              </w:rPr>
              <w:t>4</w:t>
            </w:r>
            <w:r>
              <w:rPr>
                <w:color w:val="auto"/>
                <w:spacing w:val="2"/>
                <w:highlight w:val="none"/>
              </w:rPr>
              <w:t>月，北京北</w:t>
            </w:r>
            <w:r>
              <w:rPr>
                <w:color w:val="auto"/>
                <w:spacing w:val="1"/>
                <w:highlight w:val="none"/>
              </w:rPr>
              <w:t>达城乡规划设计研究院编制了《山西省壶关经济开发区扩区总体规划（</w:t>
            </w:r>
            <w:r>
              <w:rPr>
                <w:rFonts w:eastAsia="Arial"/>
                <w:color w:val="auto"/>
                <w:spacing w:val="1"/>
                <w:highlight w:val="none"/>
              </w:rPr>
              <w:t>2020-2</w:t>
            </w:r>
            <w:r>
              <w:rPr>
                <w:rFonts w:eastAsia="Arial"/>
                <w:color w:val="auto"/>
                <w:highlight w:val="none"/>
              </w:rPr>
              <w:t>035</w:t>
            </w:r>
            <w:r>
              <w:rPr>
                <w:color w:val="auto"/>
                <w:highlight w:val="none"/>
              </w:rPr>
              <w:t>）》，开发区管委会</w:t>
            </w:r>
            <w:r>
              <w:rPr>
                <w:color w:val="auto"/>
                <w:spacing w:val="2"/>
                <w:highlight w:val="none"/>
              </w:rPr>
              <w:t>委托山西清泽阳光环保科技有限公司编制了壶关经</w:t>
            </w:r>
            <w:r>
              <w:rPr>
                <w:color w:val="auto"/>
                <w:spacing w:val="1"/>
                <w:highlight w:val="none"/>
              </w:rPr>
              <w:t>济开发区扩区总体</w:t>
            </w:r>
            <w:r>
              <w:rPr>
                <w:color w:val="auto"/>
                <w:highlight w:val="none"/>
              </w:rPr>
              <w:t>规划环境影响</w:t>
            </w:r>
            <w:r>
              <w:rPr>
                <w:rFonts w:hint="eastAsia"/>
                <w:color w:val="auto"/>
                <w:highlight w:val="none"/>
              </w:rPr>
              <w:t>评价</w:t>
            </w:r>
            <w:r>
              <w:rPr>
                <w:color w:val="auto"/>
                <w:highlight w:val="none"/>
              </w:rPr>
              <w:t>报告书，</w:t>
            </w:r>
            <w:r>
              <w:rPr>
                <w:rFonts w:eastAsia="Arial"/>
                <w:color w:val="auto"/>
                <w:highlight w:val="none"/>
              </w:rPr>
              <w:t>2023</w:t>
            </w:r>
            <w:r>
              <w:rPr>
                <w:color w:val="auto"/>
                <w:highlight w:val="none"/>
              </w:rPr>
              <w:t>年</w:t>
            </w:r>
            <w:r>
              <w:rPr>
                <w:rFonts w:eastAsia="Arial"/>
                <w:color w:val="auto"/>
                <w:highlight w:val="none"/>
              </w:rPr>
              <w:t>7</w:t>
            </w:r>
            <w:r>
              <w:rPr>
                <w:color w:val="auto"/>
                <w:highlight w:val="none"/>
              </w:rPr>
              <w:t>月</w:t>
            </w:r>
            <w:r>
              <w:rPr>
                <w:rFonts w:eastAsia="Arial"/>
                <w:color w:val="auto"/>
                <w:highlight w:val="none"/>
              </w:rPr>
              <w:t>25</w:t>
            </w:r>
            <w:r>
              <w:rPr>
                <w:color w:val="auto"/>
                <w:highlight w:val="none"/>
              </w:rPr>
              <w:t>日，山</w:t>
            </w:r>
            <w:r>
              <w:rPr>
                <w:color w:val="auto"/>
                <w:spacing w:val="-3"/>
                <w:highlight w:val="none"/>
              </w:rPr>
              <w:t>西省生态环境厅以“晋</w:t>
            </w:r>
            <w:r>
              <w:rPr>
                <w:color w:val="auto"/>
                <w:spacing w:val="14"/>
                <w:highlight w:val="none"/>
              </w:rPr>
              <w:t>环函〔</w:t>
            </w:r>
            <w:r>
              <w:rPr>
                <w:rFonts w:eastAsia="Arial"/>
                <w:color w:val="auto"/>
                <w:spacing w:val="14"/>
                <w:highlight w:val="none"/>
              </w:rPr>
              <w:t>2023</w:t>
            </w:r>
            <w:r>
              <w:rPr>
                <w:color w:val="auto"/>
                <w:spacing w:val="14"/>
                <w:highlight w:val="none"/>
              </w:rPr>
              <w:t>〕</w:t>
            </w:r>
            <w:r>
              <w:rPr>
                <w:rFonts w:eastAsia="Arial"/>
                <w:color w:val="auto"/>
                <w:spacing w:val="14"/>
                <w:highlight w:val="none"/>
              </w:rPr>
              <w:t>573</w:t>
            </w:r>
            <w:r>
              <w:rPr>
                <w:color w:val="auto"/>
                <w:spacing w:val="14"/>
                <w:highlight w:val="none"/>
              </w:rPr>
              <w:t>号”文出具了《壶关经济开发区扩区总体规划</w:t>
            </w:r>
            <w:r>
              <w:rPr>
                <w:color w:val="auto"/>
                <w:spacing w:val="3"/>
                <w:highlight w:val="none"/>
              </w:rPr>
              <w:t>（</w:t>
            </w:r>
            <w:r>
              <w:rPr>
                <w:rFonts w:eastAsia="Arial"/>
                <w:color w:val="auto"/>
                <w:spacing w:val="3"/>
                <w:highlight w:val="none"/>
              </w:rPr>
              <w:t>2020-2035</w:t>
            </w:r>
            <w:r>
              <w:rPr>
                <w:color w:val="auto"/>
                <w:spacing w:val="3"/>
                <w:highlight w:val="none"/>
              </w:rPr>
              <w:t>）环境影响</w:t>
            </w:r>
            <w:r>
              <w:rPr>
                <w:rFonts w:hint="eastAsia"/>
                <w:color w:val="auto"/>
                <w:spacing w:val="3"/>
                <w:highlight w:val="none"/>
              </w:rPr>
              <w:t>评价</w:t>
            </w:r>
            <w:r>
              <w:rPr>
                <w:color w:val="auto"/>
                <w:spacing w:val="3"/>
                <w:highlight w:val="none"/>
              </w:rPr>
              <w:t>报告书》的审查意见。本项目与《壶关经济开发区扩区总体规划（</w:t>
            </w:r>
            <w:r>
              <w:rPr>
                <w:rFonts w:eastAsia="Arial"/>
                <w:color w:val="auto"/>
                <w:spacing w:val="3"/>
                <w:highlight w:val="none"/>
              </w:rPr>
              <w:t>2020-2035</w:t>
            </w:r>
            <w:r>
              <w:rPr>
                <w:color w:val="auto"/>
                <w:spacing w:val="3"/>
                <w:highlight w:val="none"/>
              </w:rPr>
              <w:t>）环境影响</w:t>
            </w:r>
            <w:r>
              <w:rPr>
                <w:rFonts w:hint="eastAsia"/>
                <w:color w:val="auto"/>
                <w:spacing w:val="3"/>
                <w:highlight w:val="none"/>
              </w:rPr>
              <w:t>评价</w:t>
            </w:r>
            <w:r>
              <w:rPr>
                <w:color w:val="auto"/>
                <w:spacing w:val="3"/>
                <w:highlight w:val="none"/>
              </w:rPr>
              <w:t>报告书》</w:t>
            </w:r>
            <w:r>
              <w:rPr>
                <w:rFonts w:hint="eastAsia"/>
                <w:color w:val="auto"/>
                <w:spacing w:val="3"/>
                <w:highlight w:val="none"/>
              </w:rPr>
              <w:t>、审查意见及环境准入负面清单</w:t>
            </w:r>
            <w:r>
              <w:rPr>
                <w:color w:val="auto"/>
                <w:spacing w:val="3"/>
                <w:highlight w:val="none"/>
              </w:rPr>
              <w:t>的符合性分析</w:t>
            </w:r>
            <w:r>
              <w:rPr>
                <w:rFonts w:hint="eastAsia"/>
                <w:color w:val="auto"/>
                <w:spacing w:val="3"/>
                <w:highlight w:val="none"/>
              </w:rPr>
              <w:t>分别</w:t>
            </w:r>
            <w:r>
              <w:rPr>
                <w:color w:val="auto"/>
                <w:spacing w:val="5"/>
                <w:highlight w:val="none"/>
              </w:rPr>
              <w:t>见</w:t>
            </w:r>
            <w:r>
              <w:rPr>
                <w:b w:val="0"/>
                <w:bCs w:val="0"/>
                <w:color w:val="auto"/>
                <w:spacing w:val="5"/>
                <w:sz w:val="24"/>
                <w:szCs w:val="24"/>
                <w:highlight w:val="none"/>
              </w:rPr>
              <w:fldChar w:fldCharType="begin"/>
            </w:r>
            <w:r>
              <w:rPr>
                <w:b w:val="0"/>
                <w:bCs w:val="0"/>
                <w:color w:val="auto"/>
                <w:spacing w:val="5"/>
                <w:sz w:val="24"/>
                <w:szCs w:val="24"/>
                <w:highlight w:val="none"/>
              </w:rPr>
              <w:instrText xml:space="preserve"> REF _Ref10107 \h </w:instrText>
            </w:r>
            <w:r>
              <w:rPr>
                <w:b w:val="0"/>
                <w:bCs w:val="0"/>
                <w:color w:val="auto"/>
                <w:spacing w:val="5"/>
                <w:sz w:val="24"/>
                <w:szCs w:val="24"/>
                <w:highlight w:val="none"/>
              </w:rPr>
              <w:fldChar w:fldCharType="separate"/>
            </w:r>
            <w:r>
              <w:rPr>
                <w:rFonts w:hint="eastAsia"/>
                <w:b w:val="0"/>
                <w:bCs w:val="0"/>
                <w:color w:val="auto"/>
                <w:sz w:val="24"/>
                <w:szCs w:val="24"/>
                <w:highlight w:val="none"/>
                <w:lang w:eastAsia="zh-CN"/>
              </w:rPr>
              <w:t>表</w:t>
            </w:r>
            <w:r>
              <w:rPr>
                <w:b w:val="0"/>
                <w:bCs w:val="0"/>
                <w:color w:val="auto"/>
                <w:sz w:val="24"/>
                <w:szCs w:val="24"/>
                <w:highlight w:val="none"/>
              </w:rPr>
              <w:fldChar w:fldCharType="begin"/>
            </w:r>
            <w:r>
              <w:rPr>
                <w:b w:val="0"/>
                <w:bCs w:val="0"/>
                <w:color w:val="auto"/>
                <w:sz w:val="24"/>
                <w:szCs w:val="24"/>
                <w:highlight w:val="none"/>
              </w:rPr>
              <w:instrText xml:space="preserve"> STYLEREF 1 \s </w:instrText>
            </w:r>
            <w:r>
              <w:rPr>
                <w:b w:val="0"/>
                <w:bCs w:val="0"/>
                <w:color w:val="auto"/>
                <w:sz w:val="24"/>
                <w:szCs w:val="24"/>
                <w:highlight w:val="none"/>
              </w:rPr>
              <w:fldChar w:fldCharType="separate"/>
            </w:r>
            <w:r>
              <w:rPr>
                <w:b w:val="0"/>
                <w:bCs w:val="0"/>
                <w:color w:val="auto"/>
                <w:sz w:val="24"/>
                <w:szCs w:val="24"/>
                <w:highlight w:val="none"/>
              </w:rPr>
              <w:t>1</w:t>
            </w:r>
            <w:r>
              <w:rPr>
                <w:b w:val="0"/>
                <w:bCs w:val="0"/>
                <w:color w:val="auto"/>
                <w:sz w:val="24"/>
                <w:szCs w:val="24"/>
                <w:highlight w:val="none"/>
              </w:rPr>
              <w:fldChar w:fldCharType="end"/>
            </w:r>
            <w:r>
              <w:rPr>
                <w:rFonts w:hint="eastAsia"/>
                <w:b w:val="0"/>
                <w:bCs w:val="0"/>
                <w:color w:val="auto"/>
                <w:sz w:val="24"/>
                <w:szCs w:val="24"/>
                <w:highlight w:val="none"/>
                <w:lang w:eastAsia="zh-CN"/>
              </w:rPr>
              <w:t>-</w:t>
            </w:r>
            <w:r>
              <w:rPr>
                <w:b w:val="0"/>
                <w:bCs w:val="0"/>
                <w:color w:val="auto"/>
                <w:sz w:val="24"/>
                <w:szCs w:val="24"/>
                <w:highlight w:val="none"/>
              </w:rPr>
              <w:t>1</w:t>
            </w:r>
            <w:r>
              <w:rPr>
                <w:b w:val="0"/>
                <w:bCs w:val="0"/>
                <w:color w:val="auto"/>
                <w:spacing w:val="5"/>
                <w:sz w:val="24"/>
                <w:szCs w:val="24"/>
                <w:highlight w:val="none"/>
              </w:rPr>
              <w:fldChar w:fldCharType="end"/>
            </w:r>
            <w:r>
              <w:rPr>
                <w:rFonts w:hint="eastAsia"/>
                <w:b w:val="0"/>
                <w:bCs w:val="0"/>
                <w:color w:val="auto"/>
                <w:spacing w:val="5"/>
                <w:sz w:val="24"/>
                <w:szCs w:val="24"/>
                <w:highlight w:val="none"/>
                <w:lang w:eastAsia="zh-CN"/>
              </w:rPr>
              <w:t>、</w:t>
            </w:r>
            <w:r>
              <w:rPr>
                <w:rFonts w:hint="default"/>
                <w:b w:val="0"/>
                <w:bCs w:val="0"/>
                <w:color w:val="auto"/>
                <w:spacing w:val="5"/>
                <w:sz w:val="24"/>
                <w:szCs w:val="24"/>
                <w:highlight w:val="none"/>
                <w:lang w:val="en-US"/>
              </w:rPr>
              <w:fldChar w:fldCharType="begin"/>
            </w:r>
            <w:r>
              <w:rPr>
                <w:rFonts w:hint="default"/>
                <w:b w:val="0"/>
                <w:bCs w:val="0"/>
                <w:color w:val="auto"/>
                <w:spacing w:val="5"/>
                <w:sz w:val="24"/>
                <w:szCs w:val="24"/>
                <w:highlight w:val="none"/>
                <w:lang w:val="en-US"/>
              </w:rPr>
              <w:instrText xml:space="preserve"> REF _Ref10113 \h </w:instrText>
            </w:r>
            <w:r>
              <w:rPr>
                <w:rFonts w:hint="default"/>
                <w:b w:val="0"/>
                <w:bCs w:val="0"/>
                <w:color w:val="auto"/>
                <w:spacing w:val="5"/>
                <w:sz w:val="24"/>
                <w:szCs w:val="24"/>
                <w:highlight w:val="none"/>
                <w:lang w:val="en-US"/>
              </w:rPr>
              <w:fldChar w:fldCharType="separate"/>
            </w:r>
            <w:r>
              <w:rPr>
                <w:rFonts w:hint="eastAsia"/>
                <w:b w:val="0"/>
                <w:bCs w:val="0"/>
                <w:color w:val="auto"/>
                <w:sz w:val="24"/>
                <w:szCs w:val="24"/>
                <w:highlight w:val="none"/>
                <w:lang w:eastAsia="zh-CN"/>
              </w:rPr>
              <w:t>表</w:t>
            </w:r>
            <w:r>
              <w:rPr>
                <w:b w:val="0"/>
                <w:bCs w:val="0"/>
                <w:color w:val="auto"/>
                <w:sz w:val="24"/>
                <w:szCs w:val="24"/>
                <w:highlight w:val="none"/>
              </w:rPr>
              <w:fldChar w:fldCharType="begin"/>
            </w:r>
            <w:r>
              <w:rPr>
                <w:b w:val="0"/>
                <w:bCs w:val="0"/>
                <w:color w:val="auto"/>
                <w:sz w:val="24"/>
                <w:szCs w:val="24"/>
                <w:highlight w:val="none"/>
              </w:rPr>
              <w:instrText xml:space="preserve"> STYLEREF 1 \s </w:instrText>
            </w:r>
            <w:r>
              <w:rPr>
                <w:b w:val="0"/>
                <w:bCs w:val="0"/>
                <w:color w:val="auto"/>
                <w:sz w:val="24"/>
                <w:szCs w:val="24"/>
                <w:highlight w:val="none"/>
              </w:rPr>
              <w:fldChar w:fldCharType="separate"/>
            </w:r>
            <w:r>
              <w:rPr>
                <w:b w:val="0"/>
                <w:bCs w:val="0"/>
                <w:color w:val="auto"/>
                <w:sz w:val="24"/>
                <w:szCs w:val="24"/>
                <w:highlight w:val="none"/>
              </w:rPr>
              <w:t>1</w:t>
            </w:r>
            <w:r>
              <w:rPr>
                <w:b w:val="0"/>
                <w:bCs w:val="0"/>
                <w:color w:val="auto"/>
                <w:sz w:val="24"/>
                <w:szCs w:val="24"/>
                <w:highlight w:val="none"/>
              </w:rPr>
              <w:fldChar w:fldCharType="end"/>
            </w:r>
            <w:r>
              <w:rPr>
                <w:rFonts w:hint="eastAsia"/>
                <w:b w:val="0"/>
                <w:bCs w:val="0"/>
                <w:color w:val="auto"/>
                <w:sz w:val="24"/>
                <w:szCs w:val="24"/>
                <w:highlight w:val="none"/>
                <w:lang w:eastAsia="zh-CN"/>
              </w:rPr>
              <w:t>-</w:t>
            </w:r>
            <w:r>
              <w:rPr>
                <w:b w:val="0"/>
                <w:bCs w:val="0"/>
                <w:color w:val="auto"/>
                <w:sz w:val="24"/>
                <w:szCs w:val="24"/>
                <w:highlight w:val="none"/>
              </w:rPr>
              <w:t>2</w:t>
            </w:r>
            <w:r>
              <w:rPr>
                <w:rFonts w:hint="default"/>
                <w:b w:val="0"/>
                <w:bCs w:val="0"/>
                <w:color w:val="auto"/>
                <w:spacing w:val="5"/>
                <w:sz w:val="24"/>
                <w:szCs w:val="24"/>
                <w:highlight w:val="none"/>
                <w:lang w:val="en-US"/>
              </w:rPr>
              <w:fldChar w:fldCharType="end"/>
            </w:r>
            <w:r>
              <w:rPr>
                <w:rFonts w:hint="eastAsia"/>
                <w:b w:val="0"/>
                <w:bCs w:val="0"/>
                <w:color w:val="auto"/>
                <w:spacing w:val="5"/>
                <w:sz w:val="24"/>
                <w:szCs w:val="24"/>
                <w:highlight w:val="none"/>
                <w:lang w:val="en-US" w:eastAsia="zh-CN"/>
              </w:rPr>
              <w:t>、</w:t>
            </w:r>
            <w:r>
              <w:rPr>
                <w:rFonts w:hint="default"/>
                <w:b w:val="0"/>
                <w:bCs w:val="0"/>
                <w:color w:val="auto"/>
                <w:spacing w:val="5"/>
                <w:sz w:val="24"/>
                <w:szCs w:val="24"/>
                <w:highlight w:val="none"/>
                <w:lang w:val="en-US"/>
              </w:rPr>
              <w:fldChar w:fldCharType="begin"/>
            </w:r>
            <w:r>
              <w:rPr>
                <w:rFonts w:hint="default"/>
                <w:b w:val="0"/>
                <w:bCs w:val="0"/>
                <w:color w:val="auto"/>
                <w:spacing w:val="5"/>
                <w:sz w:val="24"/>
                <w:szCs w:val="24"/>
                <w:highlight w:val="none"/>
                <w:lang w:val="en-US"/>
              </w:rPr>
              <w:instrText xml:space="preserve"> REF _Ref10143 \h </w:instrText>
            </w:r>
            <w:r>
              <w:rPr>
                <w:rFonts w:hint="default"/>
                <w:b w:val="0"/>
                <w:bCs w:val="0"/>
                <w:color w:val="auto"/>
                <w:spacing w:val="5"/>
                <w:sz w:val="24"/>
                <w:szCs w:val="24"/>
                <w:highlight w:val="none"/>
                <w:lang w:val="en-US"/>
              </w:rPr>
              <w:fldChar w:fldCharType="separate"/>
            </w:r>
            <w:r>
              <w:rPr>
                <w:rFonts w:hint="eastAsia"/>
                <w:b w:val="0"/>
                <w:bCs w:val="0"/>
                <w:color w:val="auto"/>
                <w:sz w:val="24"/>
                <w:szCs w:val="24"/>
                <w:highlight w:val="none"/>
                <w:lang w:eastAsia="zh-CN"/>
              </w:rPr>
              <w:t>表</w:t>
            </w:r>
            <w:r>
              <w:rPr>
                <w:b w:val="0"/>
                <w:bCs w:val="0"/>
                <w:color w:val="auto"/>
                <w:sz w:val="24"/>
                <w:szCs w:val="24"/>
                <w:highlight w:val="none"/>
              </w:rPr>
              <w:fldChar w:fldCharType="begin"/>
            </w:r>
            <w:r>
              <w:rPr>
                <w:b w:val="0"/>
                <w:bCs w:val="0"/>
                <w:color w:val="auto"/>
                <w:sz w:val="24"/>
                <w:szCs w:val="24"/>
                <w:highlight w:val="none"/>
              </w:rPr>
              <w:instrText xml:space="preserve"> STYLEREF 1 \s </w:instrText>
            </w:r>
            <w:r>
              <w:rPr>
                <w:b w:val="0"/>
                <w:bCs w:val="0"/>
                <w:color w:val="auto"/>
                <w:sz w:val="24"/>
                <w:szCs w:val="24"/>
                <w:highlight w:val="none"/>
              </w:rPr>
              <w:fldChar w:fldCharType="separate"/>
            </w:r>
            <w:r>
              <w:rPr>
                <w:b w:val="0"/>
                <w:bCs w:val="0"/>
                <w:color w:val="auto"/>
                <w:sz w:val="24"/>
                <w:szCs w:val="24"/>
                <w:highlight w:val="none"/>
              </w:rPr>
              <w:t>1</w:t>
            </w:r>
            <w:r>
              <w:rPr>
                <w:b w:val="0"/>
                <w:bCs w:val="0"/>
                <w:color w:val="auto"/>
                <w:sz w:val="24"/>
                <w:szCs w:val="24"/>
                <w:highlight w:val="none"/>
              </w:rPr>
              <w:fldChar w:fldCharType="end"/>
            </w:r>
            <w:r>
              <w:rPr>
                <w:rFonts w:hint="eastAsia"/>
                <w:b w:val="0"/>
                <w:bCs w:val="0"/>
                <w:color w:val="auto"/>
                <w:sz w:val="24"/>
                <w:szCs w:val="24"/>
                <w:highlight w:val="none"/>
                <w:lang w:eastAsia="zh-CN"/>
              </w:rPr>
              <w:t>-</w:t>
            </w:r>
            <w:r>
              <w:rPr>
                <w:b w:val="0"/>
                <w:bCs w:val="0"/>
                <w:color w:val="auto"/>
                <w:sz w:val="24"/>
                <w:szCs w:val="24"/>
                <w:highlight w:val="none"/>
              </w:rPr>
              <w:t>3</w:t>
            </w:r>
            <w:r>
              <w:rPr>
                <w:rFonts w:hint="default"/>
                <w:b w:val="0"/>
                <w:bCs w:val="0"/>
                <w:color w:val="auto"/>
                <w:spacing w:val="5"/>
                <w:sz w:val="24"/>
                <w:szCs w:val="24"/>
                <w:highlight w:val="none"/>
                <w:lang w:val="en-US"/>
              </w:rPr>
              <w:fldChar w:fldCharType="end"/>
            </w:r>
            <w:r>
              <w:rPr>
                <w:b w:val="0"/>
                <w:bCs w:val="0"/>
                <w:color w:val="auto"/>
                <w:spacing w:val="3"/>
                <w:sz w:val="24"/>
                <w:szCs w:val="24"/>
                <w:highlight w:val="none"/>
              </w:rPr>
              <w:t>。</w:t>
            </w:r>
          </w:p>
          <w:p w14:paraId="7477006F">
            <w:pPr>
              <w:keepNext w:val="0"/>
              <w:keepLines w:val="0"/>
              <w:pageBreakBefore w:val="0"/>
              <w:widowControl w:val="0"/>
              <w:kinsoku/>
              <w:wordWrap w:val="0"/>
              <w:overflowPunct/>
              <w:topLinePunct/>
              <w:autoSpaceDE/>
              <w:autoSpaceDN/>
              <w:bidi w:val="0"/>
              <w:adjustRightInd/>
              <w:snapToGrid/>
              <w:spacing w:line="240" w:lineRule="auto"/>
              <w:ind w:firstLine="0" w:firstLineChars="0"/>
              <w:jc w:val="center"/>
              <w:textAlignment w:val="auto"/>
              <w:rPr>
                <w:b/>
                <w:bCs/>
                <w:color w:val="auto"/>
                <w:sz w:val="21"/>
                <w:szCs w:val="21"/>
                <w:highlight w:val="none"/>
              </w:rPr>
            </w:pPr>
            <w:bookmarkStart w:id="1" w:name="_Ref10107"/>
            <w:r>
              <w:rPr>
                <w:rFonts w:hint="eastAsia"/>
                <w:b/>
                <w:bCs/>
                <w:color w:val="auto"/>
                <w:sz w:val="21"/>
                <w:szCs w:val="21"/>
                <w:highlight w:val="none"/>
                <w:lang w:eastAsia="zh-CN"/>
              </w:rPr>
              <w:t>表</w:t>
            </w:r>
            <w:r>
              <w:rPr>
                <w:b/>
                <w:bCs/>
                <w:color w:val="auto"/>
                <w:sz w:val="21"/>
                <w:szCs w:val="21"/>
                <w:highlight w:val="none"/>
              </w:rPr>
              <w:fldChar w:fldCharType="begin"/>
            </w:r>
            <w:r>
              <w:rPr>
                <w:b/>
                <w:bCs/>
                <w:color w:val="auto"/>
                <w:sz w:val="21"/>
                <w:szCs w:val="21"/>
                <w:highlight w:val="none"/>
              </w:rPr>
              <w:instrText xml:space="preserve"> STYLEREF 1 \s </w:instrText>
            </w:r>
            <w:r>
              <w:rPr>
                <w:b/>
                <w:bCs/>
                <w:color w:val="auto"/>
                <w:sz w:val="21"/>
                <w:szCs w:val="21"/>
                <w:highlight w:val="none"/>
              </w:rPr>
              <w:fldChar w:fldCharType="separate"/>
            </w:r>
            <w:r>
              <w:rPr>
                <w:b/>
                <w:bCs/>
                <w:color w:val="auto"/>
                <w:sz w:val="21"/>
                <w:szCs w:val="21"/>
                <w:highlight w:val="none"/>
              </w:rPr>
              <w:t>1</w:t>
            </w:r>
            <w:r>
              <w:rPr>
                <w:b/>
                <w:bCs/>
                <w:color w:val="auto"/>
                <w:sz w:val="21"/>
                <w:szCs w:val="21"/>
                <w:highlight w:val="none"/>
              </w:rPr>
              <w:fldChar w:fldCharType="end"/>
            </w:r>
            <w:r>
              <w:rPr>
                <w:rFonts w:hint="eastAsia"/>
                <w:b/>
                <w:bCs/>
                <w:color w:val="auto"/>
                <w:sz w:val="21"/>
                <w:szCs w:val="21"/>
                <w:highlight w:val="none"/>
                <w:lang w:eastAsia="zh-CN"/>
              </w:rPr>
              <w:t>-</w:t>
            </w:r>
            <w:r>
              <w:rPr>
                <w:b/>
                <w:bCs/>
                <w:color w:val="auto"/>
                <w:sz w:val="21"/>
                <w:szCs w:val="21"/>
                <w:highlight w:val="none"/>
              </w:rPr>
              <w:fldChar w:fldCharType="begin"/>
            </w:r>
            <w:r>
              <w:rPr>
                <w:b/>
                <w:bCs/>
                <w:color w:val="auto"/>
                <w:sz w:val="21"/>
                <w:szCs w:val="21"/>
                <w:highlight w:val="none"/>
              </w:rPr>
              <w:instrText xml:space="preserve"> SEQ 表 \* ARABIC \s 1 </w:instrText>
            </w:r>
            <w:r>
              <w:rPr>
                <w:b/>
                <w:bCs/>
                <w:color w:val="auto"/>
                <w:sz w:val="21"/>
                <w:szCs w:val="21"/>
                <w:highlight w:val="none"/>
              </w:rPr>
              <w:fldChar w:fldCharType="separate"/>
            </w:r>
            <w:r>
              <w:rPr>
                <w:b/>
                <w:bCs/>
                <w:color w:val="auto"/>
                <w:sz w:val="21"/>
                <w:szCs w:val="21"/>
                <w:highlight w:val="none"/>
              </w:rPr>
              <w:t>1</w:t>
            </w:r>
            <w:r>
              <w:rPr>
                <w:b/>
                <w:bCs/>
                <w:color w:val="auto"/>
                <w:sz w:val="21"/>
                <w:szCs w:val="21"/>
                <w:highlight w:val="none"/>
              </w:rPr>
              <w:fldChar w:fldCharType="end"/>
            </w:r>
            <w:bookmarkEnd w:id="1"/>
            <w:r>
              <w:rPr>
                <w:rFonts w:hint="eastAsia"/>
                <w:b/>
                <w:bCs/>
                <w:color w:val="auto"/>
                <w:sz w:val="21"/>
                <w:szCs w:val="21"/>
                <w:highlight w:val="none"/>
                <w:lang w:val="en-US" w:eastAsia="zh-CN"/>
              </w:rPr>
              <w:t xml:space="preserve"> </w:t>
            </w:r>
            <w:r>
              <w:rPr>
                <w:b/>
                <w:bCs/>
                <w:color w:val="auto"/>
                <w:sz w:val="21"/>
                <w:szCs w:val="21"/>
                <w:highlight w:val="none"/>
              </w:rPr>
              <w:t>与《壶关经济开发区扩区总体规划（2020-2035）环境影响报告书》符合</w:t>
            </w:r>
            <w:r>
              <w:rPr>
                <w:b/>
                <w:bCs/>
                <w:color w:val="auto"/>
                <w:spacing w:val="9"/>
                <w:sz w:val="21"/>
                <w:szCs w:val="21"/>
                <w:highlight w:val="none"/>
              </w:rPr>
              <w:t>性分析一览表</w:t>
            </w:r>
          </w:p>
          <w:tbl>
            <w:tblPr>
              <w:tblStyle w:val="33"/>
              <w:tblW w:w="70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6"/>
              <w:gridCol w:w="1869"/>
              <w:gridCol w:w="1063"/>
            </w:tblGrid>
            <w:tr w14:paraId="66A2C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56" w:type="dxa"/>
                  <w:noWrap w:val="0"/>
                  <w:vAlign w:val="center"/>
                </w:tcPr>
                <w:p w14:paraId="77DE4B04">
                  <w:pPr>
                    <w:keepNext w:val="0"/>
                    <w:keepLines w:val="0"/>
                    <w:pageBreakBefore w:val="0"/>
                    <w:widowControl w:val="0"/>
                    <w:kinsoku/>
                    <w:wordWrap w:val="0"/>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规划环评要求</w:t>
                  </w:r>
                </w:p>
              </w:tc>
              <w:tc>
                <w:tcPr>
                  <w:tcW w:w="1869" w:type="dxa"/>
                  <w:noWrap w:val="0"/>
                  <w:vAlign w:val="center"/>
                </w:tcPr>
                <w:p w14:paraId="5FC5CF24">
                  <w:pPr>
                    <w:keepNext w:val="0"/>
                    <w:keepLines w:val="0"/>
                    <w:pageBreakBefore w:val="0"/>
                    <w:widowControl w:val="0"/>
                    <w:kinsoku/>
                    <w:wordWrap w:val="0"/>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本项目情况</w:t>
                  </w:r>
                </w:p>
              </w:tc>
              <w:tc>
                <w:tcPr>
                  <w:tcW w:w="1063" w:type="dxa"/>
                  <w:noWrap w:val="0"/>
                  <w:vAlign w:val="center"/>
                </w:tcPr>
                <w:p w14:paraId="7FD80BA0">
                  <w:pPr>
                    <w:keepNext w:val="0"/>
                    <w:keepLines w:val="0"/>
                    <w:pageBreakBefore w:val="0"/>
                    <w:widowControl w:val="0"/>
                    <w:kinsoku/>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符合性</w:t>
                  </w:r>
                </w:p>
              </w:tc>
            </w:tr>
            <w:tr w14:paraId="2A326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56" w:type="dxa"/>
                  <w:noWrap w:val="0"/>
                  <w:vAlign w:val="center"/>
                </w:tcPr>
                <w:p w14:paraId="75EF7513">
                  <w:pPr>
                    <w:keepNext w:val="0"/>
                    <w:keepLines w:val="0"/>
                    <w:pageBreakBefore w:val="0"/>
                    <w:widowControl w:val="0"/>
                    <w:kinsoku/>
                    <w:wordWrap w:val="0"/>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对易产生扬尘的粉状、粒状物料密闭储存，采用密闭皮带、封闭通廊、管状带式输送机或密闭车厢、真空罐车、气力输送等密闭输送方式运输；块状物料采用入棚入仓或建设防风抑尘网等方式进行存储，并设有洒水、喷淋、苫盖等综合措施进行抑尘。生产工艺产尘点（装置）应加盖封闭，设置集气罩并配备除尘设施；生产现场和料场路面应实施硬化，出口处配备车轮和车身清洗装置。园区内企业依法使用排放合格的机械设备，鼓励优先使用新能源或清洁能源非道路移动机械。开发区内新增和更换的场吊、吊车等作业机械，主要采用新能源或清洁能源机械。提高机动车船和非道路移动机械绿色低碳水平。</w:t>
                  </w:r>
                </w:p>
              </w:tc>
              <w:tc>
                <w:tcPr>
                  <w:tcW w:w="1869" w:type="dxa"/>
                  <w:noWrap w:val="0"/>
                  <w:vAlign w:val="center"/>
                </w:tcPr>
                <w:p w14:paraId="7C0DA069">
                  <w:pPr>
                    <w:keepNext w:val="0"/>
                    <w:keepLines w:val="0"/>
                    <w:pageBreakBefore w:val="0"/>
                    <w:widowControl w:val="0"/>
                    <w:kinsoku/>
                    <w:wordWrap w:val="0"/>
                    <w:overflowPunct/>
                    <w:topLinePunct/>
                    <w:autoSpaceDE/>
                    <w:autoSpaceDN/>
                    <w:bidi w:val="0"/>
                    <w:adjustRightInd/>
                    <w:snapToGrid/>
                    <w:spacing w:line="240" w:lineRule="auto"/>
                    <w:ind w:firstLine="0" w:firstLineChars="0"/>
                    <w:jc w:val="center"/>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1063" w:type="dxa"/>
                  <w:noWrap w:val="0"/>
                  <w:vAlign w:val="center"/>
                </w:tcPr>
                <w:p w14:paraId="447789B0">
                  <w:pPr>
                    <w:keepNext w:val="0"/>
                    <w:keepLines w:val="0"/>
                    <w:pageBreakBefore w:val="0"/>
                    <w:widowControl w:val="0"/>
                    <w:kinsoku/>
                    <w:wordWrap w:val="0"/>
                    <w:overflowPunct/>
                    <w:topLinePunct/>
                    <w:autoSpaceDE/>
                    <w:autoSpaceDN/>
                    <w:bidi w:val="0"/>
                    <w:adjustRightInd/>
                    <w:snapToGrid/>
                    <w:spacing w:line="240" w:lineRule="auto"/>
                    <w:ind w:firstLine="0" w:firstLineChars="0"/>
                    <w:jc w:val="center"/>
                    <w:textAlignment w:val="auto"/>
                    <w:rPr>
                      <w:rFonts w:hint="eastAsia" w:eastAsia="宋体"/>
                      <w:color w:val="auto"/>
                      <w:sz w:val="21"/>
                      <w:szCs w:val="21"/>
                      <w:highlight w:val="none"/>
                      <w:lang w:eastAsia="zh-CN"/>
                    </w:rPr>
                  </w:pPr>
                  <w:r>
                    <w:rPr>
                      <w:rFonts w:hint="eastAsia"/>
                      <w:color w:val="auto"/>
                      <w:sz w:val="21"/>
                      <w:szCs w:val="21"/>
                      <w:highlight w:val="none"/>
                      <w:lang w:val="en-US" w:eastAsia="zh-CN"/>
                    </w:rPr>
                    <w:t>不涉及</w:t>
                  </w:r>
                </w:p>
              </w:tc>
            </w:tr>
            <w:tr w14:paraId="52F9C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56" w:type="dxa"/>
                  <w:noWrap w:val="0"/>
                  <w:vAlign w:val="center"/>
                </w:tcPr>
                <w:p w14:paraId="3FE5DF16">
                  <w:pPr>
                    <w:keepNext w:val="0"/>
                    <w:keepLines w:val="0"/>
                    <w:pageBreakBefore w:val="0"/>
                    <w:widowControl w:val="0"/>
                    <w:kinsoku/>
                    <w:wordWrap w:val="0"/>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强化入区企业和开发区层面的雨污分流、清污分流管网建设，加大各类废水的收集率，为节约水资源，实现水的处理和回用提供条件，做到分质利用。规划入区企业产生的含污染废水收集率达100%，处理率达100%。入区企业内部及开发区排水体制均采取清污分流、雨污分流。企业内部分别设置污水管网和雨水管网，分别收集各类污废水，尽可能实现企业内部分质回用。入区企业内部应设置合理规模的事故池，用于收集事故废水和初期雨水，确保事故情况下污水不外排。</w:t>
                  </w:r>
                </w:p>
              </w:tc>
              <w:tc>
                <w:tcPr>
                  <w:tcW w:w="1869" w:type="dxa"/>
                  <w:noWrap w:val="0"/>
                  <w:vAlign w:val="center"/>
                </w:tcPr>
                <w:p w14:paraId="5AEAC02C">
                  <w:pPr>
                    <w:keepNext w:val="0"/>
                    <w:keepLines w:val="0"/>
                    <w:pageBreakBefore w:val="0"/>
                    <w:widowControl w:val="0"/>
                    <w:kinsoku/>
                    <w:wordWrap w:val="0"/>
                    <w:overflowPunct/>
                    <w:topLinePunct/>
                    <w:autoSpaceDE/>
                    <w:autoSpaceDN/>
                    <w:bidi w:val="0"/>
                    <w:adjustRightInd/>
                    <w:snapToGrid/>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本项目为新建学校项目，不属于工业企业。本项目排水采用雨、污分流制。各建筑单体污水均重力汇流排至室外污水管网，经化粪池处理达标后排放至常平大街市政污水管网。校区内雨水排入常平大街市政雨水管网。</w:t>
                  </w:r>
                </w:p>
              </w:tc>
              <w:tc>
                <w:tcPr>
                  <w:tcW w:w="1063" w:type="dxa"/>
                  <w:noWrap w:val="0"/>
                  <w:vAlign w:val="center"/>
                </w:tcPr>
                <w:p w14:paraId="3D6EE9B7">
                  <w:pPr>
                    <w:keepNext w:val="0"/>
                    <w:keepLines w:val="0"/>
                    <w:pageBreakBefore w:val="0"/>
                    <w:widowControl w:val="0"/>
                    <w:kinsoku/>
                    <w:wordWrap w:val="0"/>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r w14:paraId="27B46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56" w:type="dxa"/>
                  <w:noWrap w:val="0"/>
                  <w:vAlign w:val="top"/>
                </w:tcPr>
                <w:p w14:paraId="0F20DC3A">
                  <w:pPr>
                    <w:keepNext w:val="0"/>
                    <w:keepLines w:val="0"/>
                    <w:pageBreakBefore w:val="0"/>
                    <w:widowControl w:val="0"/>
                    <w:kinsoku/>
                    <w:wordWrap w:val="0"/>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入区项目的噪声设备应选择低噪声先进设备，因地制宜安装消声器、隔声罩、减震底座，建隔声间、隔声门窗、车间装设吸声材料等多种措施，严格按照经批准的环境影响评价报告书（表）中规定的噪声污染防治措施实施。</w:t>
                  </w:r>
                </w:p>
                <w:p w14:paraId="3176F84E">
                  <w:pPr>
                    <w:keepNext w:val="0"/>
                    <w:keepLines w:val="0"/>
                    <w:pageBreakBefore w:val="0"/>
                    <w:widowControl w:val="0"/>
                    <w:kinsoku/>
                    <w:wordWrap w:val="0"/>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加强厂区绿化，特别是在有高噪声设备处和厂界之间应设置绿化带，利用树木的吸声、消声作用减小厂界噪声影响。在工业区和居住区之间应建立绿化隔离带，并加强对影响周围居民的噪声超标单位进行限期治理。</w:t>
                  </w:r>
                </w:p>
              </w:tc>
              <w:tc>
                <w:tcPr>
                  <w:tcW w:w="1869" w:type="dxa"/>
                  <w:noWrap w:val="0"/>
                  <w:vAlign w:val="center"/>
                </w:tcPr>
                <w:p w14:paraId="2B7AC9D9">
                  <w:pPr>
                    <w:keepNext w:val="0"/>
                    <w:keepLines w:val="0"/>
                    <w:pageBreakBefore w:val="0"/>
                    <w:widowControl w:val="0"/>
                    <w:kinsoku/>
                    <w:wordWrap w:val="0"/>
                    <w:overflowPunct/>
                    <w:topLinePunct/>
                    <w:autoSpaceDE/>
                    <w:autoSpaceDN/>
                    <w:bidi w:val="0"/>
                    <w:adjustRightInd/>
                    <w:snapToGrid/>
                    <w:spacing w:line="240" w:lineRule="auto"/>
                    <w:ind w:firstLine="0" w:firstLineChars="0"/>
                    <w:textAlignment w:val="auto"/>
                    <w:rPr>
                      <w:color w:val="auto"/>
                      <w:sz w:val="21"/>
                      <w:szCs w:val="21"/>
                      <w:highlight w:val="none"/>
                    </w:rPr>
                  </w:pPr>
                  <w:r>
                    <w:rPr>
                      <w:rFonts w:hint="eastAsia"/>
                      <w:color w:val="auto"/>
                      <w:sz w:val="21"/>
                      <w:szCs w:val="21"/>
                      <w:highlight w:val="none"/>
                    </w:rPr>
                    <w:t>本项目采用了低噪声</w:t>
                  </w:r>
                  <w:r>
                    <w:rPr>
                      <w:color w:val="auto"/>
                      <w:sz w:val="21"/>
                      <w:szCs w:val="21"/>
                      <w:highlight w:val="none"/>
                    </w:rPr>
                    <w:t>先进设备。</w:t>
                  </w:r>
                  <w:r>
                    <w:rPr>
                      <w:rFonts w:hint="eastAsia"/>
                      <w:color w:val="auto"/>
                      <w:sz w:val="21"/>
                      <w:szCs w:val="21"/>
                      <w:highlight w:val="none"/>
                      <w:lang w:val="en-US" w:eastAsia="zh-CN"/>
                    </w:rPr>
                    <w:t>校区</w:t>
                  </w:r>
                  <w:r>
                    <w:rPr>
                      <w:color w:val="auto"/>
                      <w:sz w:val="21"/>
                      <w:szCs w:val="21"/>
                      <w:highlight w:val="none"/>
                    </w:rPr>
                    <w:t>内进行</w:t>
                  </w:r>
                  <w:r>
                    <w:rPr>
                      <w:rFonts w:hint="eastAsia"/>
                      <w:color w:val="auto"/>
                      <w:sz w:val="21"/>
                      <w:szCs w:val="21"/>
                      <w:highlight w:val="none"/>
                    </w:rPr>
                    <w:t>了</w:t>
                  </w:r>
                  <w:r>
                    <w:rPr>
                      <w:color w:val="auto"/>
                      <w:sz w:val="21"/>
                      <w:szCs w:val="21"/>
                      <w:highlight w:val="none"/>
                    </w:rPr>
                    <w:t>绿化，以减少噪声影响。</w:t>
                  </w:r>
                </w:p>
              </w:tc>
              <w:tc>
                <w:tcPr>
                  <w:tcW w:w="1063" w:type="dxa"/>
                  <w:noWrap w:val="0"/>
                  <w:vAlign w:val="center"/>
                </w:tcPr>
                <w:p w14:paraId="7382C21F">
                  <w:pPr>
                    <w:keepNext w:val="0"/>
                    <w:keepLines w:val="0"/>
                    <w:pageBreakBefore w:val="0"/>
                    <w:widowControl w:val="0"/>
                    <w:kinsoku/>
                    <w:wordWrap w:val="0"/>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r w14:paraId="0F5E8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56" w:type="dxa"/>
                  <w:noWrap w:val="0"/>
                  <w:vAlign w:val="center"/>
                </w:tcPr>
                <w:p w14:paraId="4343673B">
                  <w:pPr>
                    <w:keepNext w:val="0"/>
                    <w:keepLines w:val="0"/>
                    <w:pageBreakBefore w:val="0"/>
                    <w:widowControl w:val="0"/>
                    <w:kinsoku/>
                    <w:wordWrap w:val="0"/>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开发区可通过调整工业结构，废金属、废塑料等固体废物的综合利用，积极拓展和延伸废物综合利用的产业链，实现对一般工业固体废物排放和处置的控制。</w:t>
                  </w:r>
                </w:p>
                <w:p w14:paraId="090DB2DF">
                  <w:pPr>
                    <w:keepNext w:val="0"/>
                    <w:keepLines w:val="0"/>
                    <w:pageBreakBefore w:val="0"/>
                    <w:widowControl w:val="0"/>
                    <w:kinsoku/>
                    <w:wordWrap w:val="0"/>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1）强化源头管理</w:t>
                  </w:r>
                </w:p>
                <w:p w14:paraId="019569CF">
                  <w:pPr>
                    <w:keepNext w:val="0"/>
                    <w:keepLines w:val="0"/>
                    <w:pageBreakBefore w:val="0"/>
                    <w:widowControl w:val="0"/>
                    <w:kinsoku/>
                    <w:wordWrap w:val="0"/>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加强对开发区新材料、装备制造等重点行业的能源、原材料、水等资源的消耗管理，实现能源的梯级利用、资源的高效循环利用，努力提高资源的产出效益。要从产品设计入手，优化采用资源利用率高、污染物产生量少以及有利于产品废弃后回收利用的技术和工艺，提高设备制造技术水平</w:t>
                  </w:r>
                </w:p>
                <w:p w14:paraId="6AA43497">
                  <w:pPr>
                    <w:keepNext w:val="0"/>
                    <w:keepLines w:val="0"/>
                    <w:pageBreakBefore w:val="0"/>
                    <w:widowControl w:val="0"/>
                    <w:kinsoku/>
                    <w:wordWrap w:val="0"/>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2）合理处置一般工业固体废弃物强化废弃物在企业内部的循环使用和综合利用，减少废弃物产生量。开发区工业主要以炉渣、金属、塑料为原料，因此应积极拓展和延伸炉渣、废金属、废塑料综合利用的产业链。</w:t>
                  </w:r>
                </w:p>
                <w:p w14:paraId="1151DD5D">
                  <w:pPr>
                    <w:keepNext w:val="0"/>
                    <w:keepLines w:val="0"/>
                    <w:pageBreakBefore w:val="0"/>
                    <w:widowControl w:val="0"/>
                    <w:kinsoku/>
                    <w:wordWrap w:val="0"/>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由于危险废物的危害性较大，所以降低其危害性的最好措施就是控制危险废物的产生，实施源头控制。对产生危险废物的主要行业的工艺流程进行严格监督管理，通过改善生产工艺、提高资源利用率、优化产业结构等方式减少危险废物的产量。对危险废物的控制由末端控制逐渐转为源头控制，并对产生的废物进行分类处理，避免危险废物混入一般生活垃圾中。加强危险废物产生和处置单位规范化整治，大力削减危险废物产生量，实施危险废物的收集、贮存、运输、利用和处理处置全过程管理，防止危险废物随意倾倒和非法转移。</w:t>
                  </w:r>
                </w:p>
                <w:p w14:paraId="76286FC3">
                  <w:pPr>
                    <w:keepNext w:val="0"/>
                    <w:keepLines w:val="0"/>
                    <w:pageBreakBefore w:val="0"/>
                    <w:widowControl w:val="0"/>
                    <w:kinsoku/>
                    <w:wordWrap w:val="0"/>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区内企业、商业设施、居住区等应当按照环境卫生专业规划和环境卫生标准，配套建设生活垃圾收集设施。</w:t>
                  </w:r>
                </w:p>
              </w:tc>
              <w:tc>
                <w:tcPr>
                  <w:tcW w:w="1869" w:type="dxa"/>
                  <w:noWrap w:val="0"/>
                  <w:vAlign w:val="center"/>
                </w:tcPr>
                <w:p w14:paraId="1EF6D448">
                  <w:pPr>
                    <w:keepNext w:val="0"/>
                    <w:keepLines w:val="0"/>
                    <w:pageBreakBefore w:val="0"/>
                    <w:widowControl w:val="0"/>
                    <w:kinsoku/>
                    <w:wordWrap w:val="0"/>
                    <w:overflowPunct/>
                    <w:topLinePunct/>
                    <w:autoSpaceDE/>
                    <w:autoSpaceDN/>
                    <w:bidi w:val="0"/>
                    <w:adjustRightInd/>
                    <w:snapToGrid/>
                    <w:spacing w:line="240" w:lineRule="auto"/>
                    <w:ind w:firstLine="0" w:firstLineChars="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本项目固体废物主要为师生的生活垃圾、食堂餐厨垃圾、隔油池废油脂、化学及生物实验室废物（一般固废、危险废物）、废气治理措施产生的废活性炭（实验室废气治理设施），生活垃圾、食堂餐厨垃圾、隔油池废油脂、化学及生物实验室废物（一般固废）经收集分类后委托环卫部门统一处置；化学及生物实验室废物（危险废物）、废气治理措施产生的废活性炭（实验室废气治理设施）收集后暂存于危废贮存点中，委托有资质单位定期处置。</w:t>
                  </w:r>
                </w:p>
              </w:tc>
              <w:tc>
                <w:tcPr>
                  <w:tcW w:w="1063" w:type="dxa"/>
                  <w:noWrap w:val="0"/>
                  <w:vAlign w:val="center"/>
                </w:tcPr>
                <w:p w14:paraId="528EE54B">
                  <w:pPr>
                    <w:keepNext w:val="0"/>
                    <w:keepLines w:val="0"/>
                    <w:pageBreakBefore w:val="0"/>
                    <w:widowControl w:val="0"/>
                    <w:kinsoku/>
                    <w:wordWrap w:val="0"/>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bl>
          <w:p w14:paraId="1D5A6654">
            <w:pPr>
              <w:keepNext w:val="0"/>
              <w:keepLines w:val="0"/>
              <w:pageBreakBefore w:val="0"/>
              <w:widowControl w:val="0"/>
              <w:kinsoku/>
              <w:wordWrap w:val="0"/>
              <w:overflowPunct/>
              <w:topLinePunct/>
              <w:autoSpaceDE/>
              <w:autoSpaceDN/>
              <w:bidi w:val="0"/>
              <w:adjustRightInd/>
              <w:snapToGrid/>
              <w:spacing w:line="240" w:lineRule="auto"/>
              <w:ind w:firstLine="0" w:firstLineChars="0"/>
              <w:jc w:val="center"/>
              <w:textAlignment w:val="auto"/>
              <w:rPr>
                <w:b/>
                <w:bCs/>
                <w:color w:val="auto"/>
                <w:sz w:val="21"/>
                <w:szCs w:val="21"/>
                <w:highlight w:val="none"/>
              </w:rPr>
            </w:pPr>
            <w:bookmarkStart w:id="2" w:name="_Ref10113"/>
            <w:r>
              <w:rPr>
                <w:rFonts w:hint="eastAsia"/>
                <w:b/>
                <w:bCs/>
                <w:color w:val="auto"/>
                <w:sz w:val="21"/>
                <w:szCs w:val="21"/>
                <w:highlight w:val="none"/>
                <w:lang w:eastAsia="zh-CN"/>
              </w:rPr>
              <w:t>表</w:t>
            </w:r>
            <w:r>
              <w:rPr>
                <w:b/>
                <w:bCs/>
                <w:color w:val="auto"/>
                <w:sz w:val="21"/>
                <w:szCs w:val="21"/>
                <w:highlight w:val="none"/>
              </w:rPr>
              <w:fldChar w:fldCharType="begin"/>
            </w:r>
            <w:r>
              <w:rPr>
                <w:b/>
                <w:bCs/>
                <w:color w:val="auto"/>
                <w:sz w:val="21"/>
                <w:szCs w:val="21"/>
                <w:highlight w:val="none"/>
              </w:rPr>
              <w:instrText xml:space="preserve"> STYLEREF 1 \s </w:instrText>
            </w:r>
            <w:r>
              <w:rPr>
                <w:b/>
                <w:bCs/>
                <w:color w:val="auto"/>
                <w:sz w:val="21"/>
                <w:szCs w:val="21"/>
                <w:highlight w:val="none"/>
              </w:rPr>
              <w:fldChar w:fldCharType="separate"/>
            </w:r>
            <w:r>
              <w:rPr>
                <w:b/>
                <w:bCs/>
                <w:color w:val="auto"/>
                <w:sz w:val="21"/>
                <w:szCs w:val="21"/>
                <w:highlight w:val="none"/>
              </w:rPr>
              <w:t>1</w:t>
            </w:r>
            <w:r>
              <w:rPr>
                <w:b/>
                <w:bCs/>
                <w:color w:val="auto"/>
                <w:sz w:val="21"/>
                <w:szCs w:val="21"/>
                <w:highlight w:val="none"/>
              </w:rPr>
              <w:fldChar w:fldCharType="end"/>
            </w:r>
            <w:r>
              <w:rPr>
                <w:rFonts w:hint="eastAsia"/>
                <w:b/>
                <w:bCs/>
                <w:color w:val="auto"/>
                <w:sz w:val="21"/>
                <w:szCs w:val="21"/>
                <w:highlight w:val="none"/>
                <w:lang w:eastAsia="zh-CN"/>
              </w:rPr>
              <w:t>-</w:t>
            </w:r>
            <w:r>
              <w:rPr>
                <w:b/>
                <w:bCs/>
                <w:color w:val="auto"/>
                <w:sz w:val="21"/>
                <w:szCs w:val="21"/>
                <w:highlight w:val="none"/>
              </w:rPr>
              <w:fldChar w:fldCharType="begin"/>
            </w:r>
            <w:r>
              <w:rPr>
                <w:b/>
                <w:bCs/>
                <w:color w:val="auto"/>
                <w:sz w:val="21"/>
                <w:szCs w:val="21"/>
                <w:highlight w:val="none"/>
              </w:rPr>
              <w:instrText xml:space="preserve"> SEQ 表 \* ARABIC \s 1 </w:instrText>
            </w:r>
            <w:r>
              <w:rPr>
                <w:b/>
                <w:bCs/>
                <w:color w:val="auto"/>
                <w:sz w:val="21"/>
                <w:szCs w:val="21"/>
                <w:highlight w:val="none"/>
              </w:rPr>
              <w:fldChar w:fldCharType="separate"/>
            </w:r>
            <w:r>
              <w:rPr>
                <w:b/>
                <w:bCs/>
                <w:color w:val="auto"/>
                <w:sz w:val="21"/>
                <w:szCs w:val="21"/>
                <w:highlight w:val="none"/>
              </w:rPr>
              <w:t>2</w:t>
            </w:r>
            <w:r>
              <w:rPr>
                <w:b/>
                <w:bCs/>
                <w:color w:val="auto"/>
                <w:sz w:val="21"/>
                <w:szCs w:val="21"/>
                <w:highlight w:val="none"/>
              </w:rPr>
              <w:fldChar w:fldCharType="end"/>
            </w:r>
            <w:bookmarkEnd w:id="2"/>
            <w:r>
              <w:rPr>
                <w:rFonts w:hint="eastAsia"/>
                <w:b/>
                <w:bCs/>
                <w:color w:val="auto"/>
                <w:sz w:val="21"/>
                <w:szCs w:val="21"/>
                <w:highlight w:val="none"/>
                <w:lang w:val="en-US" w:eastAsia="zh-CN"/>
              </w:rPr>
              <w:t xml:space="preserve"> </w:t>
            </w:r>
            <w:r>
              <w:rPr>
                <w:b/>
                <w:bCs/>
                <w:color w:val="auto"/>
                <w:sz w:val="21"/>
                <w:szCs w:val="21"/>
                <w:highlight w:val="none"/>
              </w:rPr>
              <w:t>与《壶关经济开发区扩区总体规划（2020-2035）环境影响报告书》</w:t>
            </w:r>
            <w:r>
              <w:rPr>
                <w:rFonts w:hint="eastAsia"/>
                <w:b/>
                <w:bCs/>
                <w:color w:val="auto"/>
                <w:sz w:val="21"/>
                <w:szCs w:val="21"/>
                <w:highlight w:val="none"/>
              </w:rPr>
              <w:t>审查意见</w:t>
            </w:r>
            <w:r>
              <w:rPr>
                <w:b/>
                <w:bCs/>
                <w:color w:val="auto"/>
                <w:sz w:val="21"/>
                <w:szCs w:val="21"/>
                <w:highlight w:val="none"/>
              </w:rPr>
              <w:t>符合</w:t>
            </w:r>
            <w:r>
              <w:rPr>
                <w:b/>
                <w:bCs/>
                <w:color w:val="auto"/>
                <w:spacing w:val="9"/>
                <w:sz w:val="21"/>
                <w:szCs w:val="21"/>
                <w:highlight w:val="none"/>
              </w:rPr>
              <w:t>性分析一览表</w:t>
            </w:r>
          </w:p>
          <w:tbl>
            <w:tblPr>
              <w:tblStyle w:val="33"/>
              <w:tblW w:w="70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76"/>
              <w:gridCol w:w="2249"/>
              <w:gridCol w:w="1063"/>
            </w:tblGrid>
            <w:tr w14:paraId="64ACB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4" w:type="dxa"/>
                  <w:noWrap w:val="0"/>
                  <w:vAlign w:val="center"/>
                </w:tcPr>
                <w:p w14:paraId="7D1F1E7F">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审查意见要求</w:t>
                  </w:r>
                </w:p>
              </w:tc>
              <w:tc>
                <w:tcPr>
                  <w:tcW w:w="1985" w:type="dxa"/>
                  <w:noWrap w:val="0"/>
                  <w:vAlign w:val="center"/>
                </w:tcPr>
                <w:p w14:paraId="084B596E">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本项目情况</w:t>
                  </w:r>
                </w:p>
              </w:tc>
              <w:tc>
                <w:tcPr>
                  <w:tcW w:w="938" w:type="dxa"/>
                  <w:noWrap w:val="0"/>
                  <w:vAlign w:val="center"/>
                </w:tcPr>
                <w:p w14:paraId="02F26346">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符合性</w:t>
                  </w:r>
                </w:p>
              </w:tc>
            </w:tr>
            <w:tr w14:paraId="630B9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4" w:type="dxa"/>
                  <w:noWrap w:val="0"/>
                  <w:vAlign w:val="center"/>
                </w:tcPr>
                <w:p w14:paraId="0810E131">
                  <w:pPr>
                    <w:keepNext w:val="0"/>
                    <w:keepLines w:val="0"/>
                    <w:pageBreakBefore w:val="0"/>
                    <w:widowControl w:val="0"/>
                    <w:kinsoku/>
                    <w:wordWrap/>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一)坚持生态优先，促进绿色低碳发展。立足开发区产业定位，坚决遏制“两高”项目盲目发展，规划实施的项目应符合国家产业政策、生态环境分区管控和污染物排放区域削减等要求，依托区域产业优势，推动开发区产业链向下游延伸，产品向高端转型，构建园区循环经济产业体系</w:t>
                  </w:r>
                  <w:r>
                    <w:rPr>
                      <w:rFonts w:hint="eastAsia"/>
                      <w:color w:val="auto"/>
                      <w:sz w:val="21"/>
                      <w:szCs w:val="21"/>
                      <w:highlight w:val="none"/>
                      <w:lang w:eastAsia="zh-CN"/>
                    </w:rPr>
                    <w:t>。</w:t>
                  </w:r>
                  <w:r>
                    <w:rPr>
                      <w:color w:val="auto"/>
                      <w:sz w:val="21"/>
                      <w:szCs w:val="21"/>
                      <w:highlight w:val="none"/>
                    </w:rPr>
                    <w:t>根据区域资源环境承载力，进一步优化调整《规划》的产业定位、规模、布局和开发建设时序，以生态环境高水平保护助推开发区高质量发展。</w:t>
                  </w:r>
                </w:p>
              </w:tc>
              <w:tc>
                <w:tcPr>
                  <w:tcW w:w="1985" w:type="dxa"/>
                  <w:noWrap w:val="0"/>
                  <w:vAlign w:val="center"/>
                </w:tcPr>
                <w:p w14:paraId="05D844D3">
                  <w:pPr>
                    <w:keepNext w:val="0"/>
                    <w:keepLines w:val="0"/>
                    <w:pageBreakBefore w:val="0"/>
                    <w:widowControl w:val="0"/>
                    <w:kinsoku/>
                    <w:wordWrap/>
                    <w:overflowPunct/>
                    <w:topLinePunct/>
                    <w:autoSpaceDE/>
                    <w:autoSpaceDN/>
                    <w:bidi w:val="0"/>
                    <w:adjustRightInd/>
                    <w:snapToGrid/>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本项目不属于两高项目</w:t>
                  </w:r>
                </w:p>
              </w:tc>
              <w:tc>
                <w:tcPr>
                  <w:tcW w:w="938" w:type="dxa"/>
                  <w:noWrap w:val="0"/>
                  <w:vAlign w:val="center"/>
                </w:tcPr>
                <w:p w14:paraId="640CDCA9">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r w14:paraId="4F9A3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4" w:type="dxa"/>
                  <w:noWrap w:val="0"/>
                  <w:vAlign w:val="center"/>
                </w:tcPr>
                <w:p w14:paraId="78C4CD6D">
                  <w:pPr>
                    <w:keepNext w:val="0"/>
                    <w:keepLines w:val="0"/>
                    <w:pageBreakBefore w:val="0"/>
                    <w:widowControl w:val="0"/>
                    <w:kinsoku/>
                    <w:wordWrap/>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二)强化规划约束，优化空间布局。做好与国土空间规划的衔接，严守城镇开发边界，落实《规划》提出的四区空间管制和建设引导，统筹保护好水陆域生态空间。石子河、南大河留设满足要求的生态防护廊道，保护河流生态环境。民爆产业片区距离县城较近，建议控制现有生产规模，逐步有序搬迁。中钢特材周围居民区分布较多，要充分考虑对周边居民和村庄的环境影响，避免造成不良环境影响。</w:t>
                  </w:r>
                </w:p>
              </w:tc>
              <w:tc>
                <w:tcPr>
                  <w:tcW w:w="1985" w:type="dxa"/>
                  <w:noWrap w:val="0"/>
                  <w:vAlign w:val="center"/>
                </w:tcPr>
                <w:p w14:paraId="03643C38">
                  <w:pPr>
                    <w:keepNext w:val="0"/>
                    <w:keepLines w:val="0"/>
                    <w:pageBreakBefore w:val="0"/>
                    <w:widowControl w:val="0"/>
                    <w:kinsoku/>
                    <w:wordWrap/>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本项目不在美丽乡村及生态涵养区、乡村振兴示范区以及太行风情文旅片区等限建区。</w:t>
                  </w:r>
                  <w:r>
                    <w:rPr>
                      <w:rFonts w:hint="eastAsia"/>
                      <w:color w:val="auto"/>
                      <w:sz w:val="21"/>
                      <w:szCs w:val="21"/>
                      <w:highlight w:val="none"/>
                      <w:lang w:val="en-US" w:eastAsia="zh-CN"/>
                    </w:rPr>
                    <w:t>本项目距离最近地表水石子河约70m，不在石子河水岸线50m范围内，各建筑单体污水均重力汇流排至室外污水管网，经化粪池处理达标后排放至常平大街市政污水管网。校区内雨水排入常平大街市政雨水管网，</w:t>
                  </w:r>
                  <w:r>
                    <w:rPr>
                      <w:color w:val="auto"/>
                      <w:sz w:val="21"/>
                      <w:szCs w:val="21"/>
                      <w:highlight w:val="none"/>
                    </w:rPr>
                    <w:t>不会影响河流生态环境。</w:t>
                  </w:r>
                </w:p>
              </w:tc>
              <w:tc>
                <w:tcPr>
                  <w:tcW w:w="938" w:type="dxa"/>
                  <w:noWrap w:val="0"/>
                  <w:vAlign w:val="center"/>
                </w:tcPr>
                <w:p w14:paraId="7120E257">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r w14:paraId="63E23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4" w:type="dxa"/>
                  <w:noWrap w:val="0"/>
                  <w:vAlign w:val="center"/>
                </w:tcPr>
                <w:p w14:paraId="5EA08648">
                  <w:pPr>
                    <w:keepNext w:val="0"/>
                    <w:keepLines w:val="0"/>
                    <w:pageBreakBefore w:val="0"/>
                    <w:widowControl w:val="0"/>
                    <w:kinsoku/>
                    <w:wordWrap/>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三)对标先进水平，持续改善环境质量。新建、扩建项目应采用先进适用的工艺技术和装备，单位产品物耗、能耗、水耗等达到清洁生产先进水平，推进现有钢铁企业深度治理改造。优化文旅片区、乡村片区和周边村庄的基础设施建设，因地制宜推进清洁取暖设施建设，加大现有工业余热利用项目推进力度。积极推进大宗物料“公转铁”，落实路铁联运式的物流产业发展，公路运输时应采用新能源汽车或符合国六标准的车辆。强化挥发性有机物全过程管控，推进低挥发性有机物原辅料替代，配备高效收集处理装置，确保区域环境质量持续改善。</w:t>
                  </w:r>
                </w:p>
              </w:tc>
              <w:tc>
                <w:tcPr>
                  <w:tcW w:w="1985" w:type="dxa"/>
                  <w:noWrap w:val="0"/>
                  <w:vAlign w:val="center"/>
                </w:tcPr>
                <w:p w14:paraId="2605C0B2">
                  <w:pPr>
                    <w:keepNext w:val="0"/>
                    <w:keepLines w:val="0"/>
                    <w:pageBreakBefore w:val="0"/>
                    <w:widowControl w:val="0"/>
                    <w:kinsoku/>
                    <w:wordWrap/>
                    <w:overflowPunct/>
                    <w:topLinePunct/>
                    <w:autoSpaceDE/>
                    <w:autoSpaceDN/>
                    <w:bidi w:val="0"/>
                    <w:adjustRightInd/>
                    <w:snapToGrid/>
                    <w:spacing w:line="240" w:lineRule="auto"/>
                    <w:ind w:firstLine="0" w:firstLineChars="0"/>
                    <w:textAlignment w:val="auto"/>
                    <w:rPr>
                      <w:rFonts w:hint="default" w:eastAsia="宋体"/>
                      <w:color w:val="auto"/>
                      <w:sz w:val="21"/>
                      <w:szCs w:val="21"/>
                      <w:highlight w:val="none"/>
                      <w:lang w:val="en-US" w:eastAsia="zh-CN"/>
                    </w:rPr>
                  </w:pPr>
                  <w:r>
                    <w:rPr>
                      <w:color w:val="auto"/>
                      <w:sz w:val="21"/>
                      <w:szCs w:val="21"/>
                      <w:highlight w:val="none"/>
                    </w:rPr>
                    <w:t>本项目</w:t>
                  </w:r>
                  <w:r>
                    <w:rPr>
                      <w:rFonts w:hint="eastAsia"/>
                      <w:color w:val="auto"/>
                      <w:sz w:val="21"/>
                      <w:szCs w:val="21"/>
                      <w:highlight w:val="none"/>
                      <w:lang w:val="en-US" w:eastAsia="zh-CN"/>
                    </w:rPr>
                    <w:t>实验室废气涉及挥发性有机物，经通风橱/吸风罩+通风管道+碱喷淋（配套脱水）+二级活性炭吸附装置处理后，通过排气筒排放。</w:t>
                  </w:r>
                </w:p>
              </w:tc>
              <w:tc>
                <w:tcPr>
                  <w:tcW w:w="938" w:type="dxa"/>
                  <w:noWrap w:val="0"/>
                  <w:vAlign w:val="center"/>
                </w:tcPr>
                <w:p w14:paraId="64690B09">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r w14:paraId="0BC18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4" w:type="dxa"/>
                  <w:noWrap w:val="0"/>
                  <w:vAlign w:val="center"/>
                </w:tcPr>
                <w:p w14:paraId="56EF8536">
                  <w:pPr>
                    <w:keepNext w:val="0"/>
                    <w:keepLines w:val="0"/>
                    <w:pageBreakBefore w:val="0"/>
                    <w:widowControl w:val="0"/>
                    <w:kinsoku/>
                    <w:wordWrap/>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四)加强水资源保护，提升水环境质量。坚守水资源利用上线，落实“以水定产”的要求，优化用水结构、提高用水效率。加快雨污分流管网建设，按照生态环境部《关于进一步规范城镇(园区)污水处理环境管理的通知》要求，加快污水集中处理设施及配套污水收集、中水回用管网建设，工业废水和生活污水应分别处理，做好水资源梯级利用，提高中水回用率，减少外排水量。</w:t>
                  </w:r>
                </w:p>
              </w:tc>
              <w:tc>
                <w:tcPr>
                  <w:tcW w:w="1985" w:type="dxa"/>
                  <w:noWrap w:val="0"/>
                  <w:vAlign w:val="center"/>
                </w:tcPr>
                <w:p w14:paraId="091AFE34">
                  <w:pPr>
                    <w:keepNext w:val="0"/>
                    <w:keepLines w:val="0"/>
                    <w:pageBreakBefore w:val="0"/>
                    <w:widowControl w:val="0"/>
                    <w:kinsoku/>
                    <w:wordWrap/>
                    <w:overflowPunct/>
                    <w:topLinePunct/>
                    <w:autoSpaceDE/>
                    <w:autoSpaceDN/>
                    <w:bidi w:val="0"/>
                    <w:adjustRightInd/>
                    <w:snapToGrid/>
                    <w:spacing w:line="240" w:lineRule="auto"/>
                    <w:ind w:firstLine="0" w:firstLineChars="0"/>
                    <w:textAlignment w:val="auto"/>
                    <w:rPr>
                      <w:color w:val="auto"/>
                      <w:sz w:val="21"/>
                      <w:szCs w:val="21"/>
                      <w:highlight w:val="none"/>
                    </w:rPr>
                  </w:pPr>
                  <w:r>
                    <w:rPr>
                      <w:rFonts w:hint="eastAsia"/>
                      <w:color w:val="auto"/>
                      <w:sz w:val="21"/>
                      <w:szCs w:val="21"/>
                      <w:highlight w:val="none"/>
                    </w:rPr>
                    <w:t>本项目排水采用雨、污分流制。各建筑单体污水均重力汇流排至室外污水管网，经化粪池处理达标后排放至常平大街市政污水管网。校区内雨水排入常平大街市政雨水管网。</w:t>
                  </w:r>
                </w:p>
              </w:tc>
              <w:tc>
                <w:tcPr>
                  <w:tcW w:w="938" w:type="dxa"/>
                  <w:noWrap w:val="0"/>
                  <w:vAlign w:val="center"/>
                </w:tcPr>
                <w:p w14:paraId="7726C31C">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r w14:paraId="1E641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4" w:type="dxa"/>
                  <w:noWrap w:val="0"/>
                  <w:vAlign w:val="center"/>
                </w:tcPr>
                <w:p w14:paraId="0EC091F5">
                  <w:pPr>
                    <w:keepNext w:val="0"/>
                    <w:keepLines w:val="0"/>
                    <w:pageBreakBefore w:val="0"/>
                    <w:widowControl w:val="0"/>
                    <w:kinsoku/>
                    <w:wordWrap/>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五)加强地下水保护，严控土壤污染。按照“控源头、防新增、重监管、保安全”的原则，强化地下水污染协同防治。加强水环境风险防控，强化重点区域防渗措施，有效保护地下水环境安全。纳入土壤污染重点监管单位名录的企业严格落实自行监测、隐患排查等土壤污染防治责任。依法开展已搬迁的常平焦化遗留场地土壤污染状况调查，做好污染场地的风险评估和治理修复工作。</w:t>
                  </w:r>
                </w:p>
              </w:tc>
              <w:tc>
                <w:tcPr>
                  <w:tcW w:w="1985" w:type="dxa"/>
                  <w:noWrap w:val="0"/>
                  <w:vAlign w:val="center"/>
                </w:tcPr>
                <w:p w14:paraId="3E5A991D">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eastAsia" w:eastAsia="宋体"/>
                      <w:color w:val="auto"/>
                      <w:sz w:val="21"/>
                      <w:szCs w:val="21"/>
                      <w:highlight w:val="none"/>
                      <w:lang w:eastAsia="zh-CN"/>
                    </w:rPr>
                  </w:pPr>
                  <w:r>
                    <w:rPr>
                      <w:rFonts w:hint="eastAsia"/>
                      <w:color w:val="auto"/>
                      <w:sz w:val="21"/>
                      <w:szCs w:val="21"/>
                      <w:highlight w:val="none"/>
                      <w:lang w:val="en-US" w:eastAsia="zh-CN"/>
                    </w:rPr>
                    <w:t>不涉及</w:t>
                  </w:r>
                </w:p>
              </w:tc>
              <w:tc>
                <w:tcPr>
                  <w:tcW w:w="938" w:type="dxa"/>
                  <w:noWrap w:val="0"/>
                  <w:vAlign w:val="center"/>
                </w:tcPr>
                <w:p w14:paraId="4EB0BD03">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lang w:val="en-US" w:eastAsia="zh-CN"/>
                    </w:rPr>
                    <w:t>不涉及</w:t>
                  </w:r>
                </w:p>
              </w:tc>
            </w:tr>
            <w:tr w14:paraId="20CFD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4" w:type="dxa"/>
                  <w:noWrap w:val="0"/>
                  <w:vAlign w:val="center"/>
                </w:tcPr>
                <w:p w14:paraId="5EB1ADE7">
                  <w:pPr>
                    <w:keepNext w:val="0"/>
                    <w:keepLines w:val="0"/>
                    <w:pageBreakBefore w:val="0"/>
                    <w:widowControl w:val="0"/>
                    <w:kinsoku/>
                    <w:wordWrap/>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(六)加强声环境管理，安全处置固体废物。应优先选用低噪声设备、绿化降噪等措施</w:t>
                  </w:r>
                  <w:r>
                    <w:rPr>
                      <w:rFonts w:hint="eastAsia"/>
                      <w:color w:val="auto"/>
                      <w:sz w:val="21"/>
                      <w:szCs w:val="21"/>
                      <w:highlight w:val="none"/>
                    </w:rPr>
                    <w:t>，</w:t>
                  </w:r>
                  <w:r>
                    <w:rPr>
                      <w:color w:val="auto"/>
                      <w:sz w:val="21"/>
                      <w:szCs w:val="21"/>
                      <w:highlight w:val="none"/>
                    </w:rPr>
                    <w:t>减缓噪声影响，确保满足声环境功能区要求。加强交通噪声管理，声环境敏感路段应采用低噪声路面，交通干线两侧建设绿化带作为隔声屏障，有效控制交通噪声污染。按照“减量化、资源化、无害化”的原则，工业固体废物实行分类收集，鼓励固体废物综合利用，减少固体废物产生量。生活垃圾应分类收集，配套建设生活垃圾收集设施。</w:t>
                  </w:r>
                </w:p>
              </w:tc>
              <w:tc>
                <w:tcPr>
                  <w:tcW w:w="1985" w:type="dxa"/>
                  <w:noWrap w:val="0"/>
                  <w:vAlign w:val="center"/>
                </w:tcPr>
                <w:p w14:paraId="30156127">
                  <w:pPr>
                    <w:keepNext w:val="0"/>
                    <w:keepLines w:val="0"/>
                    <w:pageBreakBefore w:val="0"/>
                    <w:widowControl w:val="0"/>
                    <w:kinsoku/>
                    <w:wordWrap/>
                    <w:overflowPunct/>
                    <w:topLinePunct/>
                    <w:autoSpaceDE/>
                    <w:autoSpaceDN/>
                    <w:bidi w:val="0"/>
                    <w:adjustRightInd/>
                    <w:snapToGrid/>
                    <w:spacing w:line="240" w:lineRule="auto"/>
                    <w:ind w:firstLine="0" w:firstLineChars="0"/>
                    <w:textAlignment w:val="auto"/>
                    <w:rPr>
                      <w:color w:val="auto"/>
                      <w:sz w:val="21"/>
                      <w:szCs w:val="21"/>
                      <w:highlight w:val="none"/>
                    </w:rPr>
                  </w:pPr>
                  <w:r>
                    <w:rPr>
                      <w:rFonts w:hint="eastAsia"/>
                      <w:color w:val="auto"/>
                      <w:sz w:val="21"/>
                      <w:szCs w:val="21"/>
                      <w:highlight w:val="none"/>
                    </w:rPr>
                    <w:t>本项目采用了低噪声先进设备。校区内进行了绿化，以减少噪声影响</w:t>
                  </w:r>
                  <w:r>
                    <w:rPr>
                      <w:color w:val="auto"/>
                      <w:sz w:val="21"/>
                      <w:szCs w:val="21"/>
                      <w:highlight w:val="none"/>
                    </w:rPr>
                    <w:t>；本项目</w:t>
                  </w:r>
                  <w:r>
                    <w:rPr>
                      <w:rFonts w:hint="eastAsia"/>
                      <w:color w:val="auto"/>
                      <w:sz w:val="21"/>
                      <w:szCs w:val="21"/>
                      <w:highlight w:val="none"/>
                    </w:rPr>
                    <w:t>危险</w:t>
                  </w:r>
                  <w:r>
                    <w:rPr>
                      <w:color w:val="auto"/>
                      <w:sz w:val="21"/>
                      <w:szCs w:val="21"/>
                      <w:highlight w:val="none"/>
                    </w:rPr>
                    <w:t>废物</w:t>
                  </w:r>
                  <w:r>
                    <w:rPr>
                      <w:rFonts w:hint="eastAsia"/>
                      <w:color w:val="auto"/>
                      <w:sz w:val="21"/>
                      <w:szCs w:val="21"/>
                      <w:highlight w:val="none"/>
                    </w:rPr>
                    <w:t>暂存在</w:t>
                  </w:r>
                  <w:r>
                    <w:rPr>
                      <w:rFonts w:hint="eastAsia"/>
                      <w:color w:val="auto"/>
                      <w:sz w:val="21"/>
                      <w:szCs w:val="21"/>
                      <w:highlight w:val="none"/>
                      <w:lang w:eastAsia="zh-CN"/>
                    </w:rPr>
                    <w:t>危废贮存点</w:t>
                  </w:r>
                  <w:r>
                    <w:rPr>
                      <w:rFonts w:hint="eastAsia"/>
                      <w:color w:val="auto"/>
                      <w:sz w:val="21"/>
                      <w:szCs w:val="21"/>
                      <w:highlight w:val="none"/>
                    </w:rPr>
                    <w:t>，由有资质单位定期处置</w:t>
                  </w:r>
                  <w:r>
                    <w:rPr>
                      <w:color w:val="auto"/>
                      <w:sz w:val="21"/>
                      <w:szCs w:val="21"/>
                      <w:highlight w:val="none"/>
                    </w:rPr>
                    <w:t>。</w:t>
                  </w:r>
                </w:p>
              </w:tc>
              <w:tc>
                <w:tcPr>
                  <w:tcW w:w="938" w:type="dxa"/>
                  <w:noWrap w:val="0"/>
                  <w:vAlign w:val="center"/>
                </w:tcPr>
                <w:p w14:paraId="766BA2B3">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r w14:paraId="78FCF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4" w:type="dxa"/>
                  <w:noWrap w:val="0"/>
                  <w:vAlign w:val="center"/>
                </w:tcPr>
                <w:p w14:paraId="369AD942">
                  <w:pPr>
                    <w:keepNext w:val="0"/>
                    <w:keepLines w:val="0"/>
                    <w:pageBreakBefore w:val="0"/>
                    <w:widowControl w:val="0"/>
                    <w:kinsoku/>
                    <w:wordWrap/>
                    <w:overflowPunct/>
                    <w:topLinePunct/>
                    <w:autoSpaceDE/>
                    <w:autoSpaceDN/>
                    <w:bidi w:val="0"/>
                    <w:adjustRightInd/>
                    <w:snapToGrid/>
                    <w:spacing w:line="240" w:lineRule="auto"/>
                    <w:ind w:firstLine="0" w:firstLineChars="0"/>
                    <w:textAlignment w:val="auto"/>
                    <w:rPr>
                      <w:color w:val="auto"/>
                      <w:sz w:val="21"/>
                      <w:szCs w:val="21"/>
                      <w:highlight w:val="none"/>
                    </w:rPr>
                  </w:pPr>
                  <w:r>
                    <w:rPr>
                      <w:color w:val="auto"/>
                      <w:sz w:val="21"/>
                      <w:szCs w:val="21"/>
                      <w:highlight w:val="none"/>
                    </w:rPr>
                    <w:t>(七)严格风险源管理，防范环境风险。开发区应建立完善环境风险防控体系，加强环境应急能力建设，编制突发环境事件应急预案，落实环境风险三级防控措施。建设满足要求的事故废水收集系统，严控对石子河的环境风险。做好危险废物收集、贮存、转运和处置，严控废物利用、处置不当可能导致的环境风险。</w:t>
                  </w:r>
                </w:p>
              </w:tc>
              <w:tc>
                <w:tcPr>
                  <w:tcW w:w="1985" w:type="dxa"/>
                  <w:noWrap w:val="0"/>
                  <w:vAlign w:val="center"/>
                </w:tcPr>
                <w:p w14:paraId="185859E8">
                  <w:pPr>
                    <w:keepNext w:val="0"/>
                    <w:keepLines w:val="0"/>
                    <w:pageBreakBefore w:val="0"/>
                    <w:widowControl w:val="0"/>
                    <w:kinsoku/>
                    <w:wordWrap/>
                    <w:overflowPunct/>
                    <w:topLinePunct/>
                    <w:autoSpaceDE/>
                    <w:autoSpaceDN/>
                    <w:bidi w:val="0"/>
                    <w:adjustRightInd/>
                    <w:snapToGrid/>
                    <w:spacing w:line="240" w:lineRule="auto"/>
                    <w:ind w:firstLine="0" w:firstLineChars="0"/>
                    <w:textAlignment w:val="auto"/>
                    <w:rPr>
                      <w:rFonts w:hint="eastAsia"/>
                      <w:color w:val="auto"/>
                      <w:sz w:val="21"/>
                      <w:szCs w:val="21"/>
                      <w:highlight w:val="none"/>
                    </w:rPr>
                  </w:pPr>
                  <w:r>
                    <w:rPr>
                      <w:rFonts w:hint="eastAsia"/>
                      <w:color w:val="auto"/>
                      <w:sz w:val="21"/>
                      <w:szCs w:val="21"/>
                      <w:highlight w:val="none"/>
                    </w:rPr>
                    <w:t>本项目建成后编制应急预案。</w:t>
                  </w:r>
                </w:p>
              </w:tc>
              <w:tc>
                <w:tcPr>
                  <w:tcW w:w="938" w:type="dxa"/>
                  <w:noWrap w:val="0"/>
                  <w:vAlign w:val="center"/>
                </w:tcPr>
                <w:p w14:paraId="5D94B6EA">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bl>
          <w:p w14:paraId="20D24E4D">
            <w:pPr>
              <w:keepNext w:val="0"/>
              <w:keepLines w:val="0"/>
              <w:pageBreakBefore w:val="0"/>
              <w:widowControl w:val="0"/>
              <w:kinsoku/>
              <w:wordWrap w:val="0"/>
              <w:overflowPunct/>
              <w:topLinePunct/>
              <w:autoSpaceDE/>
              <w:autoSpaceDN/>
              <w:bidi w:val="0"/>
              <w:adjustRightInd/>
              <w:snapToGrid/>
              <w:spacing w:line="240" w:lineRule="auto"/>
              <w:ind w:firstLine="0" w:firstLineChars="0"/>
              <w:jc w:val="center"/>
              <w:textAlignment w:val="auto"/>
              <w:rPr>
                <w:color w:val="auto"/>
                <w:sz w:val="21"/>
                <w:szCs w:val="21"/>
                <w:highlight w:val="none"/>
              </w:rPr>
            </w:pPr>
            <w:bookmarkStart w:id="3" w:name="_Ref10143"/>
            <w:r>
              <w:rPr>
                <w:rFonts w:hint="eastAsia"/>
                <w:b/>
                <w:bCs/>
                <w:color w:val="auto"/>
                <w:sz w:val="21"/>
                <w:szCs w:val="21"/>
                <w:highlight w:val="none"/>
                <w:lang w:eastAsia="zh-CN"/>
              </w:rPr>
              <w:t>表</w:t>
            </w:r>
            <w:r>
              <w:rPr>
                <w:b/>
                <w:bCs/>
                <w:color w:val="auto"/>
                <w:sz w:val="21"/>
                <w:szCs w:val="21"/>
                <w:highlight w:val="none"/>
              </w:rPr>
              <w:fldChar w:fldCharType="begin"/>
            </w:r>
            <w:r>
              <w:rPr>
                <w:b/>
                <w:bCs/>
                <w:color w:val="auto"/>
                <w:sz w:val="21"/>
                <w:szCs w:val="21"/>
                <w:highlight w:val="none"/>
              </w:rPr>
              <w:instrText xml:space="preserve"> STYLEREF 1 \s </w:instrText>
            </w:r>
            <w:r>
              <w:rPr>
                <w:b/>
                <w:bCs/>
                <w:color w:val="auto"/>
                <w:sz w:val="21"/>
                <w:szCs w:val="21"/>
                <w:highlight w:val="none"/>
              </w:rPr>
              <w:fldChar w:fldCharType="separate"/>
            </w:r>
            <w:r>
              <w:rPr>
                <w:b/>
                <w:bCs/>
                <w:color w:val="auto"/>
                <w:sz w:val="21"/>
                <w:szCs w:val="21"/>
                <w:highlight w:val="none"/>
              </w:rPr>
              <w:t>1</w:t>
            </w:r>
            <w:r>
              <w:rPr>
                <w:b/>
                <w:bCs/>
                <w:color w:val="auto"/>
                <w:sz w:val="21"/>
                <w:szCs w:val="21"/>
                <w:highlight w:val="none"/>
              </w:rPr>
              <w:fldChar w:fldCharType="end"/>
            </w:r>
            <w:r>
              <w:rPr>
                <w:rFonts w:hint="eastAsia"/>
                <w:b/>
                <w:bCs/>
                <w:color w:val="auto"/>
                <w:sz w:val="21"/>
                <w:szCs w:val="21"/>
                <w:highlight w:val="none"/>
                <w:lang w:eastAsia="zh-CN"/>
              </w:rPr>
              <w:t>-</w:t>
            </w:r>
            <w:r>
              <w:rPr>
                <w:b/>
                <w:bCs/>
                <w:color w:val="auto"/>
                <w:sz w:val="21"/>
                <w:szCs w:val="21"/>
                <w:highlight w:val="none"/>
              </w:rPr>
              <w:fldChar w:fldCharType="begin"/>
            </w:r>
            <w:r>
              <w:rPr>
                <w:b/>
                <w:bCs/>
                <w:color w:val="auto"/>
                <w:sz w:val="21"/>
                <w:szCs w:val="21"/>
                <w:highlight w:val="none"/>
              </w:rPr>
              <w:instrText xml:space="preserve"> SEQ 表 \* ARABIC \s 1 </w:instrText>
            </w:r>
            <w:r>
              <w:rPr>
                <w:b/>
                <w:bCs/>
                <w:color w:val="auto"/>
                <w:sz w:val="21"/>
                <w:szCs w:val="21"/>
                <w:highlight w:val="none"/>
              </w:rPr>
              <w:fldChar w:fldCharType="separate"/>
            </w:r>
            <w:r>
              <w:rPr>
                <w:b/>
                <w:bCs/>
                <w:color w:val="auto"/>
                <w:sz w:val="21"/>
                <w:szCs w:val="21"/>
                <w:highlight w:val="none"/>
              </w:rPr>
              <w:t>3</w:t>
            </w:r>
            <w:r>
              <w:rPr>
                <w:b/>
                <w:bCs/>
                <w:color w:val="auto"/>
                <w:sz w:val="21"/>
                <w:szCs w:val="21"/>
                <w:highlight w:val="none"/>
              </w:rPr>
              <w:fldChar w:fldCharType="end"/>
            </w:r>
            <w:bookmarkEnd w:id="3"/>
            <w:r>
              <w:rPr>
                <w:rFonts w:hint="eastAsia"/>
                <w:b/>
                <w:bCs/>
                <w:color w:val="auto"/>
                <w:sz w:val="21"/>
                <w:szCs w:val="21"/>
                <w:highlight w:val="none"/>
                <w:lang w:val="en-US" w:eastAsia="zh-CN"/>
              </w:rPr>
              <w:t xml:space="preserve"> </w:t>
            </w:r>
            <w:r>
              <w:rPr>
                <w:b/>
                <w:bCs/>
                <w:color w:val="auto"/>
                <w:sz w:val="21"/>
                <w:szCs w:val="21"/>
                <w:highlight w:val="none"/>
              </w:rPr>
              <w:t>与《壶关经济开发区扩区总体规划（2020-2035）环境影响报告书》</w:t>
            </w:r>
            <w:r>
              <w:rPr>
                <w:rFonts w:hint="eastAsia"/>
                <w:b/>
                <w:bCs/>
                <w:color w:val="auto"/>
                <w:sz w:val="21"/>
                <w:szCs w:val="21"/>
                <w:highlight w:val="none"/>
              </w:rPr>
              <w:t>环境准入负面清单符合性分析</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3180"/>
              <w:gridCol w:w="1985"/>
              <w:gridCol w:w="933"/>
            </w:tblGrid>
            <w:tr w14:paraId="630AB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noWrap w:val="0"/>
                  <w:vAlign w:val="center"/>
                </w:tcPr>
                <w:p w14:paraId="6D20A89B">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准入类别</w:t>
                  </w:r>
                </w:p>
              </w:tc>
              <w:tc>
                <w:tcPr>
                  <w:tcW w:w="3180" w:type="dxa"/>
                  <w:noWrap w:val="0"/>
                  <w:vAlign w:val="center"/>
                </w:tcPr>
                <w:p w14:paraId="5A845F31">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具体准入内容</w:t>
                  </w:r>
                </w:p>
              </w:tc>
              <w:tc>
                <w:tcPr>
                  <w:tcW w:w="1985" w:type="dxa"/>
                  <w:noWrap w:val="0"/>
                  <w:vAlign w:val="center"/>
                </w:tcPr>
                <w:p w14:paraId="426EF40E">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本项目情况</w:t>
                  </w:r>
                </w:p>
              </w:tc>
              <w:tc>
                <w:tcPr>
                  <w:tcW w:w="933" w:type="dxa"/>
                  <w:noWrap w:val="0"/>
                  <w:vAlign w:val="center"/>
                </w:tcPr>
                <w:p w14:paraId="50EA2768">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符合性</w:t>
                  </w:r>
                </w:p>
              </w:tc>
            </w:tr>
            <w:tr w14:paraId="29E99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noWrap w:val="0"/>
                  <w:vAlign w:val="center"/>
                </w:tcPr>
                <w:p w14:paraId="75E4CB30">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产业/行业负面清单</w:t>
                  </w:r>
                </w:p>
              </w:tc>
              <w:tc>
                <w:tcPr>
                  <w:tcW w:w="3180" w:type="dxa"/>
                  <w:noWrap w:val="0"/>
                  <w:vAlign w:val="center"/>
                </w:tcPr>
                <w:p w14:paraId="78EE756C">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color w:val="auto"/>
                      <w:sz w:val="21"/>
                      <w:szCs w:val="21"/>
                      <w:highlight w:val="none"/>
                    </w:rPr>
                    <w:t>1</w:t>
                  </w:r>
                  <w:r>
                    <w:rPr>
                      <w:rFonts w:hint="eastAsia"/>
                      <w:color w:val="auto"/>
                      <w:sz w:val="21"/>
                      <w:szCs w:val="21"/>
                      <w:highlight w:val="none"/>
                    </w:rPr>
                    <w:t>.</w:t>
                  </w:r>
                  <w:r>
                    <w:rPr>
                      <w:color w:val="auto"/>
                      <w:sz w:val="21"/>
                      <w:szCs w:val="21"/>
                      <w:highlight w:val="none"/>
                    </w:rPr>
                    <w:t>属于《产业结构调整指导目录（20</w:t>
                  </w:r>
                  <w:r>
                    <w:rPr>
                      <w:rFonts w:hint="eastAsia"/>
                      <w:color w:val="auto"/>
                      <w:sz w:val="21"/>
                      <w:szCs w:val="21"/>
                      <w:highlight w:val="none"/>
                    </w:rPr>
                    <w:t>19</w:t>
                  </w:r>
                  <w:r>
                    <w:rPr>
                      <w:color w:val="auto"/>
                      <w:sz w:val="21"/>
                      <w:szCs w:val="21"/>
                      <w:highlight w:val="none"/>
                    </w:rPr>
                    <w:t>年本）》中限制类和淘汰类建设项目；2</w:t>
                  </w:r>
                  <w:r>
                    <w:rPr>
                      <w:rFonts w:hint="eastAsia"/>
                      <w:color w:val="auto"/>
                      <w:sz w:val="21"/>
                      <w:szCs w:val="21"/>
                      <w:highlight w:val="none"/>
                    </w:rPr>
                    <w:t>.</w:t>
                  </w:r>
                  <w:r>
                    <w:rPr>
                      <w:color w:val="auto"/>
                      <w:sz w:val="21"/>
                      <w:szCs w:val="21"/>
                      <w:highlight w:val="none"/>
                    </w:rPr>
                    <w:t>不符合行业准入条件的建设项目；3</w:t>
                  </w:r>
                  <w:r>
                    <w:rPr>
                      <w:rFonts w:hint="eastAsia"/>
                      <w:color w:val="auto"/>
                      <w:sz w:val="21"/>
                      <w:szCs w:val="21"/>
                      <w:highlight w:val="none"/>
                    </w:rPr>
                    <w:t>.</w:t>
                  </w:r>
                  <w:r>
                    <w:rPr>
                      <w:color w:val="auto"/>
                      <w:sz w:val="21"/>
                      <w:szCs w:val="21"/>
                      <w:highlight w:val="none"/>
                    </w:rPr>
                    <w:t>禁止引进超过生态承载力的旅游活动。</w:t>
                  </w:r>
                </w:p>
              </w:tc>
              <w:tc>
                <w:tcPr>
                  <w:tcW w:w="1985" w:type="dxa"/>
                  <w:noWrap w:val="0"/>
                  <w:vAlign w:val="center"/>
                </w:tcPr>
                <w:p w14:paraId="1337D8B4">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color w:val="auto"/>
                      <w:sz w:val="21"/>
                      <w:szCs w:val="21"/>
                      <w:highlight w:val="none"/>
                    </w:rPr>
                    <w:t>1</w:t>
                  </w:r>
                  <w:r>
                    <w:rPr>
                      <w:rFonts w:hint="eastAsia"/>
                      <w:color w:val="auto"/>
                      <w:sz w:val="21"/>
                      <w:szCs w:val="21"/>
                      <w:highlight w:val="none"/>
                    </w:rPr>
                    <w:t>.</w:t>
                  </w:r>
                  <w:r>
                    <w:rPr>
                      <w:rFonts w:hint="eastAsia"/>
                      <w:color w:val="auto"/>
                      <w:sz w:val="21"/>
                      <w:szCs w:val="21"/>
                      <w:highlight w:val="none"/>
                      <w:lang w:val="en-US" w:eastAsia="zh-CN"/>
                    </w:rPr>
                    <w:t>根据</w:t>
                  </w:r>
                  <w:r>
                    <w:rPr>
                      <w:rFonts w:hint="eastAsia"/>
                      <w:color w:val="auto"/>
                      <w:sz w:val="21"/>
                      <w:szCs w:val="21"/>
                      <w:highlight w:val="none"/>
                    </w:rPr>
                    <w:t>《产业结构调整指导目录（2024年本）》，本项目不属于鼓励类、限制类和淘汰类项目，为允许类</w:t>
                  </w:r>
                  <w:r>
                    <w:rPr>
                      <w:color w:val="auto"/>
                      <w:sz w:val="21"/>
                      <w:szCs w:val="21"/>
                      <w:highlight w:val="none"/>
                    </w:rPr>
                    <w:t>；2</w:t>
                  </w:r>
                  <w:r>
                    <w:rPr>
                      <w:rFonts w:hint="eastAsia"/>
                      <w:color w:val="auto"/>
                      <w:sz w:val="21"/>
                      <w:szCs w:val="21"/>
                      <w:highlight w:val="none"/>
                    </w:rPr>
                    <w:t>.</w:t>
                  </w:r>
                  <w:r>
                    <w:rPr>
                      <w:color w:val="auto"/>
                      <w:sz w:val="21"/>
                      <w:szCs w:val="21"/>
                      <w:highlight w:val="none"/>
                    </w:rPr>
                    <w:t>项目建设符合行业准入</w:t>
                  </w:r>
                  <w:r>
                    <w:rPr>
                      <w:rFonts w:hint="eastAsia"/>
                      <w:color w:val="auto"/>
                      <w:sz w:val="21"/>
                      <w:szCs w:val="21"/>
                      <w:highlight w:val="none"/>
                    </w:rPr>
                    <w:t>；</w:t>
                  </w:r>
                  <w:r>
                    <w:rPr>
                      <w:color w:val="auto"/>
                      <w:sz w:val="21"/>
                      <w:szCs w:val="21"/>
                      <w:highlight w:val="none"/>
                    </w:rPr>
                    <w:t>3</w:t>
                  </w:r>
                  <w:r>
                    <w:rPr>
                      <w:rFonts w:hint="eastAsia"/>
                      <w:color w:val="auto"/>
                      <w:sz w:val="21"/>
                      <w:szCs w:val="21"/>
                      <w:highlight w:val="none"/>
                    </w:rPr>
                    <w:t>.</w:t>
                  </w:r>
                  <w:r>
                    <w:rPr>
                      <w:color w:val="auto"/>
                      <w:sz w:val="21"/>
                      <w:szCs w:val="21"/>
                      <w:highlight w:val="none"/>
                    </w:rPr>
                    <w:t>不属于旅游活动。</w:t>
                  </w:r>
                </w:p>
              </w:tc>
              <w:tc>
                <w:tcPr>
                  <w:tcW w:w="933" w:type="dxa"/>
                  <w:noWrap w:val="0"/>
                  <w:vAlign w:val="center"/>
                </w:tcPr>
                <w:p w14:paraId="3AAD3A77">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r w14:paraId="12B43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noWrap w:val="0"/>
                  <w:vAlign w:val="center"/>
                </w:tcPr>
                <w:p w14:paraId="20BA480F">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设备/工序负面清单</w:t>
                  </w:r>
                </w:p>
              </w:tc>
              <w:tc>
                <w:tcPr>
                  <w:tcW w:w="3180" w:type="dxa"/>
                  <w:noWrap w:val="0"/>
                  <w:vAlign w:val="center"/>
                </w:tcPr>
                <w:p w14:paraId="4F452C4A">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color w:val="auto"/>
                      <w:sz w:val="21"/>
                      <w:szCs w:val="21"/>
                      <w:highlight w:val="none"/>
                    </w:rPr>
                    <w:t>1</w:t>
                  </w:r>
                  <w:r>
                    <w:rPr>
                      <w:rFonts w:hint="eastAsia"/>
                      <w:color w:val="auto"/>
                      <w:sz w:val="21"/>
                      <w:szCs w:val="21"/>
                      <w:highlight w:val="none"/>
                    </w:rPr>
                    <w:t>.</w:t>
                  </w:r>
                  <w:r>
                    <w:rPr>
                      <w:color w:val="auto"/>
                      <w:sz w:val="21"/>
                      <w:szCs w:val="21"/>
                      <w:highlight w:val="none"/>
                    </w:rPr>
                    <w:t>《部分工业行业淘汰落后生产工艺装备和产品指导目录（2010年本）》中要求调整退出和淘汰的行业、工艺和设备。</w:t>
                  </w:r>
                </w:p>
              </w:tc>
              <w:tc>
                <w:tcPr>
                  <w:tcW w:w="1985" w:type="dxa"/>
                  <w:noWrap w:val="0"/>
                  <w:vAlign w:val="center"/>
                </w:tcPr>
                <w:p w14:paraId="1A731E22">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color w:val="auto"/>
                      <w:sz w:val="21"/>
                      <w:szCs w:val="21"/>
                      <w:highlight w:val="none"/>
                    </w:rPr>
                    <w:t>本项目</w:t>
                  </w:r>
                  <w:r>
                    <w:rPr>
                      <w:rFonts w:hint="eastAsia"/>
                      <w:color w:val="auto"/>
                      <w:sz w:val="21"/>
                      <w:szCs w:val="21"/>
                      <w:highlight w:val="none"/>
                      <w:lang w:val="en-US" w:eastAsia="zh-CN"/>
                    </w:rPr>
                    <w:t>不涉及</w:t>
                  </w:r>
                  <w:r>
                    <w:rPr>
                      <w:rFonts w:hint="eastAsia"/>
                      <w:color w:val="auto"/>
                      <w:sz w:val="21"/>
                      <w:szCs w:val="21"/>
                      <w:highlight w:val="none"/>
                    </w:rPr>
                    <w:t>要求调整退出和淘汰的行业、工艺和设备</w:t>
                  </w:r>
                  <w:r>
                    <w:rPr>
                      <w:color w:val="auto"/>
                      <w:sz w:val="21"/>
                      <w:szCs w:val="21"/>
                      <w:highlight w:val="none"/>
                    </w:rPr>
                    <w:t>。</w:t>
                  </w:r>
                </w:p>
              </w:tc>
              <w:tc>
                <w:tcPr>
                  <w:tcW w:w="933" w:type="dxa"/>
                  <w:noWrap w:val="0"/>
                  <w:vAlign w:val="center"/>
                </w:tcPr>
                <w:p w14:paraId="18A1F890">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r w14:paraId="71B27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noWrap w:val="0"/>
                  <w:vAlign w:val="center"/>
                </w:tcPr>
                <w:p w14:paraId="4BD09677">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入区项目负面清单</w:t>
                  </w:r>
                </w:p>
              </w:tc>
              <w:tc>
                <w:tcPr>
                  <w:tcW w:w="3180" w:type="dxa"/>
                  <w:noWrap w:val="0"/>
                  <w:vAlign w:val="center"/>
                </w:tcPr>
                <w:p w14:paraId="102DA895">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color w:val="auto"/>
                      <w:sz w:val="21"/>
                      <w:szCs w:val="21"/>
                      <w:highlight w:val="none"/>
                    </w:rPr>
                    <w:t>禁止使用含苯的涂料、含重金属漆的企业；限制引进含电镀工艺的项目、禁止使用含苯的涂料、含重金属漆的企业；禁止引进含有毒有害氰化物及镉电镀工艺。禁止引入生产铅蓄电池产生及危险废物焚烧、填埋等涉重企业。</w:t>
                  </w:r>
                </w:p>
              </w:tc>
              <w:tc>
                <w:tcPr>
                  <w:tcW w:w="1985" w:type="dxa"/>
                  <w:noWrap w:val="0"/>
                  <w:vAlign w:val="center"/>
                </w:tcPr>
                <w:p w14:paraId="1682B3D7">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color w:val="auto"/>
                      <w:sz w:val="21"/>
                      <w:szCs w:val="21"/>
                      <w:highlight w:val="none"/>
                    </w:rPr>
                    <w:t>本项目不涉及使用含苯的涂料</w:t>
                  </w:r>
                  <w:r>
                    <w:rPr>
                      <w:rFonts w:hint="eastAsia"/>
                      <w:color w:val="auto"/>
                      <w:sz w:val="21"/>
                      <w:szCs w:val="21"/>
                      <w:highlight w:val="none"/>
                    </w:rPr>
                    <w:t>、</w:t>
                  </w:r>
                  <w:r>
                    <w:rPr>
                      <w:color w:val="auto"/>
                      <w:sz w:val="21"/>
                      <w:szCs w:val="21"/>
                      <w:highlight w:val="none"/>
                    </w:rPr>
                    <w:t>含电镀工艺的项目、不属于铅蓄电池生产及危险废物焚烧填埋等涉重企业。</w:t>
                  </w:r>
                </w:p>
              </w:tc>
              <w:tc>
                <w:tcPr>
                  <w:tcW w:w="933" w:type="dxa"/>
                  <w:noWrap w:val="0"/>
                  <w:vAlign w:val="center"/>
                </w:tcPr>
                <w:p w14:paraId="12120C72">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r w14:paraId="70A69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noWrap w:val="0"/>
                  <w:vAlign w:val="center"/>
                </w:tcPr>
                <w:p w14:paraId="752D61C3">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清洁生产</w:t>
                  </w:r>
                </w:p>
              </w:tc>
              <w:tc>
                <w:tcPr>
                  <w:tcW w:w="3180" w:type="dxa"/>
                  <w:noWrap w:val="0"/>
                  <w:vAlign w:val="center"/>
                </w:tcPr>
                <w:p w14:paraId="093919EE">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color w:val="auto"/>
                      <w:sz w:val="21"/>
                      <w:szCs w:val="21"/>
                      <w:highlight w:val="none"/>
                    </w:rPr>
                    <w:t>近期入园企业需达到国内清洁生产先进水平，远期应达到国际清洁生产先进水平。</w:t>
                  </w:r>
                </w:p>
              </w:tc>
              <w:tc>
                <w:tcPr>
                  <w:tcW w:w="1985" w:type="dxa"/>
                  <w:noWrap w:val="0"/>
                  <w:vAlign w:val="center"/>
                </w:tcPr>
                <w:p w14:paraId="0E340949">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933" w:type="dxa"/>
                  <w:noWrap w:val="0"/>
                  <w:vAlign w:val="center"/>
                </w:tcPr>
                <w:p w14:paraId="1A0E0604">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lang w:val="en-US" w:eastAsia="zh-CN"/>
                    </w:rPr>
                    <w:t>不涉及</w:t>
                  </w:r>
                </w:p>
              </w:tc>
            </w:tr>
            <w:tr w14:paraId="744C0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noWrap w:val="0"/>
                  <w:vAlign w:val="center"/>
                </w:tcPr>
                <w:p w14:paraId="3D04D181">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资源环境负面清单</w:t>
                  </w:r>
                </w:p>
              </w:tc>
              <w:tc>
                <w:tcPr>
                  <w:tcW w:w="3180" w:type="dxa"/>
                  <w:noWrap w:val="0"/>
                  <w:vAlign w:val="center"/>
                </w:tcPr>
                <w:p w14:paraId="3F0D7C1D">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color w:val="auto"/>
                      <w:sz w:val="21"/>
                      <w:szCs w:val="21"/>
                      <w:highlight w:val="none"/>
                    </w:rPr>
                    <w:t>1</w:t>
                  </w:r>
                  <w:r>
                    <w:rPr>
                      <w:rFonts w:hint="eastAsia"/>
                      <w:color w:val="auto"/>
                      <w:sz w:val="21"/>
                      <w:szCs w:val="21"/>
                      <w:highlight w:val="none"/>
                    </w:rPr>
                    <w:t>.</w:t>
                  </w:r>
                  <w:r>
                    <w:rPr>
                      <w:color w:val="auto"/>
                      <w:sz w:val="21"/>
                      <w:szCs w:val="21"/>
                      <w:highlight w:val="none"/>
                    </w:rPr>
                    <w:t>园区内企业用水由园区统一供给，禁止私自新打井开采地下水；2</w:t>
                  </w:r>
                  <w:r>
                    <w:rPr>
                      <w:rFonts w:hint="eastAsia"/>
                      <w:color w:val="auto"/>
                      <w:sz w:val="21"/>
                      <w:szCs w:val="21"/>
                      <w:highlight w:val="none"/>
                    </w:rPr>
                    <w:t>.</w:t>
                  </w:r>
                  <w:r>
                    <w:rPr>
                      <w:color w:val="auto"/>
                      <w:sz w:val="21"/>
                      <w:szCs w:val="21"/>
                      <w:highlight w:val="none"/>
                    </w:rPr>
                    <w:t>以水定产、量水而行，严控高耗水、高污染行业发展，对拟入区项目用水强度进行控制，严格限制高耗水项目进入；入区项目最大程度使用再生水，可以使用再生水的不得使用新鲜水。</w:t>
                  </w:r>
                </w:p>
              </w:tc>
              <w:tc>
                <w:tcPr>
                  <w:tcW w:w="1985" w:type="dxa"/>
                  <w:noWrap w:val="0"/>
                  <w:vAlign w:val="center"/>
                </w:tcPr>
                <w:p w14:paraId="5BB9D2ED">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lang w:val="en-US" w:eastAsia="zh-CN"/>
                    </w:rPr>
                    <w:t>本项目</w:t>
                  </w:r>
                  <w:r>
                    <w:rPr>
                      <w:color w:val="auto"/>
                      <w:sz w:val="21"/>
                      <w:szCs w:val="21"/>
                      <w:highlight w:val="none"/>
                    </w:rPr>
                    <w:t>水源为壶关经济开发区自来水管网</w:t>
                  </w:r>
                </w:p>
              </w:tc>
              <w:tc>
                <w:tcPr>
                  <w:tcW w:w="933" w:type="dxa"/>
                  <w:noWrap w:val="0"/>
                  <w:vAlign w:val="center"/>
                </w:tcPr>
                <w:p w14:paraId="0C8C925F">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r w14:paraId="71EF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noWrap w:val="0"/>
                  <w:vAlign w:val="center"/>
                </w:tcPr>
                <w:p w14:paraId="0D2843B8">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空间布局约束</w:t>
                  </w:r>
                </w:p>
              </w:tc>
              <w:tc>
                <w:tcPr>
                  <w:tcW w:w="3180" w:type="dxa"/>
                  <w:noWrap w:val="0"/>
                  <w:vAlign w:val="center"/>
                </w:tcPr>
                <w:p w14:paraId="47F0A3F0">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color w:val="auto"/>
                      <w:sz w:val="21"/>
                      <w:szCs w:val="21"/>
                      <w:highlight w:val="none"/>
                    </w:rPr>
                    <w:t>1</w:t>
                  </w:r>
                  <w:r>
                    <w:rPr>
                      <w:rFonts w:hint="eastAsia"/>
                      <w:color w:val="auto"/>
                      <w:sz w:val="21"/>
                      <w:szCs w:val="21"/>
                      <w:highlight w:val="none"/>
                    </w:rPr>
                    <w:t>.</w:t>
                  </w:r>
                  <w:r>
                    <w:rPr>
                      <w:color w:val="auto"/>
                      <w:sz w:val="21"/>
                      <w:szCs w:val="21"/>
                      <w:highlight w:val="none"/>
                    </w:rPr>
                    <w:t>入区企业须符合“循环经济”理念，有利于形成园区内部循环经济产业链；2</w:t>
                  </w:r>
                  <w:r>
                    <w:rPr>
                      <w:rFonts w:hint="eastAsia"/>
                      <w:color w:val="auto"/>
                      <w:sz w:val="21"/>
                      <w:szCs w:val="21"/>
                      <w:highlight w:val="none"/>
                    </w:rPr>
                    <w:t>.</w:t>
                  </w:r>
                  <w:r>
                    <w:rPr>
                      <w:color w:val="auto"/>
                      <w:sz w:val="21"/>
                      <w:szCs w:val="21"/>
                      <w:highlight w:val="none"/>
                    </w:rPr>
                    <w:t>生态管控区内，不得建设工业、住宅、商业等不符合生态管控要求的项目（公园及相关配套服务设施和河道治理工程除外）；3</w:t>
                  </w:r>
                  <w:r>
                    <w:rPr>
                      <w:rFonts w:hint="eastAsia"/>
                      <w:color w:val="auto"/>
                      <w:sz w:val="21"/>
                      <w:szCs w:val="21"/>
                      <w:highlight w:val="none"/>
                    </w:rPr>
                    <w:t>.</w:t>
                  </w:r>
                  <w:r>
                    <w:rPr>
                      <w:color w:val="auto"/>
                      <w:sz w:val="21"/>
                      <w:szCs w:val="21"/>
                      <w:highlight w:val="none"/>
                    </w:rPr>
                    <w:t>乡镇集中供水水源地保护区范围内禁止建设与供水设施和保护水源无关的项目；4</w:t>
                  </w:r>
                  <w:r>
                    <w:rPr>
                      <w:rFonts w:hint="eastAsia"/>
                      <w:color w:val="auto"/>
                      <w:sz w:val="21"/>
                      <w:szCs w:val="21"/>
                      <w:highlight w:val="none"/>
                    </w:rPr>
                    <w:t>.</w:t>
                  </w:r>
                  <w:r>
                    <w:rPr>
                      <w:color w:val="auto"/>
                      <w:sz w:val="21"/>
                      <w:szCs w:val="21"/>
                      <w:highlight w:val="none"/>
                    </w:rPr>
                    <w:t>居民住宅区等人口密集区域和医院、学校等其他特殊保护的区域及其周边，不得新建、改建和扩建易产生恶臭气体的生产项目或从事其他恶臭气体的生产经营活动；5</w:t>
                  </w:r>
                  <w:r>
                    <w:rPr>
                      <w:rFonts w:hint="eastAsia"/>
                      <w:color w:val="auto"/>
                      <w:sz w:val="21"/>
                      <w:szCs w:val="21"/>
                      <w:highlight w:val="none"/>
                    </w:rPr>
                    <w:t>.</w:t>
                  </w:r>
                  <w:r>
                    <w:rPr>
                      <w:color w:val="auto"/>
                      <w:sz w:val="21"/>
                      <w:szCs w:val="21"/>
                      <w:highlight w:val="none"/>
                    </w:rPr>
                    <w:t>石子河和南大河河道水岸线以外不小于50米范围作为生态功能保护线，设置绿化隔离带，其他河流生态功能保护线，设置绿化隔离带，其他河流生态廊道按规划及其他政策要求建设缓冲隔离防护住宅、商业等不符合规划生态功能及生态管控要求项目</w:t>
                  </w:r>
                </w:p>
              </w:tc>
              <w:tc>
                <w:tcPr>
                  <w:tcW w:w="1985" w:type="dxa"/>
                  <w:noWrap w:val="0"/>
                  <w:vAlign w:val="center"/>
                </w:tcPr>
                <w:p w14:paraId="6ECB6C9C">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rPr>
                    <w:t>1.本项目建成后有利于促进园区循环经济发展</w:t>
                  </w:r>
                </w:p>
                <w:p w14:paraId="0AD5D524">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rPr>
                    <w:t>2.</w:t>
                  </w:r>
                  <w:r>
                    <w:rPr>
                      <w:rFonts w:hint="eastAsia"/>
                      <w:color w:val="auto"/>
                      <w:sz w:val="21"/>
                      <w:szCs w:val="21"/>
                      <w:highlight w:val="none"/>
                      <w:lang w:val="en-US" w:eastAsia="zh-CN"/>
                    </w:rPr>
                    <w:t>根据“1.3 生态分区管控符合性分析”，</w:t>
                  </w:r>
                  <w:r>
                    <w:rPr>
                      <w:rFonts w:hint="eastAsia"/>
                      <w:color w:val="auto"/>
                      <w:sz w:val="21"/>
                      <w:szCs w:val="21"/>
                      <w:highlight w:val="none"/>
                    </w:rPr>
                    <w:t>本项目</w:t>
                  </w:r>
                  <w:r>
                    <w:rPr>
                      <w:rFonts w:hint="eastAsia"/>
                      <w:color w:val="auto"/>
                      <w:sz w:val="21"/>
                      <w:szCs w:val="21"/>
                      <w:highlight w:val="none"/>
                      <w:lang w:val="en-US" w:eastAsia="zh-CN"/>
                    </w:rPr>
                    <w:t>建设</w:t>
                  </w:r>
                  <w:r>
                    <w:rPr>
                      <w:rFonts w:hint="eastAsia"/>
                      <w:color w:val="auto"/>
                      <w:sz w:val="21"/>
                      <w:szCs w:val="21"/>
                      <w:highlight w:val="none"/>
                    </w:rPr>
                    <w:t>符合生态管控要求</w:t>
                  </w:r>
                </w:p>
                <w:p w14:paraId="17AEB1B5">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rPr>
                    <w:t>3.距离本项目最近的水源地为</w:t>
                  </w:r>
                  <w:r>
                    <w:rPr>
                      <w:rFonts w:hint="eastAsia"/>
                      <w:color w:val="auto"/>
                      <w:sz w:val="21"/>
                      <w:szCs w:val="21"/>
                      <w:highlight w:val="none"/>
                      <w:lang w:val="en-US" w:eastAsia="zh-CN"/>
                    </w:rPr>
                    <w:t>集店镇集中供水水源地</w:t>
                  </w:r>
                  <w:r>
                    <w:rPr>
                      <w:rFonts w:hint="eastAsia"/>
                      <w:color w:val="auto"/>
                      <w:sz w:val="21"/>
                      <w:szCs w:val="21"/>
                      <w:highlight w:val="none"/>
                    </w:rPr>
                    <w:t>，本项目距离集店镇集中供水水源距离约为3.4km</w:t>
                  </w:r>
                  <w:r>
                    <w:rPr>
                      <w:rFonts w:hint="eastAsia"/>
                      <w:color w:val="auto"/>
                      <w:sz w:val="21"/>
                      <w:szCs w:val="21"/>
                      <w:highlight w:val="none"/>
                      <w:lang w:eastAsia="zh-CN"/>
                    </w:rPr>
                    <w:t>，</w:t>
                  </w:r>
                  <w:r>
                    <w:rPr>
                      <w:rFonts w:hint="eastAsia"/>
                      <w:color w:val="auto"/>
                      <w:sz w:val="21"/>
                      <w:szCs w:val="21"/>
                      <w:highlight w:val="none"/>
                      <w:lang w:val="en-US" w:eastAsia="zh-CN"/>
                    </w:rPr>
                    <w:t>不在其保护范围内，</w:t>
                  </w:r>
                  <w:r>
                    <w:rPr>
                      <w:rFonts w:hint="eastAsia"/>
                      <w:color w:val="auto"/>
                      <w:sz w:val="21"/>
                      <w:szCs w:val="21"/>
                      <w:highlight w:val="none"/>
                    </w:rPr>
                    <w:t>厂界外5</w:t>
                  </w:r>
                  <w:r>
                    <w:rPr>
                      <w:color w:val="auto"/>
                      <w:sz w:val="21"/>
                      <w:szCs w:val="21"/>
                      <w:highlight w:val="none"/>
                    </w:rPr>
                    <w:t>00</w:t>
                  </w:r>
                  <w:r>
                    <w:rPr>
                      <w:rFonts w:hint="eastAsia"/>
                      <w:color w:val="auto"/>
                      <w:sz w:val="21"/>
                      <w:szCs w:val="21"/>
                      <w:highlight w:val="none"/>
                      <w:lang w:val="en-US" w:eastAsia="zh-CN"/>
                    </w:rPr>
                    <w:t>m</w:t>
                  </w:r>
                  <w:r>
                    <w:rPr>
                      <w:rFonts w:hint="eastAsia"/>
                      <w:color w:val="auto"/>
                      <w:sz w:val="21"/>
                      <w:szCs w:val="21"/>
                      <w:highlight w:val="none"/>
                    </w:rPr>
                    <w:t>范围内无地下水集中式饮用水水源和热水、矿泉水、温泉等特殊地下水资源；</w:t>
                  </w:r>
                </w:p>
                <w:p w14:paraId="7C6AEB60">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rPr>
                    <w:t>4.</w:t>
                  </w:r>
                  <w:r>
                    <w:rPr>
                      <w:rFonts w:hint="eastAsia"/>
                      <w:color w:val="auto"/>
                      <w:sz w:val="21"/>
                      <w:szCs w:val="21"/>
                      <w:highlight w:val="none"/>
                      <w:lang w:val="en-US" w:eastAsia="zh-CN"/>
                    </w:rPr>
                    <w:t>不涉及</w:t>
                  </w:r>
                </w:p>
                <w:p w14:paraId="27B701AB">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rPr>
                    <w:t>5.项目位于石子河</w:t>
                  </w:r>
                  <w:r>
                    <w:rPr>
                      <w:rFonts w:hint="eastAsia"/>
                      <w:color w:val="auto"/>
                      <w:sz w:val="21"/>
                      <w:szCs w:val="21"/>
                      <w:highlight w:val="none"/>
                      <w:lang w:val="en-US" w:eastAsia="zh-CN"/>
                    </w:rPr>
                    <w:t>北</w:t>
                  </w:r>
                  <w:r>
                    <w:rPr>
                      <w:rFonts w:hint="eastAsia"/>
                      <w:color w:val="auto"/>
                      <w:sz w:val="21"/>
                      <w:szCs w:val="21"/>
                      <w:highlight w:val="none"/>
                    </w:rPr>
                    <w:t>侧</w:t>
                  </w:r>
                  <w:r>
                    <w:rPr>
                      <w:rFonts w:hint="eastAsia"/>
                      <w:color w:val="auto"/>
                      <w:sz w:val="21"/>
                      <w:szCs w:val="21"/>
                      <w:highlight w:val="none"/>
                      <w:lang w:val="en-US" w:eastAsia="zh-CN"/>
                    </w:rPr>
                    <w:t>70</w:t>
                  </w:r>
                  <w:r>
                    <w:rPr>
                      <w:rFonts w:hint="eastAsia"/>
                      <w:color w:val="auto"/>
                      <w:sz w:val="21"/>
                      <w:szCs w:val="21"/>
                      <w:highlight w:val="none"/>
                    </w:rPr>
                    <w:t>m处，不在石子河道水岸线50m范围内。</w:t>
                  </w:r>
                </w:p>
              </w:tc>
              <w:tc>
                <w:tcPr>
                  <w:tcW w:w="933" w:type="dxa"/>
                  <w:noWrap w:val="0"/>
                  <w:vAlign w:val="center"/>
                </w:tcPr>
                <w:p w14:paraId="62954C7B">
                  <w:pPr>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color w:val="auto"/>
                      <w:sz w:val="21"/>
                      <w:szCs w:val="21"/>
                      <w:highlight w:val="none"/>
                    </w:rPr>
                  </w:pPr>
                  <w:r>
                    <w:rPr>
                      <w:rFonts w:hint="eastAsia"/>
                      <w:color w:val="auto"/>
                      <w:sz w:val="21"/>
                      <w:szCs w:val="21"/>
                      <w:highlight w:val="none"/>
                    </w:rPr>
                    <w:t>符合</w:t>
                  </w:r>
                </w:p>
              </w:tc>
            </w:tr>
          </w:tbl>
          <w:p w14:paraId="3713C53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highlight w:val="none"/>
                <w:lang w:val="en-US" w:eastAsia="zh-CN"/>
              </w:rPr>
            </w:pPr>
          </w:p>
        </w:tc>
      </w:tr>
      <w:tr w14:paraId="42A9B5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517" w:hRule="atLeast"/>
          <w:jc w:val="center"/>
        </w:trPr>
        <w:tc>
          <w:tcPr>
            <w:tcW w:w="2154" w:type="dxa"/>
            <w:noWrap w:val="0"/>
            <w:tcMar>
              <w:top w:w="57" w:type="dxa"/>
              <w:left w:w="57" w:type="dxa"/>
              <w:bottom w:w="57" w:type="dxa"/>
              <w:right w:w="57" w:type="dxa"/>
            </w:tcMar>
            <w:vAlign w:val="center"/>
          </w:tcPr>
          <w:p w14:paraId="10A1374B">
            <w:pPr>
              <w:pStyle w:val="3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val="en-US" w:eastAsia="zh-CN"/>
              </w:rPr>
            </w:pPr>
            <w:r>
              <w:rPr>
                <w:color w:val="auto"/>
                <w:sz w:val="24"/>
                <w:szCs w:val="24"/>
                <w:highlight w:val="none"/>
              </w:rPr>
              <w:t>其他符合性分析</w:t>
            </w:r>
          </w:p>
        </w:tc>
        <w:tc>
          <w:tcPr>
            <w:tcW w:w="7123" w:type="dxa"/>
            <w:gridSpan w:val="3"/>
            <w:noWrap w:val="0"/>
            <w:tcMar>
              <w:top w:w="57" w:type="dxa"/>
              <w:left w:w="57" w:type="dxa"/>
              <w:bottom w:w="57" w:type="dxa"/>
              <w:right w:w="57" w:type="dxa"/>
            </w:tcMar>
            <w:vAlign w:val="center"/>
          </w:tcPr>
          <w:p w14:paraId="220C41FE">
            <w:pPr>
              <w:keepNext w:val="0"/>
              <w:keepLines w:val="0"/>
              <w:pageBreakBefore w:val="0"/>
              <w:widowControl/>
              <w:numPr>
                <w:ilvl w:val="1"/>
                <w:numId w:val="4"/>
              </w:numPr>
              <w:suppressLineNumbers w:val="0"/>
              <w:kinsoku/>
              <w:wordWrap/>
              <w:overflowPunct/>
              <w:topLinePunct w:val="0"/>
              <w:autoSpaceDE/>
              <w:autoSpaceDN/>
              <w:bidi w:val="0"/>
              <w:adjustRightInd/>
              <w:snapToGrid/>
              <w:ind w:left="0" w:leftChars="0" w:firstLine="482" w:firstLineChars="200"/>
              <w:jc w:val="left"/>
              <w:textAlignment w:val="auto"/>
              <w:rPr>
                <w:rFonts w:hint="eastAsia" w:cs="Times New Roman"/>
                <w:color w:val="auto"/>
                <w:kern w:val="0"/>
                <w:sz w:val="24"/>
                <w:szCs w:val="24"/>
                <w:highlight w:val="none"/>
                <w:lang w:val="en-US" w:eastAsia="zh-CN" w:bidi="ar"/>
              </w:rPr>
            </w:pPr>
            <w:r>
              <w:rPr>
                <w:rFonts w:hint="eastAsia" w:cs="Times New Roman"/>
                <w:b/>
                <w:bCs/>
                <w:color w:val="auto"/>
                <w:kern w:val="0"/>
                <w:sz w:val="24"/>
                <w:szCs w:val="24"/>
                <w:highlight w:val="none"/>
                <w:lang w:val="en-US" w:eastAsia="zh-CN" w:bidi="ar"/>
              </w:rPr>
              <w:t>相关符合性分析</w:t>
            </w:r>
          </w:p>
          <w:p w14:paraId="002170D0">
            <w:pPr>
              <w:keepNext w:val="0"/>
              <w:keepLines w:val="0"/>
              <w:widowControl/>
              <w:suppressLineNumbers w:val="0"/>
              <w:jc w:val="left"/>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color w:val="auto"/>
                <w:kern w:val="0"/>
                <w:sz w:val="24"/>
                <w:szCs w:val="24"/>
                <w:highlight w:val="none"/>
                <w:lang w:val="en-US" w:eastAsia="zh-CN" w:bidi="ar"/>
              </w:rPr>
              <w:t>根据本项目与辛安泉域相对位置关系图，本项目不在辛安泉域重点保护区范围内，距泉域重点保护区最近距离为</w:t>
            </w:r>
            <w:r>
              <w:rPr>
                <w:rFonts w:hint="eastAsia" w:cs="Times New Roman"/>
                <w:color w:val="auto"/>
                <w:kern w:val="0"/>
                <w:sz w:val="24"/>
                <w:szCs w:val="24"/>
                <w:highlight w:val="none"/>
                <w:lang w:val="en-US" w:eastAsia="zh-CN" w:bidi="ar"/>
              </w:rPr>
              <w:t>17.8</w:t>
            </w:r>
            <w:r>
              <w:rPr>
                <w:rFonts w:hint="eastAsia" w:ascii="Times New Roman" w:hAnsi="Times New Roman" w:eastAsia="宋体" w:cs="Times New Roman"/>
                <w:color w:val="auto"/>
                <w:kern w:val="0"/>
                <w:sz w:val="24"/>
                <w:szCs w:val="24"/>
                <w:highlight w:val="none"/>
                <w:lang w:val="en-US" w:eastAsia="zh-CN" w:bidi="ar"/>
              </w:rPr>
              <w:t>km。</w:t>
            </w:r>
          </w:p>
          <w:p w14:paraId="3FFAFDD2">
            <w:pPr>
              <w:keepNext w:val="0"/>
              <w:keepLines w:val="0"/>
              <w:widowControl/>
              <w:suppressLineNumbers w:val="0"/>
              <w:jc w:val="left"/>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color w:val="auto"/>
                <w:kern w:val="0"/>
                <w:sz w:val="24"/>
                <w:szCs w:val="24"/>
                <w:highlight w:val="none"/>
                <w:lang w:val="en-US" w:eastAsia="zh-CN" w:bidi="ar"/>
              </w:rPr>
              <w:t>根据山西省人民政府“关于同意长治市乡镇集中式饮用水水源地保护区划定方案的通知”（晋政函〔2012〕136号），长治市壶关县乡镇集中式饮用水水源地共有7个：龙泉镇修善集中供水水源、百尺镇集中供水水源、韩庄集中供水水源、集店镇集中供水水源、黄山镇集中供水水源、七里栈集中供水水源、</w:t>
            </w:r>
            <w:r>
              <w:rPr>
                <w:rFonts w:hint="eastAsia" w:cs="Times New Roman"/>
                <w:color w:val="auto"/>
                <w:kern w:val="0"/>
                <w:sz w:val="24"/>
                <w:szCs w:val="24"/>
                <w:highlight w:val="none"/>
                <w:lang w:val="en-US" w:eastAsia="zh-CN" w:bidi="ar"/>
              </w:rPr>
              <w:t>常平</w:t>
            </w:r>
            <w:r>
              <w:rPr>
                <w:rFonts w:hint="eastAsia" w:ascii="Times New Roman" w:hAnsi="Times New Roman" w:eastAsia="宋体" w:cs="Times New Roman"/>
                <w:color w:val="auto"/>
                <w:kern w:val="0"/>
                <w:sz w:val="24"/>
                <w:szCs w:val="24"/>
                <w:highlight w:val="none"/>
                <w:lang w:val="en-US" w:eastAsia="zh-CN" w:bidi="ar"/>
              </w:rPr>
              <w:t>集中供水水源。距离本项目最近的乡镇集中式饮用水水源地为项目西北侧的</w:t>
            </w:r>
            <w:r>
              <w:rPr>
                <w:rFonts w:hint="eastAsia" w:cs="Times New Roman"/>
                <w:color w:val="auto"/>
                <w:kern w:val="0"/>
                <w:sz w:val="24"/>
                <w:szCs w:val="24"/>
                <w:highlight w:val="none"/>
                <w:lang w:val="en-US" w:eastAsia="zh-CN" w:bidi="ar"/>
              </w:rPr>
              <w:t>集店镇</w:t>
            </w:r>
            <w:r>
              <w:rPr>
                <w:rFonts w:hint="eastAsia" w:ascii="Times New Roman" w:hAnsi="Times New Roman" w:eastAsia="宋体" w:cs="Times New Roman"/>
                <w:color w:val="auto"/>
                <w:kern w:val="0"/>
                <w:sz w:val="24"/>
                <w:szCs w:val="24"/>
                <w:highlight w:val="none"/>
                <w:lang w:val="en-US" w:eastAsia="zh-CN" w:bidi="ar"/>
              </w:rPr>
              <w:t>集中供水水源。</w:t>
            </w:r>
          </w:p>
          <w:p w14:paraId="21F9556D">
            <w:pPr>
              <w:keepNext w:val="0"/>
              <w:keepLines w:val="0"/>
              <w:widowControl/>
              <w:suppressLineNumbers w:val="0"/>
              <w:jc w:val="left"/>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color w:val="auto"/>
                <w:kern w:val="0"/>
                <w:sz w:val="24"/>
                <w:szCs w:val="24"/>
                <w:highlight w:val="none"/>
                <w:lang w:val="en-US" w:eastAsia="zh-CN" w:bidi="ar"/>
              </w:rPr>
              <w:t>根据《关于同意长治市乡镇集中式饮用水水源地保护区划定方案的批复》（晋政函〔2012〕136号），</w:t>
            </w:r>
            <w:r>
              <w:rPr>
                <w:rFonts w:hint="eastAsia" w:cs="Times New Roman"/>
                <w:color w:val="auto"/>
                <w:kern w:val="0"/>
                <w:sz w:val="24"/>
                <w:szCs w:val="24"/>
                <w:highlight w:val="none"/>
                <w:lang w:val="en-US" w:eastAsia="zh-CN" w:bidi="ar"/>
              </w:rPr>
              <w:t>集店镇</w:t>
            </w:r>
            <w:r>
              <w:rPr>
                <w:rFonts w:hint="eastAsia" w:ascii="Times New Roman" w:hAnsi="Times New Roman" w:eastAsia="宋体" w:cs="Times New Roman"/>
                <w:color w:val="auto"/>
                <w:kern w:val="0"/>
                <w:sz w:val="24"/>
                <w:szCs w:val="24"/>
                <w:highlight w:val="none"/>
                <w:lang w:val="en-US" w:eastAsia="zh-CN" w:bidi="ar"/>
              </w:rPr>
              <w:t>集中供水水源取水口数量为1，地理坐标东经</w:t>
            </w:r>
            <w:r>
              <w:rPr>
                <w:rFonts w:hint="default" w:ascii="Times New Roman" w:hAnsi="Times New Roman" w:eastAsia="宋体" w:cs="Times New Roman"/>
                <w:color w:val="auto"/>
                <w:kern w:val="0"/>
                <w:sz w:val="24"/>
                <w:szCs w:val="24"/>
                <w:highlight w:val="none"/>
                <w:lang w:val="en-US" w:eastAsia="zh-CN" w:bidi="ar"/>
              </w:rPr>
              <w:t>113°12′18″、北纬36°08′48″</w:t>
            </w:r>
            <w:r>
              <w:rPr>
                <w:rFonts w:hint="eastAsia" w:ascii="Times New Roman" w:hAnsi="Times New Roman" w:eastAsia="宋体" w:cs="Times New Roman"/>
                <w:color w:val="auto"/>
                <w:kern w:val="0"/>
                <w:sz w:val="24"/>
                <w:szCs w:val="24"/>
                <w:highlight w:val="none"/>
                <w:lang w:val="en-US" w:eastAsia="zh-CN" w:bidi="ar"/>
              </w:rPr>
              <w:t>，一级保护区半径18m、面积0.0010km</w:t>
            </w:r>
            <w:r>
              <w:rPr>
                <w:rFonts w:hint="eastAsia" w:ascii="Times New Roman" w:hAnsi="Times New Roman" w:eastAsia="宋体" w:cs="Times New Roman"/>
                <w:color w:val="auto"/>
                <w:kern w:val="0"/>
                <w:sz w:val="24"/>
                <w:szCs w:val="24"/>
                <w:highlight w:val="none"/>
                <w:vertAlign w:val="superscript"/>
                <w:lang w:val="en-US" w:eastAsia="zh-CN" w:bidi="ar"/>
              </w:rPr>
              <w:t>2</w:t>
            </w:r>
            <w:r>
              <w:rPr>
                <w:rFonts w:hint="eastAsia" w:ascii="Times New Roman" w:hAnsi="Times New Roman" w:eastAsia="宋体" w:cs="Times New Roman"/>
                <w:color w:val="auto"/>
                <w:kern w:val="0"/>
                <w:sz w:val="24"/>
                <w:szCs w:val="24"/>
                <w:highlight w:val="none"/>
                <w:lang w:val="en-US" w:eastAsia="zh-CN" w:bidi="ar"/>
              </w:rPr>
              <w:t>，不设二级保护区，服务对象为</w:t>
            </w:r>
            <w:r>
              <w:rPr>
                <w:rFonts w:hint="eastAsia" w:cs="Times New Roman"/>
                <w:color w:val="auto"/>
                <w:kern w:val="0"/>
                <w:sz w:val="24"/>
                <w:szCs w:val="24"/>
                <w:highlight w:val="none"/>
                <w:lang w:val="en-US" w:eastAsia="zh-CN" w:bidi="ar"/>
              </w:rPr>
              <w:t>集店镇</w:t>
            </w:r>
            <w:r>
              <w:rPr>
                <w:rFonts w:hint="eastAsia" w:ascii="Times New Roman" w:hAnsi="Times New Roman" w:eastAsia="宋体" w:cs="Times New Roman"/>
                <w:color w:val="auto"/>
                <w:kern w:val="0"/>
                <w:sz w:val="24"/>
                <w:szCs w:val="24"/>
                <w:highlight w:val="none"/>
                <w:lang w:val="en-US" w:eastAsia="zh-CN" w:bidi="ar"/>
              </w:rPr>
              <w:t>。本项目距离</w:t>
            </w:r>
            <w:r>
              <w:rPr>
                <w:rFonts w:hint="eastAsia" w:cs="Times New Roman"/>
                <w:color w:val="auto"/>
                <w:kern w:val="0"/>
                <w:sz w:val="24"/>
                <w:szCs w:val="24"/>
                <w:highlight w:val="none"/>
                <w:lang w:val="en-US" w:eastAsia="zh-CN" w:bidi="ar"/>
              </w:rPr>
              <w:t>集店镇</w:t>
            </w:r>
            <w:r>
              <w:rPr>
                <w:rFonts w:hint="eastAsia" w:ascii="Times New Roman" w:hAnsi="Times New Roman" w:eastAsia="宋体" w:cs="Times New Roman"/>
                <w:color w:val="auto"/>
                <w:kern w:val="0"/>
                <w:sz w:val="24"/>
                <w:szCs w:val="24"/>
                <w:highlight w:val="none"/>
                <w:lang w:val="en-US" w:eastAsia="zh-CN" w:bidi="ar"/>
              </w:rPr>
              <w:t>集中供水水源距离约为</w:t>
            </w:r>
            <w:r>
              <w:rPr>
                <w:rFonts w:hint="eastAsia" w:cs="Times New Roman"/>
                <w:color w:val="auto"/>
                <w:kern w:val="0"/>
                <w:sz w:val="24"/>
                <w:szCs w:val="24"/>
                <w:highlight w:val="none"/>
                <w:lang w:val="en-US" w:eastAsia="zh-CN" w:bidi="ar"/>
              </w:rPr>
              <w:t>3.4</w:t>
            </w:r>
            <w:r>
              <w:rPr>
                <w:rFonts w:hint="eastAsia" w:ascii="Times New Roman" w:hAnsi="Times New Roman" w:eastAsia="宋体" w:cs="Times New Roman"/>
                <w:color w:val="auto"/>
                <w:kern w:val="0"/>
                <w:sz w:val="24"/>
                <w:szCs w:val="24"/>
                <w:highlight w:val="none"/>
                <w:lang w:val="en-US" w:eastAsia="zh-CN" w:bidi="ar"/>
              </w:rPr>
              <w:t>km。</w:t>
            </w:r>
          </w:p>
          <w:p w14:paraId="49A4BFB3">
            <w:pPr>
              <w:keepNext w:val="0"/>
              <w:keepLines w:val="0"/>
              <w:pageBreakBefore w:val="0"/>
              <w:widowControl/>
              <w:numPr>
                <w:ilvl w:val="1"/>
                <w:numId w:val="4"/>
              </w:numPr>
              <w:suppressLineNumbers w:val="0"/>
              <w:kinsoku/>
              <w:wordWrap/>
              <w:overflowPunct/>
              <w:topLinePunct w:val="0"/>
              <w:autoSpaceDE/>
              <w:autoSpaceDN/>
              <w:bidi w:val="0"/>
              <w:adjustRightInd/>
              <w:snapToGrid/>
              <w:ind w:left="0" w:leftChars="0" w:firstLine="482" w:firstLineChars="200"/>
              <w:jc w:val="left"/>
              <w:textAlignment w:val="auto"/>
              <w:rPr>
                <w:rFonts w:hint="eastAsia" w:cs="Times New Roman"/>
                <w:color w:val="auto"/>
                <w:kern w:val="0"/>
                <w:sz w:val="24"/>
                <w:szCs w:val="24"/>
                <w:highlight w:val="none"/>
                <w:lang w:val="en-US" w:eastAsia="zh-CN" w:bidi="ar"/>
              </w:rPr>
            </w:pPr>
            <w:r>
              <w:rPr>
                <w:rFonts w:hint="eastAsia" w:cs="Times New Roman"/>
                <w:b/>
                <w:bCs/>
                <w:color w:val="auto"/>
                <w:kern w:val="0"/>
                <w:sz w:val="24"/>
                <w:szCs w:val="24"/>
                <w:highlight w:val="none"/>
                <w:lang w:val="en-US" w:eastAsia="zh-CN" w:bidi="ar"/>
              </w:rPr>
              <w:t>国土空间规划符合性分析</w:t>
            </w:r>
          </w:p>
          <w:p w14:paraId="59843DCC">
            <w:pPr>
              <w:pStyle w:val="3"/>
              <w:keepNext w:val="0"/>
              <w:keepLines w:val="0"/>
              <w:pageBreakBefore w:val="0"/>
              <w:widowControl w:val="0"/>
              <w:numPr>
                <w:ilvl w:val="1"/>
                <w:numId w:val="0"/>
              </w:numPr>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default" w:cs="Times New Roman"/>
                <w:color w:val="auto"/>
                <w:kern w:val="0"/>
                <w:sz w:val="24"/>
                <w:szCs w:val="24"/>
                <w:highlight w:val="none"/>
                <w:lang w:val="en-US" w:eastAsia="zh-CN" w:bidi="ar"/>
              </w:rPr>
              <w:t>根据《</w:t>
            </w:r>
            <w:r>
              <w:rPr>
                <w:rFonts w:hint="eastAsia" w:cs="Times New Roman"/>
                <w:color w:val="auto"/>
                <w:kern w:val="0"/>
                <w:sz w:val="24"/>
                <w:szCs w:val="24"/>
                <w:highlight w:val="none"/>
                <w:lang w:val="en-US" w:eastAsia="zh-CN" w:bidi="ar"/>
              </w:rPr>
              <w:t>壶关县</w:t>
            </w:r>
            <w:r>
              <w:rPr>
                <w:rFonts w:hint="default" w:cs="Times New Roman"/>
                <w:color w:val="auto"/>
                <w:kern w:val="0"/>
                <w:sz w:val="24"/>
                <w:szCs w:val="24"/>
                <w:highlight w:val="none"/>
                <w:lang w:val="en-US" w:eastAsia="zh-CN" w:bidi="ar"/>
              </w:rPr>
              <w:t>国土空间总体规划（2021-2035年）》中</w:t>
            </w:r>
            <w:r>
              <w:rPr>
                <w:rFonts w:hint="eastAsia" w:cs="Times New Roman"/>
                <w:color w:val="auto"/>
                <w:kern w:val="0"/>
                <w:sz w:val="24"/>
                <w:szCs w:val="24"/>
                <w:highlight w:val="none"/>
                <w:lang w:val="en-US" w:eastAsia="zh-CN" w:bidi="ar"/>
              </w:rPr>
              <w:t>“三区三线”图，距离本项目最近生态保护红线为壶关县</w:t>
            </w:r>
            <w:r>
              <w:rPr>
                <w:rFonts w:hint="default" w:cs="Times New Roman"/>
                <w:color w:val="auto"/>
                <w:kern w:val="0"/>
                <w:sz w:val="24"/>
                <w:szCs w:val="24"/>
                <w:highlight w:val="none"/>
                <w:lang w:val="en-US" w:eastAsia="zh-CN" w:bidi="ar"/>
              </w:rPr>
              <w:t>太行山水源涵养生态保护红线，本项目选址不在壶关县太行山水源涵养生态保护红线内，项目距离壶关县太行山水源涵养生态保护红线</w:t>
            </w:r>
            <w:r>
              <w:rPr>
                <w:rFonts w:hint="eastAsia" w:cs="Times New Roman"/>
                <w:color w:val="auto"/>
                <w:kern w:val="0"/>
                <w:sz w:val="24"/>
                <w:szCs w:val="24"/>
                <w:highlight w:val="none"/>
                <w:lang w:val="en-US" w:eastAsia="zh-CN" w:bidi="ar"/>
              </w:rPr>
              <w:t>6</w:t>
            </w:r>
            <w:r>
              <w:rPr>
                <w:rFonts w:hint="default" w:cs="Times New Roman"/>
                <w:color w:val="auto"/>
                <w:kern w:val="0"/>
                <w:sz w:val="24"/>
                <w:szCs w:val="24"/>
                <w:highlight w:val="none"/>
                <w:lang w:val="en-US" w:eastAsia="zh-CN" w:bidi="ar"/>
              </w:rPr>
              <w:t>km</w:t>
            </w:r>
            <w:r>
              <w:rPr>
                <w:rFonts w:hint="eastAsia" w:cs="Times New Roman"/>
                <w:color w:val="auto"/>
                <w:kern w:val="0"/>
                <w:sz w:val="24"/>
                <w:szCs w:val="24"/>
                <w:highlight w:val="none"/>
                <w:lang w:val="en-US" w:eastAsia="zh-CN" w:bidi="ar"/>
              </w:rPr>
              <w:t>；项目位于城镇开发边界内，</w:t>
            </w:r>
            <w:r>
              <w:rPr>
                <w:rFonts w:hint="default" w:cs="Times New Roman"/>
                <w:color w:val="auto"/>
                <w:kern w:val="0"/>
                <w:sz w:val="24"/>
                <w:szCs w:val="24"/>
                <w:highlight w:val="none"/>
                <w:lang w:val="en-US" w:eastAsia="zh-CN" w:bidi="ar"/>
              </w:rPr>
              <w:t>符合壶关县国土空间总体规划的要求。</w:t>
            </w:r>
          </w:p>
          <w:p w14:paraId="2D2A89C2">
            <w:pPr>
              <w:keepNext w:val="0"/>
              <w:keepLines w:val="0"/>
              <w:pageBreakBefore w:val="0"/>
              <w:widowControl/>
              <w:numPr>
                <w:ilvl w:val="1"/>
                <w:numId w:val="4"/>
              </w:numPr>
              <w:suppressLineNumbers w:val="0"/>
              <w:kinsoku/>
              <w:wordWrap/>
              <w:overflowPunct/>
              <w:topLinePunct w:val="0"/>
              <w:autoSpaceDE/>
              <w:autoSpaceDN/>
              <w:bidi w:val="0"/>
              <w:adjustRightInd/>
              <w:snapToGrid/>
              <w:ind w:left="0" w:leftChars="0" w:firstLine="482" w:firstLineChars="200"/>
              <w:jc w:val="left"/>
              <w:textAlignment w:val="auto"/>
              <w:rPr>
                <w:rFonts w:hint="eastAsia" w:cs="Times New Roman"/>
                <w:color w:val="auto"/>
                <w:kern w:val="0"/>
                <w:sz w:val="24"/>
                <w:szCs w:val="24"/>
                <w:highlight w:val="none"/>
                <w:lang w:val="en-US" w:eastAsia="zh-CN" w:bidi="ar"/>
              </w:rPr>
            </w:pPr>
            <w:r>
              <w:rPr>
                <w:rFonts w:hint="eastAsia" w:cs="Times New Roman"/>
                <w:b/>
                <w:bCs/>
                <w:color w:val="auto"/>
                <w:kern w:val="0"/>
                <w:sz w:val="24"/>
                <w:szCs w:val="24"/>
                <w:highlight w:val="none"/>
                <w:lang w:val="en-US" w:eastAsia="zh-CN" w:bidi="ar"/>
              </w:rPr>
              <w:t>生态分区管控符合性分析</w:t>
            </w:r>
          </w:p>
          <w:p w14:paraId="67CE18DD">
            <w:pPr>
              <w:keepNext w:val="0"/>
              <w:keepLines w:val="0"/>
              <w:pageBreakBefore w:val="0"/>
              <w:widowControl/>
              <w:suppressLineNumbers w:val="0"/>
              <w:kinsoku/>
              <w:wordWrap/>
              <w:overflowPunct/>
              <w:topLinePunct w:val="0"/>
              <w:autoSpaceDE/>
              <w:autoSpaceDN/>
              <w:bidi w:val="0"/>
              <w:adjustRightInd w:val="0"/>
              <w:snapToGrid w:val="0"/>
              <w:spacing w:line="420" w:lineRule="exact"/>
              <w:ind w:firstLine="0" w:firstLineChars="0"/>
              <w:jc w:val="center"/>
              <w:textAlignment w:val="auto"/>
              <w:rPr>
                <w:rFonts w:hint="eastAsia"/>
                <w:b/>
                <w:bCs/>
                <w:color w:val="auto"/>
                <w:sz w:val="21"/>
                <w:szCs w:val="21"/>
                <w:highlight w:val="none"/>
                <w:lang w:eastAsia="zh-CN"/>
              </w:rPr>
            </w:pPr>
          </w:p>
          <w:p w14:paraId="64BD2ABD">
            <w:pPr>
              <w:keepNext w:val="0"/>
              <w:keepLines w:val="0"/>
              <w:pageBreakBefore w:val="0"/>
              <w:widowControl/>
              <w:suppressLineNumbers w:val="0"/>
              <w:kinsoku/>
              <w:wordWrap/>
              <w:overflowPunct/>
              <w:topLinePunct w:val="0"/>
              <w:autoSpaceDE/>
              <w:autoSpaceDN/>
              <w:bidi w:val="0"/>
              <w:adjustRightInd w:val="0"/>
              <w:snapToGrid w:val="0"/>
              <w:spacing w:line="420" w:lineRule="exact"/>
              <w:ind w:firstLine="0" w:firstLineChars="0"/>
              <w:jc w:val="center"/>
              <w:textAlignment w:val="auto"/>
              <w:rPr>
                <w:rFonts w:hint="default" w:cs="Times New Roman"/>
                <w:color w:val="auto"/>
                <w:kern w:val="0"/>
                <w:sz w:val="21"/>
                <w:szCs w:val="21"/>
                <w:highlight w:val="none"/>
                <w:lang w:val="en-US" w:eastAsia="zh-CN" w:bidi="ar"/>
              </w:rPr>
            </w:pPr>
            <w:r>
              <w:rPr>
                <w:rFonts w:hint="eastAsia"/>
                <w:b/>
                <w:bCs/>
                <w:color w:val="auto"/>
                <w:sz w:val="21"/>
                <w:szCs w:val="21"/>
                <w:highlight w:val="none"/>
                <w:lang w:eastAsia="zh-CN"/>
              </w:rPr>
              <w:t>表</w:t>
            </w:r>
            <w:r>
              <w:rPr>
                <w:b/>
                <w:bCs/>
                <w:color w:val="auto"/>
                <w:sz w:val="21"/>
                <w:szCs w:val="21"/>
                <w:highlight w:val="none"/>
              </w:rPr>
              <w:fldChar w:fldCharType="begin"/>
            </w:r>
            <w:r>
              <w:rPr>
                <w:b/>
                <w:bCs/>
                <w:color w:val="auto"/>
                <w:sz w:val="21"/>
                <w:szCs w:val="21"/>
                <w:highlight w:val="none"/>
              </w:rPr>
              <w:instrText xml:space="preserve"> STYLEREF 1 \s </w:instrText>
            </w:r>
            <w:r>
              <w:rPr>
                <w:b/>
                <w:bCs/>
                <w:color w:val="auto"/>
                <w:sz w:val="21"/>
                <w:szCs w:val="21"/>
                <w:highlight w:val="none"/>
              </w:rPr>
              <w:fldChar w:fldCharType="separate"/>
            </w:r>
            <w:r>
              <w:rPr>
                <w:b/>
                <w:bCs/>
                <w:color w:val="auto"/>
                <w:sz w:val="21"/>
                <w:szCs w:val="21"/>
                <w:highlight w:val="none"/>
              </w:rPr>
              <w:t>1</w:t>
            </w:r>
            <w:r>
              <w:rPr>
                <w:b/>
                <w:bCs/>
                <w:color w:val="auto"/>
                <w:sz w:val="21"/>
                <w:szCs w:val="21"/>
                <w:highlight w:val="none"/>
              </w:rPr>
              <w:fldChar w:fldCharType="end"/>
            </w:r>
            <w:r>
              <w:rPr>
                <w:rFonts w:hint="eastAsia"/>
                <w:b/>
                <w:bCs/>
                <w:color w:val="auto"/>
                <w:sz w:val="21"/>
                <w:szCs w:val="21"/>
                <w:highlight w:val="none"/>
                <w:lang w:eastAsia="zh-CN"/>
              </w:rPr>
              <w:t>-</w:t>
            </w:r>
            <w:r>
              <w:rPr>
                <w:b/>
                <w:bCs/>
                <w:color w:val="auto"/>
                <w:sz w:val="21"/>
                <w:szCs w:val="21"/>
                <w:highlight w:val="none"/>
              </w:rPr>
              <w:fldChar w:fldCharType="begin"/>
            </w:r>
            <w:r>
              <w:rPr>
                <w:b/>
                <w:bCs/>
                <w:color w:val="auto"/>
                <w:sz w:val="21"/>
                <w:szCs w:val="21"/>
                <w:highlight w:val="none"/>
              </w:rPr>
              <w:instrText xml:space="preserve"> SEQ 表 \* ARABIC \s 1 </w:instrText>
            </w:r>
            <w:r>
              <w:rPr>
                <w:b/>
                <w:bCs/>
                <w:color w:val="auto"/>
                <w:sz w:val="21"/>
                <w:szCs w:val="21"/>
                <w:highlight w:val="none"/>
              </w:rPr>
              <w:fldChar w:fldCharType="separate"/>
            </w:r>
            <w:r>
              <w:rPr>
                <w:b/>
                <w:bCs/>
                <w:color w:val="auto"/>
                <w:sz w:val="21"/>
                <w:szCs w:val="21"/>
                <w:highlight w:val="none"/>
              </w:rPr>
              <w:t>4</w:t>
            </w:r>
            <w:r>
              <w:rPr>
                <w:b/>
                <w:bCs/>
                <w:color w:val="auto"/>
                <w:sz w:val="21"/>
                <w:szCs w:val="21"/>
                <w:highlight w:val="none"/>
              </w:rPr>
              <w:fldChar w:fldCharType="end"/>
            </w:r>
            <w:r>
              <w:rPr>
                <w:rFonts w:hint="eastAsia"/>
                <w:b/>
                <w:bCs/>
                <w:color w:val="auto"/>
                <w:sz w:val="21"/>
                <w:szCs w:val="21"/>
                <w:highlight w:val="none"/>
                <w:lang w:val="en-US" w:eastAsia="zh-CN"/>
              </w:rPr>
              <w:t xml:space="preserve"> 环境管控单元一览表</w:t>
            </w:r>
          </w:p>
          <w:tbl>
            <w:tblPr>
              <w:tblStyle w:val="34"/>
              <w:tblW w:w="70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920"/>
              <w:gridCol w:w="1120"/>
              <w:gridCol w:w="2345"/>
              <w:gridCol w:w="887"/>
              <w:gridCol w:w="1149"/>
            </w:tblGrid>
            <w:tr w14:paraId="60467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vAlign w:val="center"/>
                </w:tcPr>
                <w:p w14:paraId="2430A415">
                  <w:pPr>
                    <w:pStyle w:val="2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序号</w:t>
                  </w:r>
                </w:p>
              </w:tc>
              <w:tc>
                <w:tcPr>
                  <w:tcW w:w="920" w:type="dxa"/>
                  <w:vAlign w:val="center"/>
                </w:tcPr>
                <w:p w14:paraId="283AD66D">
                  <w:pPr>
                    <w:pStyle w:val="2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行政区划</w:t>
                  </w:r>
                </w:p>
              </w:tc>
              <w:tc>
                <w:tcPr>
                  <w:tcW w:w="1120" w:type="dxa"/>
                  <w:vAlign w:val="center"/>
                </w:tcPr>
                <w:p w14:paraId="7E11BF85">
                  <w:pPr>
                    <w:pStyle w:val="2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管控单元编码</w:t>
                  </w:r>
                </w:p>
              </w:tc>
              <w:tc>
                <w:tcPr>
                  <w:tcW w:w="2345" w:type="dxa"/>
                  <w:vAlign w:val="center"/>
                </w:tcPr>
                <w:p w14:paraId="1965BDC6">
                  <w:pPr>
                    <w:pStyle w:val="2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管控单元名称</w:t>
                  </w:r>
                </w:p>
              </w:tc>
              <w:tc>
                <w:tcPr>
                  <w:tcW w:w="887" w:type="dxa"/>
                  <w:vAlign w:val="center"/>
                </w:tcPr>
                <w:p w14:paraId="05116A57">
                  <w:pPr>
                    <w:pStyle w:val="2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管控区分类</w:t>
                  </w:r>
                </w:p>
              </w:tc>
              <w:tc>
                <w:tcPr>
                  <w:tcW w:w="1149" w:type="dxa"/>
                  <w:vAlign w:val="center"/>
                </w:tcPr>
                <w:p w14:paraId="16243B1A">
                  <w:pPr>
                    <w:pStyle w:val="2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重叠面积（公顷）</w:t>
                  </w:r>
                </w:p>
              </w:tc>
            </w:tr>
            <w:tr w14:paraId="0A93E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vAlign w:val="center"/>
                </w:tcPr>
                <w:p w14:paraId="1C256ACF">
                  <w:pPr>
                    <w:pStyle w:val="2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w:t>
                  </w:r>
                </w:p>
              </w:tc>
              <w:tc>
                <w:tcPr>
                  <w:tcW w:w="920" w:type="dxa"/>
                  <w:vAlign w:val="center"/>
                </w:tcPr>
                <w:p w14:paraId="704512A3">
                  <w:pPr>
                    <w:pStyle w:val="2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壶关县</w:t>
                  </w:r>
                </w:p>
              </w:tc>
              <w:tc>
                <w:tcPr>
                  <w:tcW w:w="1120" w:type="dxa"/>
                  <w:vAlign w:val="center"/>
                </w:tcPr>
                <w:p w14:paraId="469C8CD1">
                  <w:pPr>
                    <w:pStyle w:val="2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ZH14042720002</w:t>
                  </w:r>
                </w:p>
              </w:tc>
              <w:tc>
                <w:tcPr>
                  <w:tcW w:w="2345" w:type="dxa"/>
                  <w:vAlign w:val="center"/>
                </w:tcPr>
                <w:p w14:paraId="49B382E1">
                  <w:pPr>
                    <w:pStyle w:val="2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壶关经济开发区大气环境高排放重点管控单元</w:t>
                  </w:r>
                </w:p>
              </w:tc>
              <w:tc>
                <w:tcPr>
                  <w:tcW w:w="887" w:type="dxa"/>
                  <w:vAlign w:val="center"/>
                </w:tcPr>
                <w:p w14:paraId="0F749E84">
                  <w:pPr>
                    <w:pStyle w:val="2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重点管控单元</w:t>
                  </w:r>
                </w:p>
              </w:tc>
              <w:tc>
                <w:tcPr>
                  <w:tcW w:w="1149" w:type="dxa"/>
                  <w:vAlign w:val="center"/>
                </w:tcPr>
                <w:p w14:paraId="3CFBACAC">
                  <w:pPr>
                    <w:pStyle w:val="2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5.5123</w:t>
                  </w:r>
                </w:p>
              </w:tc>
            </w:tr>
          </w:tbl>
          <w:p w14:paraId="6DEE1049">
            <w:pPr>
              <w:keepNext w:val="0"/>
              <w:keepLines w:val="0"/>
              <w:pageBreakBefore w:val="0"/>
              <w:widowControl/>
              <w:suppressLineNumbers w:val="0"/>
              <w:kinsoku/>
              <w:wordWrap/>
              <w:overflowPunct/>
              <w:topLinePunct w:val="0"/>
              <w:autoSpaceDE/>
              <w:autoSpaceDN/>
              <w:bidi w:val="0"/>
              <w:adjustRightInd w:val="0"/>
              <w:snapToGrid w:val="0"/>
              <w:spacing w:line="420" w:lineRule="exact"/>
              <w:ind w:firstLine="0" w:firstLineChars="0"/>
              <w:jc w:val="center"/>
              <w:textAlignment w:val="auto"/>
              <w:rPr>
                <w:rFonts w:hint="eastAsia"/>
                <w:b/>
                <w:bCs/>
                <w:color w:val="auto"/>
                <w:sz w:val="21"/>
                <w:szCs w:val="21"/>
                <w:highlight w:val="none"/>
                <w:lang w:val="en-US" w:eastAsia="zh-CN"/>
              </w:rPr>
            </w:pPr>
            <w:r>
              <w:rPr>
                <w:rFonts w:hint="eastAsia"/>
                <w:b/>
                <w:bCs/>
                <w:color w:val="auto"/>
                <w:sz w:val="21"/>
                <w:szCs w:val="21"/>
                <w:highlight w:val="none"/>
                <w:lang w:eastAsia="zh-CN"/>
              </w:rPr>
              <w:t>表</w:t>
            </w:r>
            <w:r>
              <w:rPr>
                <w:b/>
                <w:bCs/>
                <w:color w:val="auto"/>
                <w:sz w:val="21"/>
                <w:szCs w:val="21"/>
                <w:highlight w:val="none"/>
              </w:rPr>
              <w:fldChar w:fldCharType="begin"/>
            </w:r>
            <w:r>
              <w:rPr>
                <w:b/>
                <w:bCs/>
                <w:color w:val="auto"/>
                <w:sz w:val="21"/>
                <w:szCs w:val="21"/>
                <w:highlight w:val="none"/>
              </w:rPr>
              <w:instrText xml:space="preserve"> STYLEREF 1 \s </w:instrText>
            </w:r>
            <w:r>
              <w:rPr>
                <w:b/>
                <w:bCs/>
                <w:color w:val="auto"/>
                <w:sz w:val="21"/>
                <w:szCs w:val="21"/>
                <w:highlight w:val="none"/>
              </w:rPr>
              <w:fldChar w:fldCharType="separate"/>
            </w:r>
            <w:r>
              <w:rPr>
                <w:b/>
                <w:bCs/>
                <w:color w:val="auto"/>
                <w:sz w:val="21"/>
                <w:szCs w:val="21"/>
                <w:highlight w:val="none"/>
              </w:rPr>
              <w:t>1</w:t>
            </w:r>
            <w:r>
              <w:rPr>
                <w:b/>
                <w:bCs/>
                <w:color w:val="auto"/>
                <w:sz w:val="21"/>
                <w:szCs w:val="21"/>
                <w:highlight w:val="none"/>
              </w:rPr>
              <w:fldChar w:fldCharType="end"/>
            </w:r>
            <w:r>
              <w:rPr>
                <w:rFonts w:hint="eastAsia"/>
                <w:b/>
                <w:bCs/>
                <w:color w:val="auto"/>
                <w:sz w:val="21"/>
                <w:szCs w:val="21"/>
                <w:highlight w:val="none"/>
                <w:lang w:eastAsia="zh-CN"/>
              </w:rPr>
              <w:t>-</w:t>
            </w:r>
            <w:r>
              <w:rPr>
                <w:b/>
                <w:bCs/>
                <w:color w:val="auto"/>
                <w:sz w:val="21"/>
                <w:szCs w:val="21"/>
                <w:highlight w:val="none"/>
              </w:rPr>
              <w:fldChar w:fldCharType="begin"/>
            </w:r>
            <w:r>
              <w:rPr>
                <w:b/>
                <w:bCs/>
                <w:color w:val="auto"/>
                <w:sz w:val="21"/>
                <w:szCs w:val="21"/>
                <w:highlight w:val="none"/>
              </w:rPr>
              <w:instrText xml:space="preserve"> SEQ 表 \* ARABIC \s 1 </w:instrText>
            </w:r>
            <w:r>
              <w:rPr>
                <w:b/>
                <w:bCs/>
                <w:color w:val="auto"/>
                <w:sz w:val="21"/>
                <w:szCs w:val="21"/>
                <w:highlight w:val="none"/>
              </w:rPr>
              <w:fldChar w:fldCharType="separate"/>
            </w:r>
            <w:r>
              <w:rPr>
                <w:b/>
                <w:bCs/>
                <w:color w:val="auto"/>
                <w:sz w:val="21"/>
                <w:szCs w:val="21"/>
                <w:highlight w:val="none"/>
              </w:rPr>
              <w:t>5</w:t>
            </w:r>
            <w:r>
              <w:rPr>
                <w:b/>
                <w:bCs/>
                <w:color w:val="auto"/>
                <w:sz w:val="21"/>
                <w:szCs w:val="21"/>
                <w:highlight w:val="none"/>
              </w:rPr>
              <w:fldChar w:fldCharType="end"/>
            </w:r>
            <w:r>
              <w:rPr>
                <w:rFonts w:hint="eastAsia"/>
                <w:b/>
                <w:bCs/>
                <w:color w:val="auto"/>
                <w:sz w:val="21"/>
                <w:szCs w:val="21"/>
                <w:highlight w:val="none"/>
                <w:lang w:val="en-US" w:eastAsia="zh-CN"/>
              </w:rPr>
              <w:t xml:space="preserve"> 管控要求一览表</w:t>
            </w:r>
          </w:p>
          <w:tbl>
            <w:tblPr>
              <w:tblStyle w:val="3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3659"/>
              <w:gridCol w:w="1717"/>
              <w:gridCol w:w="932"/>
            </w:tblGrid>
            <w:tr w14:paraId="3297E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5" w:type="pct"/>
                  <w:gridSpan w:val="2"/>
                  <w:vAlign w:val="center"/>
                </w:tcPr>
                <w:p w14:paraId="01F25FCE">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管控要求</w:t>
                  </w:r>
                </w:p>
              </w:tc>
              <w:tc>
                <w:tcPr>
                  <w:tcW w:w="1221" w:type="pct"/>
                  <w:vAlign w:val="center"/>
                </w:tcPr>
                <w:p w14:paraId="1C07542F">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本项目情况</w:t>
                  </w:r>
                </w:p>
              </w:tc>
              <w:tc>
                <w:tcPr>
                  <w:tcW w:w="662" w:type="pct"/>
                  <w:vAlign w:val="center"/>
                </w:tcPr>
                <w:p w14:paraId="65B99DA8">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符合性分析</w:t>
                  </w:r>
                </w:p>
              </w:tc>
            </w:tr>
            <w:tr w14:paraId="7C5E5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3" w:type="pct"/>
                  <w:shd w:val="clear" w:color="auto" w:fill="auto"/>
                  <w:vAlign w:val="center"/>
                </w:tcPr>
                <w:p w14:paraId="04AA9B84">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sz w:val="21"/>
                      <w:szCs w:val="21"/>
                      <w:highlight w:val="none"/>
                      <w:vertAlign w:val="baseline"/>
                      <w:lang w:val="en-US" w:eastAsia="zh-CN"/>
                    </w:rPr>
                    <w:t>空间布局约束</w:t>
                  </w:r>
                </w:p>
              </w:tc>
              <w:tc>
                <w:tcPr>
                  <w:tcW w:w="2602" w:type="pct"/>
                  <w:vAlign w:val="center"/>
                </w:tcPr>
                <w:p w14:paraId="765ED36B">
                  <w:pPr>
                    <w:pStyle w:val="29"/>
                    <w:keepNext w:val="0"/>
                    <w:keepLines w:val="0"/>
                    <w:pageBreakBefore w:val="0"/>
                    <w:widowControl w:val="0"/>
                    <w:numPr>
                      <w:ilvl w:val="0"/>
                      <w:numId w:val="5"/>
                    </w:numPr>
                    <w:kinsoku/>
                    <w:wordWrap/>
                    <w:overflowPunct/>
                    <w:topLinePunct w:val="0"/>
                    <w:autoSpaceDE/>
                    <w:autoSpaceDN/>
                    <w:bidi w:val="0"/>
                    <w:adjustRightInd/>
                    <w:snapToGrid/>
                    <w:spacing w:line="240" w:lineRule="auto"/>
                    <w:ind w:firstLine="0" w:firstLineChars="0"/>
                    <w:jc w:val="both"/>
                    <w:textAlignment w:val="baseline"/>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执行山西省、长治市的空间布局准入要求，入园企业需符合园区产业定位。</w:t>
                  </w:r>
                </w:p>
                <w:p w14:paraId="3B0EC115">
                  <w:pPr>
                    <w:pStyle w:val="29"/>
                    <w:keepNext w:val="0"/>
                    <w:keepLines w:val="0"/>
                    <w:pageBreakBefore w:val="0"/>
                    <w:widowControl w:val="0"/>
                    <w:numPr>
                      <w:ilvl w:val="0"/>
                      <w:numId w:val="5"/>
                    </w:numPr>
                    <w:kinsoku/>
                    <w:wordWrap/>
                    <w:overflowPunct/>
                    <w:topLinePunct w:val="0"/>
                    <w:autoSpaceDE/>
                    <w:autoSpaceDN/>
                    <w:bidi w:val="0"/>
                    <w:adjustRightInd/>
                    <w:snapToGrid/>
                    <w:spacing w:line="240" w:lineRule="auto"/>
                    <w:ind w:firstLine="0" w:firstLineChars="0"/>
                    <w:jc w:val="both"/>
                    <w:textAlignment w:val="baseline"/>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严格环境准入，限制资源消耗大、污染程度重、风险级别高的项目及企业入区。</w:t>
                  </w:r>
                </w:p>
              </w:tc>
              <w:tc>
                <w:tcPr>
                  <w:tcW w:w="1221" w:type="pct"/>
                  <w:vAlign w:val="center"/>
                </w:tcPr>
                <w:p w14:paraId="498A466F">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本项目执行山西省、长治市的空间布局准入要求</w:t>
                  </w:r>
                </w:p>
              </w:tc>
              <w:tc>
                <w:tcPr>
                  <w:tcW w:w="662" w:type="pct"/>
                  <w:vAlign w:val="center"/>
                </w:tcPr>
                <w:p w14:paraId="788F2EF5">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符合</w:t>
                  </w:r>
                </w:p>
              </w:tc>
            </w:tr>
            <w:tr w14:paraId="6275E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3" w:type="pct"/>
                  <w:shd w:val="clear" w:color="auto" w:fill="auto"/>
                  <w:vAlign w:val="center"/>
                </w:tcPr>
                <w:p w14:paraId="3CF6A211">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sz w:val="21"/>
                      <w:szCs w:val="21"/>
                      <w:highlight w:val="none"/>
                      <w:vertAlign w:val="baseline"/>
                      <w:lang w:val="en-US" w:eastAsia="zh-CN"/>
                    </w:rPr>
                    <w:t>污染物排放管控</w:t>
                  </w:r>
                </w:p>
              </w:tc>
              <w:tc>
                <w:tcPr>
                  <w:tcW w:w="2602" w:type="pct"/>
                  <w:vAlign w:val="center"/>
                </w:tcPr>
                <w:p w14:paraId="7DDFAEC4">
                  <w:pPr>
                    <w:pStyle w:val="29"/>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jc w:val="both"/>
                    <w:textAlignment w:val="baseline"/>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执行山西省、长治市的污染物排放控制要求。</w:t>
                  </w:r>
                </w:p>
                <w:p w14:paraId="0633A256">
                  <w:pPr>
                    <w:pStyle w:val="29"/>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jc w:val="both"/>
                    <w:textAlignment w:val="baseline"/>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开发区内各重点企业应安装废水排放在线监测装置，对企业排放废水随时进行监控。</w:t>
                  </w:r>
                </w:p>
                <w:p w14:paraId="36167112">
                  <w:pPr>
                    <w:pStyle w:val="29"/>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jc w:val="both"/>
                    <w:textAlignment w:val="baseline"/>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园区新建、改扩建需排放污染物项目，需按倍量削减要求进行总量置换。</w:t>
                  </w:r>
                </w:p>
                <w:p w14:paraId="67E391A8">
                  <w:pPr>
                    <w:pStyle w:val="29"/>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jc w:val="both"/>
                    <w:textAlignment w:val="baseline"/>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根据《山西省推进运输结构调整实施方案》的要求，完善园区的铁路运输建设，减少大宗物料的公路运输量，以减少对园区物料运输产生的污染对区域环境的影响。</w:t>
                  </w:r>
                </w:p>
                <w:p w14:paraId="18B4C42F">
                  <w:pPr>
                    <w:pStyle w:val="29"/>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jc w:val="both"/>
                    <w:textAlignment w:val="baseline"/>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鼓励有条件的地区、企业探索实施减污降碳协同治理和碳捕集、封存、综合利用工程试点、示范。</w:t>
                  </w:r>
                </w:p>
              </w:tc>
              <w:tc>
                <w:tcPr>
                  <w:tcW w:w="1221" w:type="pct"/>
                  <w:vAlign w:val="center"/>
                </w:tcPr>
                <w:p w14:paraId="3E1033D0">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w:t>
                  </w:r>
                </w:p>
              </w:tc>
              <w:tc>
                <w:tcPr>
                  <w:tcW w:w="662" w:type="pct"/>
                  <w:vAlign w:val="center"/>
                </w:tcPr>
                <w:p w14:paraId="36A7AE10">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不涉及</w:t>
                  </w:r>
                </w:p>
              </w:tc>
            </w:tr>
            <w:tr w14:paraId="0AF4D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3" w:type="pct"/>
                  <w:shd w:val="clear" w:color="auto" w:fill="auto"/>
                  <w:vAlign w:val="center"/>
                </w:tcPr>
                <w:p w14:paraId="7300E9B4">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sz w:val="21"/>
                      <w:szCs w:val="21"/>
                      <w:highlight w:val="none"/>
                      <w:vertAlign w:val="baseline"/>
                      <w:lang w:val="en-US" w:eastAsia="zh-CN"/>
                    </w:rPr>
                    <w:t>环境风险防控</w:t>
                  </w:r>
                </w:p>
              </w:tc>
              <w:tc>
                <w:tcPr>
                  <w:tcW w:w="2602" w:type="pct"/>
                  <w:vAlign w:val="center"/>
                </w:tcPr>
                <w:p w14:paraId="6EF4F839">
                  <w:pPr>
                    <w:pStyle w:val="29"/>
                    <w:keepNext w:val="0"/>
                    <w:keepLines w:val="0"/>
                    <w:pageBreakBefore w:val="0"/>
                    <w:widowControl w:val="0"/>
                    <w:numPr>
                      <w:ilvl w:val="0"/>
                      <w:numId w:val="7"/>
                    </w:numPr>
                    <w:kinsoku/>
                    <w:wordWrap/>
                    <w:overflowPunct/>
                    <w:topLinePunct w:val="0"/>
                    <w:autoSpaceDE/>
                    <w:autoSpaceDN/>
                    <w:bidi w:val="0"/>
                    <w:adjustRightInd/>
                    <w:snapToGrid/>
                    <w:spacing w:line="240" w:lineRule="auto"/>
                    <w:ind w:firstLine="0" w:firstLineChars="0"/>
                    <w:jc w:val="both"/>
                    <w:textAlignment w:val="baseline"/>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对产生危废企业的单位，要求建成具有防水、防渗、防流失的专用危险废物贮存设施贮存危险废物。贮存设施基础必须防渗、有足够地面承载能力，并能确保雨水不会流至贮存设施内，贮存设施应封闭。</w:t>
                  </w:r>
                </w:p>
                <w:p w14:paraId="14EEAD7B">
                  <w:pPr>
                    <w:pStyle w:val="29"/>
                    <w:keepNext w:val="0"/>
                    <w:keepLines w:val="0"/>
                    <w:pageBreakBefore w:val="0"/>
                    <w:widowControl w:val="0"/>
                    <w:numPr>
                      <w:ilvl w:val="0"/>
                      <w:numId w:val="7"/>
                    </w:numPr>
                    <w:kinsoku/>
                    <w:wordWrap/>
                    <w:overflowPunct/>
                    <w:topLinePunct w:val="0"/>
                    <w:autoSpaceDE/>
                    <w:autoSpaceDN/>
                    <w:bidi w:val="0"/>
                    <w:adjustRightInd/>
                    <w:snapToGrid/>
                    <w:spacing w:line="240" w:lineRule="auto"/>
                    <w:ind w:firstLine="0" w:firstLineChars="0"/>
                    <w:jc w:val="both"/>
                    <w:textAlignment w:val="baseline"/>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废水处理站废水处理构筑物采取严格防渗措施后，阻止废水下渗。</w:t>
                  </w:r>
                </w:p>
                <w:p w14:paraId="2085A9C8">
                  <w:pPr>
                    <w:pStyle w:val="29"/>
                    <w:keepNext w:val="0"/>
                    <w:keepLines w:val="0"/>
                    <w:pageBreakBefore w:val="0"/>
                    <w:widowControl w:val="0"/>
                    <w:numPr>
                      <w:ilvl w:val="0"/>
                      <w:numId w:val="7"/>
                    </w:numPr>
                    <w:kinsoku/>
                    <w:wordWrap/>
                    <w:overflowPunct/>
                    <w:topLinePunct w:val="0"/>
                    <w:autoSpaceDE/>
                    <w:autoSpaceDN/>
                    <w:bidi w:val="0"/>
                    <w:adjustRightInd/>
                    <w:snapToGrid/>
                    <w:spacing w:line="240" w:lineRule="auto"/>
                    <w:ind w:firstLine="0" w:firstLineChars="0"/>
                    <w:jc w:val="both"/>
                    <w:textAlignment w:val="baseline"/>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限制废水中还有有毒有害的企业入区。</w:t>
                  </w:r>
                </w:p>
                <w:p w14:paraId="35CB7BDF">
                  <w:pPr>
                    <w:pStyle w:val="29"/>
                    <w:keepNext w:val="0"/>
                    <w:keepLines w:val="0"/>
                    <w:pageBreakBefore w:val="0"/>
                    <w:widowControl w:val="0"/>
                    <w:numPr>
                      <w:ilvl w:val="0"/>
                      <w:numId w:val="7"/>
                    </w:numPr>
                    <w:kinsoku/>
                    <w:wordWrap/>
                    <w:overflowPunct/>
                    <w:topLinePunct w:val="0"/>
                    <w:autoSpaceDE/>
                    <w:autoSpaceDN/>
                    <w:bidi w:val="0"/>
                    <w:adjustRightInd/>
                    <w:snapToGrid/>
                    <w:spacing w:line="240" w:lineRule="auto"/>
                    <w:ind w:firstLine="0" w:firstLineChars="0"/>
                    <w:jc w:val="both"/>
                    <w:textAlignment w:val="baseline"/>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各涉水企业确保污水处理设施稳定运行，设置缓冲应急池及配套管网布设，确保事故状态下超标废水不外排。</w:t>
                  </w:r>
                </w:p>
                <w:p w14:paraId="2E4388D7">
                  <w:pPr>
                    <w:pStyle w:val="29"/>
                    <w:keepNext w:val="0"/>
                    <w:keepLines w:val="0"/>
                    <w:pageBreakBefore w:val="0"/>
                    <w:widowControl w:val="0"/>
                    <w:numPr>
                      <w:ilvl w:val="0"/>
                      <w:numId w:val="7"/>
                    </w:numPr>
                    <w:kinsoku/>
                    <w:wordWrap/>
                    <w:overflowPunct/>
                    <w:topLinePunct w:val="0"/>
                    <w:autoSpaceDE/>
                    <w:autoSpaceDN/>
                    <w:bidi w:val="0"/>
                    <w:adjustRightInd/>
                    <w:snapToGrid/>
                    <w:spacing w:line="240" w:lineRule="auto"/>
                    <w:ind w:firstLine="0" w:firstLineChars="0"/>
                    <w:jc w:val="both"/>
                    <w:textAlignment w:val="baseline"/>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应严格控制具有重大环境风险源的工业生产项目进入，必须制定完善的环境风险防控措施；涉及危险化学品的企业，首先要进入化工及新材料组团中的化工板块，并且远离居民区布置，同时设计做好防渗、围堰及事故池等，防治危化品泄露造成环境污染。</w:t>
                  </w:r>
                </w:p>
                <w:p w14:paraId="05455AB3">
                  <w:pPr>
                    <w:pStyle w:val="29"/>
                    <w:keepNext w:val="0"/>
                    <w:keepLines w:val="0"/>
                    <w:pageBreakBefore w:val="0"/>
                    <w:widowControl w:val="0"/>
                    <w:numPr>
                      <w:ilvl w:val="0"/>
                      <w:numId w:val="7"/>
                    </w:numPr>
                    <w:kinsoku/>
                    <w:wordWrap/>
                    <w:overflowPunct/>
                    <w:topLinePunct w:val="0"/>
                    <w:autoSpaceDE/>
                    <w:autoSpaceDN/>
                    <w:bidi w:val="0"/>
                    <w:adjustRightInd/>
                    <w:snapToGrid/>
                    <w:spacing w:line="240" w:lineRule="auto"/>
                    <w:ind w:firstLine="0" w:firstLineChars="0"/>
                    <w:jc w:val="both"/>
                    <w:textAlignment w:val="baseline"/>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企业环境应急预案要求、园区环境应急预案和风险防范措施要求、建设用地土壤污染风险防控、区域应急联动。</w:t>
                  </w:r>
                </w:p>
                <w:p w14:paraId="4F495746">
                  <w:pPr>
                    <w:pStyle w:val="29"/>
                    <w:keepNext w:val="0"/>
                    <w:keepLines w:val="0"/>
                    <w:pageBreakBefore w:val="0"/>
                    <w:widowControl w:val="0"/>
                    <w:numPr>
                      <w:ilvl w:val="0"/>
                      <w:numId w:val="7"/>
                    </w:numPr>
                    <w:kinsoku/>
                    <w:wordWrap/>
                    <w:overflowPunct/>
                    <w:topLinePunct w:val="0"/>
                    <w:autoSpaceDE/>
                    <w:autoSpaceDN/>
                    <w:bidi w:val="0"/>
                    <w:adjustRightInd/>
                    <w:snapToGrid/>
                    <w:spacing w:line="240" w:lineRule="auto"/>
                    <w:ind w:firstLine="0" w:firstLineChars="0"/>
                    <w:jc w:val="both"/>
                    <w:textAlignment w:val="baseline"/>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土壤环境质量执行《土壤环境质量建设用地土壤污染风险管控标准（试行）》。</w:t>
                  </w:r>
                </w:p>
              </w:tc>
              <w:tc>
                <w:tcPr>
                  <w:tcW w:w="1221" w:type="pct"/>
                  <w:vAlign w:val="center"/>
                </w:tcPr>
                <w:p w14:paraId="2ADEF02F">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本项目危险废物经收集后暂存于危废贮存点内，经收集后定期委托有资质单位处置，危废贮存点按照《危险废物贮存污染控制标准》（GB18597-2023）进行建设；本项目排水采用雨、污分流制。各建筑单体污水均重力汇流排至室外污水管网，经化粪池处理达标后排放至常平大街市政污水管网。校区内雨水排入常平大街市政雨水管网。</w:t>
                  </w:r>
                </w:p>
                <w:p w14:paraId="71806150">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本项目建成后编制应急预案。</w:t>
                  </w:r>
                </w:p>
              </w:tc>
              <w:tc>
                <w:tcPr>
                  <w:tcW w:w="662" w:type="pct"/>
                  <w:vAlign w:val="center"/>
                </w:tcPr>
                <w:p w14:paraId="143695E9">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符合</w:t>
                  </w:r>
                </w:p>
              </w:tc>
            </w:tr>
            <w:tr w14:paraId="753BA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3" w:type="pct"/>
                  <w:shd w:val="clear" w:color="auto" w:fill="auto"/>
                  <w:vAlign w:val="center"/>
                </w:tcPr>
                <w:p w14:paraId="21A4E5DC">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sz w:val="21"/>
                      <w:szCs w:val="21"/>
                      <w:highlight w:val="none"/>
                      <w:vertAlign w:val="baseline"/>
                      <w:lang w:val="en-US" w:eastAsia="zh-CN"/>
                    </w:rPr>
                    <w:t>资源开发效率要求</w:t>
                  </w:r>
                </w:p>
              </w:tc>
              <w:tc>
                <w:tcPr>
                  <w:tcW w:w="2602" w:type="pct"/>
                  <w:vAlign w:val="center"/>
                </w:tcPr>
                <w:p w14:paraId="7378BFCB">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baseline"/>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提高工业用水效率，推进产业园区用水系统集成优化，实现串联用水、分质用水、一水多用、梯级利用和再生利用。</w:t>
                  </w:r>
                </w:p>
              </w:tc>
              <w:tc>
                <w:tcPr>
                  <w:tcW w:w="1221" w:type="pct"/>
                  <w:vAlign w:val="center"/>
                </w:tcPr>
                <w:p w14:paraId="450E0EBB">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w:t>
                  </w:r>
                </w:p>
              </w:tc>
              <w:tc>
                <w:tcPr>
                  <w:tcW w:w="662" w:type="pct"/>
                  <w:vAlign w:val="center"/>
                </w:tcPr>
                <w:p w14:paraId="20D5C6AE">
                  <w:pPr>
                    <w:pStyle w:val="2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不涉及</w:t>
                  </w:r>
                </w:p>
              </w:tc>
            </w:tr>
          </w:tbl>
          <w:p w14:paraId="61A406FA">
            <w:pPr>
              <w:keepNext w:val="0"/>
              <w:keepLines w:val="0"/>
              <w:pageBreakBefore w:val="0"/>
              <w:widowControl/>
              <w:numPr>
                <w:ilvl w:val="1"/>
                <w:numId w:val="4"/>
              </w:numPr>
              <w:suppressLineNumbers w:val="0"/>
              <w:kinsoku/>
              <w:wordWrap/>
              <w:overflowPunct/>
              <w:topLinePunct w:val="0"/>
              <w:autoSpaceDE/>
              <w:autoSpaceDN/>
              <w:bidi w:val="0"/>
              <w:adjustRightInd/>
              <w:snapToGrid/>
              <w:ind w:left="0" w:leftChars="0" w:firstLine="482" w:firstLineChars="200"/>
              <w:jc w:val="left"/>
              <w:textAlignment w:val="auto"/>
              <w:rPr>
                <w:rFonts w:hint="eastAsia" w:cs="Times New Roman"/>
                <w:color w:val="auto"/>
                <w:kern w:val="0"/>
                <w:sz w:val="24"/>
                <w:szCs w:val="24"/>
                <w:highlight w:val="none"/>
                <w:lang w:val="en-US" w:eastAsia="zh-CN" w:bidi="ar"/>
              </w:rPr>
            </w:pPr>
            <w:r>
              <w:rPr>
                <w:rFonts w:hint="eastAsia" w:cs="Times New Roman"/>
                <w:b/>
                <w:bCs/>
                <w:color w:val="auto"/>
                <w:kern w:val="0"/>
                <w:sz w:val="24"/>
                <w:szCs w:val="24"/>
                <w:highlight w:val="none"/>
                <w:lang w:val="en-US" w:eastAsia="zh-CN" w:bidi="ar"/>
              </w:rPr>
              <w:t>选址符合性分析</w:t>
            </w:r>
          </w:p>
          <w:p w14:paraId="5ADA20DB">
            <w:pPr>
              <w:keepNext w:val="0"/>
              <w:keepLines w:val="0"/>
              <w:widowControl/>
              <w:suppressLineNumbers w:val="0"/>
              <w:jc w:val="left"/>
              <w:rPr>
                <w:rFonts w:hint="eastAsia" w:cs="Times New Roman"/>
                <w:color w:val="auto"/>
                <w:kern w:val="0"/>
                <w:sz w:val="24"/>
                <w:szCs w:val="24"/>
                <w:highlight w:val="none"/>
                <w:lang w:val="en-US" w:eastAsia="zh-CN" w:bidi="ar"/>
              </w:rPr>
            </w:pPr>
            <w:r>
              <w:rPr>
                <w:rFonts w:hint="eastAsia" w:cs="Times New Roman"/>
                <w:color w:val="auto"/>
                <w:kern w:val="0"/>
                <w:sz w:val="24"/>
                <w:szCs w:val="24"/>
                <w:highlight w:val="none"/>
                <w:lang w:val="en-US" w:eastAsia="zh-CN" w:bidi="ar"/>
              </w:rPr>
              <w:t>根据壶关县人民政府会议纪要相关要求，同意在集店镇常平村常平大街南侧（原规划住宅用地）新建本项目学校，并规划将住宅用地调整为教育用地，用地性质与本项目建设需求高度契合，符合区域用地规划及项目建设实际要求。</w:t>
            </w:r>
          </w:p>
          <w:p w14:paraId="2BE585D5">
            <w:pPr>
              <w:keepNext w:val="0"/>
              <w:keepLines w:val="0"/>
              <w:widowControl/>
              <w:suppressLineNumbers w:val="0"/>
              <w:jc w:val="left"/>
              <w:rPr>
                <w:rFonts w:hint="eastAsia" w:cs="Times New Roman"/>
                <w:color w:val="auto"/>
                <w:kern w:val="0"/>
                <w:sz w:val="24"/>
                <w:szCs w:val="24"/>
                <w:highlight w:val="none"/>
                <w:lang w:val="en-US" w:eastAsia="zh-CN" w:bidi="ar"/>
              </w:rPr>
            </w:pPr>
            <w:r>
              <w:rPr>
                <w:rFonts w:hint="eastAsia" w:cs="Times New Roman"/>
                <w:color w:val="auto"/>
                <w:kern w:val="0"/>
                <w:sz w:val="24"/>
                <w:szCs w:val="24"/>
                <w:highlight w:val="none"/>
                <w:lang w:val="en-US" w:eastAsia="zh-CN" w:bidi="ar"/>
              </w:rPr>
              <w:t>本项目用地历史上为常平集团三铁有限公司铁厂用地，该铁厂已于2008年停产，场地内原有建构筑物已完成拆除并进行场地硬化处理，目前仅留存1座办公楼，该办公楼将在本次项目建设过程中予以拆除。为保障项目建设及后续使用安全，目前本项目正开展土壤污染状况调查工作，待调查结果满足《土壤环境质量 建设用地土壤污染风险管控标准（试行）》（GB36600-2018）中第二类用地筛选值要求后，方可启动项目开工建设工作。</w:t>
            </w:r>
          </w:p>
          <w:p w14:paraId="5065C4A0">
            <w:pPr>
              <w:keepNext w:val="0"/>
              <w:keepLines w:val="0"/>
              <w:widowControl/>
              <w:suppressLineNumbers w:val="0"/>
              <w:jc w:val="left"/>
              <w:rPr>
                <w:rFonts w:hint="eastAsia" w:cs="Times New Roman"/>
                <w:color w:val="auto"/>
                <w:kern w:val="0"/>
                <w:sz w:val="24"/>
                <w:szCs w:val="24"/>
                <w:highlight w:val="none"/>
                <w:lang w:val="en-US" w:eastAsia="zh-CN" w:bidi="ar"/>
              </w:rPr>
            </w:pPr>
            <w:r>
              <w:rPr>
                <w:rFonts w:hint="eastAsia" w:cs="Times New Roman"/>
                <w:color w:val="auto"/>
                <w:kern w:val="0"/>
                <w:sz w:val="24"/>
                <w:szCs w:val="24"/>
                <w:highlight w:val="none"/>
                <w:lang w:val="en-US" w:eastAsia="zh-CN" w:bidi="ar"/>
              </w:rPr>
              <w:t>本项目北侧紧邻花壶线，交通便捷，可满足项目建设及运营期间的交通需求；西侧为壶关县第一中学高中部新建项目，该项目与本项目同步推进建设，区域教育配套协同性良好；南侧距离石子河约70m，经核查，项目选址不在石子河管理线50m管控范围内，不会对河道管理及生态环境造成影响；东侧为空地，无敏感建筑物及生态敏感区域。</w:t>
            </w:r>
          </w:p>
          <w:p w14:paraId="03C13664">
            <w:pPr>
              <w:keepNext w:val="0"/>
              <w:keepLines w:val="0"/>
              <w:widowControl/>
              <w:suppressLineNumbers w:val="0"/>
              <w:jc w:val="left"/>
              <w:rPr>
                <w:rFonts w:hint="eastAsia" w:cs="Times New Roman"/>
                <w:color w:val="auto"/>
                <w:kern w:val="0"/>
                <w:sz w:val="24"/>
                <w:szCs w:val="24"/>
                <w:highlight w:val="none"/>
                <w:lang w:val="en-US" w:eastAsia="zh-CN" w:bidi="ar"/>
              </w:rPr>
            </w:pPr>
            <w:r>
              <w:rPr>
                <w:rFonts w:hint="eastAsia" w:cs="Times New Roman"/>
                <w:color w:val="auto"/>
                <w:kern w:val="0"/>
                <w:sz w:val="24"/>
                <w:szCs w:val="24"/>
                <w:highlight w:val="none"/>
                <w:lang w:val="en-US" w:eastAsia="zh-CN" w:bidi="ar"/>
              </w:rPr>
              <w:t>本项目选址未涉及壶关县太行山水源涵养生态保护红线，距离该生态保护红线约6km，符合区域生态保护相关要求；同时，项目位于城镇开发边界范围内，符合城镇发展规划布局。本项目距离最近的水源地为集店镇集中供水水源地，其中距离该水源地一级保护区约3.4km，项目选址不在该水源地各级保护区范围内。</w:t>
            </w:r>
          </w:p>
          <w:p w14:paraId="6E39138C">
            <w:pPr>
              <w:keepNext w:val="0"/>
              <w:keepLines w:val="0"/>
              <w:widowControl/>
              <w:suppressLineNumbers w:val="0"/>
              <w:jc w:val="left"/>
              <w:rPr>
                <w:rFonts w:hint="default" w:cs="Times New Roman"/>
                <w:color w:val="auto"/>
                <w:kern w:val="0"/>
                <w:sz w:val="24"/>
                <w:szCs w:val="24"/>
                <w:highlight w:val="none"/>
                <w:lang w:val="en-US" w:eastAsia="zh-CN" w:bidi="ar"/>
              </w:rPr>
            </w:pPr>
            <w:r>
              <w:rPr>
                <w:rFonts w:hint="eastAsia" w:cs="Times New Roman"/>
                <w:color w:val="auto"/>
                <w:kern w:val="0"/>
                <w:sz w:val="24"/>
                <w:szCs w:val="24"/>
                <w:highlight w:val="none"/>
                <w:lang w:val="en-US" w:eastAsia="zh-CN" w:bidi="ar"/>
              </w:rPr>
              <w:t>综合以上分析，本项目选址可行。</w:t>
            </w:r>
          </w:p>
          <w:p w14:paraId="58A6D26F">
            <w:pPr>
              <w:rPr>
                <w:rFonts w:hint="default" w:cs="Times New Roman"/>
                <w:color w:val="auto"/>
                <w:kern w:val="0"/>
                <w:sz w:val="24"/>
                <w:szCs w:val="24"/>
                <w:highlight w:val="none"/>
                <w:lang w:val="en-US" w:eastAsia="zh-CN" w:bidi="ar"/>
              </w:rPr>
            </w:pPr>
          </w:p>
          <w:p w14:paraId="38AAAD87">
            <w:pPr>
              <w:rPr>
                <w:rFonts w:hint="default" w:cs="Times New Roman"/>
                <w:color w:val="auto"/>
                <w:kern w:val="0"/>
                <w:sz w:val="24"/>
                <w:szCs w:val="24"/>
                <w:highlight w:val="none"/>
                <w:lang w:val="en-US" w:eastAsia="zh-CN" w:bidi="ar"/>
              </w:rPr>
            </w:pPr>
          </w:p>
          <w:p w14:paraId="7F59452B">
            <w:pPr>
              <w:rPr>
                <w:rFonts w:hint="default" w:cs="Times New Roman"/>
                <w:color w:val="auto"/>
                <w:kern w:val="0"/>
                <w:sz w:val="24"/>
                <w:szCs w:val="24"/>
                <w:highlight w:val="none"/>
                <w:lang w:val="en-US" w:eastAsia="zh-CN" w:bidi="ar"/>
              </w:rPr>
            </w:pPr>
          </w:p>
          <w:p w14:paraId="2C6DA124">
            <w:pPr>
              <w:rPr>
                <w:rFonts w:hint="default" w:cs="Times New Roman"/>
                <w:color w:val="auto"/>
                <w:kern w:val="0"/>
                <w:sz w:val="24"/>
                <w:szCs w:val="24"/>
                <w:highlight w:val="none"/>
                <w:lang w:val="en-US" w:eastAsia="zh-CN" w:bidi="ar"/>
              </w:rPr>
            </w:pPr>
          </w:p>
          <w:p w14:paraId="3A9AE0D8">
            <w:pPr>
              <w:rPr>
                <w:rFonts w:hint="default"/>
                <w:color w:val="auto"/>
                <w:highlight w:val="none"/>
                <w:lang w:val="en-US" w:eastAsia="zh-CN"/>
              </w:rPr>
            </w:pPr>
          </w:p>
          <w:p w14:paraId="1D952138">
            <w:pPr>
              <w:rPr>
                <w:rFonts w:hint="default" w:cs="Times New Roman"/>
                <w:color w:val="auto"/>
                <w:kern w:val="0"/>
                <w:sz w:val="24"/>
                <w:szCs w:val="24"/>
                <w:highlight w:val="none"/>
                <w:lang w:val="en-US" w:eastAsia="zh-CN" w:bidi="ar"/>
              </w:rPr>
            </w:pPr>
          </w:p>
          <w:p w14:paraId="2689476D">
            <w:pPr>
              <w:rPr>
                <w:rFonts w:hint="default" w:cs="Times New Roman"/>
                <w:color w:val="auto"/>
                <w:kern w:val="0"/>
                <w:sz w:val="24"/>
                <w:szCs w:val="24"/>
                <w:highlight w:val="none"/>
                <w:lang w:val="en-US" w:eastAsia="zh-CN" w:bidi="ar"/>
              </w:rPr>
            </w:pPr>
          </w:p>
          <w:p w14:paraId="6B1BD48E">
            <w:pPr>
              <w:rPr>
                <w:rFonts w:hint="default" w:cs="Times New Roman"/>
                <w:color w:val="auto"/>
                <w:kern w:val="0"/>
                <w:sz w:val="24"/>
                <w:szCs w:val="24"/>
                <w:highlight w:val="none"/>
                <w:lang w:val="en-US" w:eastAsia="zh-CN" w:bidi="ar"/>
              </w:rPr>
            </w:pPr>
          </w:p>
          <w:p w14:paraId="5354BE9D">
            <w:pPr>
              <w:rPr>
                <w:rFonts w:hint="default" w:cs="Times New Roman"/>
                <w:color w:val="auto"/>
                <w:kern w:val="0"/>
                <w:sz w:val="24"/>
                <w:szCs w:val="24"/>
                <w:highlight w:val="none"/>
                <w:lang w:val="en-US" w:eastAsia="zh-CN" w:bidi="ar"/>
              </w:rPr>
            </w:pPr>
          </w:p>
          <w:p w14:paraId="21802662">
            <w:pPr>
              <w:rPr>
                <w:rFonts w:hint="default"/>
                <w:color w:val="auto"/>
                <w:highlight w:val="none"/>
                <w:lang w:val="en-US" w:eastAsia="zh-CN"/>
              </w:rPr>
            </w:pPr>
          </w:p>
          <w:p w14:paraId="3D43E006">
            <w:pPr>
              <w:pStyle w:val="3"/>
              <w:numPr>
                <w:ilvl w:val="1"/>
                <w:numId w:val="0"/>
              </w:numPr>
              <w:ind w:left="38" w:leftChars="0"/>
              <w:rPr>
                <w:rFonts w:hint="default"/>
                <w:color w:val="auto"/>
                <w:highlight w:val="none"/>
                <w:lang w:val="en-US" w:eastAsia="zh-CN"/>
              </w:rPr>
            </w:pPr>
          </w:p>
        </w:tc>
      </w:tr>
    </w:tbl>
    <w:p w14:paraId="66AADE7F">
      <w:pPr>
        <w:pStyle w:val="43"/>
        <w:bidi w:val="0"/>
        <w:rPr>
          <w:rFonts w:hint="eastAsia"/>
          <w:color w:val="auto"/>
          <w:highlight w:val="none"/>
          <w:lang w:eastAsia="zh-CN"/>
        </w:rPr>
        <w:sectPr>
          <w:footerReference r:id="rId7" w:type="default"/>
          <w:pgSz w:w="11906" w:h="16838"/>
          <w:pgMar w:top="1701" w:right="1417" w:bottom="1701" w:left="1417" w:header="851" w:footer="992" w:gutter="0"/>
          <w:pgBorders>
            <w:top w:val="none" w:sz="0" w:space="0"/>
            <w:left w:val="none" w:sz="0" w:space="0"/>
            <w:bottom w:val="none" w:sz="0" w:space="0"/>
            <w:right w:val="none" w:sz="0" w:space="0"/>
          </w:pgBorders>
          <w:pgNumType w:fmt="decimal" w:start="1"/>
          <w:cols w:space="0" w:num="1"/>
          <w:rtlGutter w:val="0"/>
          <w:docGrid w:type="lines" w:linePitch="327" w:charSpace="0"/>
        </w:sectPr>
      </w:pPr>
    </w:p>
    <w:p w14:paraId="19E72B63">
      <w:pPr>
        <w:pStyle w:val="2"/>
        <w:bidi w:val="0"/>
        <w:rPr>
          <w:rFonts w:hint="eastAsia"/>
          <w:color w:val="auto"/>
          <w:highlight w:val="none"/>
          <w:lang w:eastAsia="zh-CN"/>
        </w:rPr>
      </w:pPr>
      <w:bookmarkStart w:id="4" w:name="_Toc1207"/>
      <w:bookmarkStart w:id="5" w:name="_Toc10738"/>
      <w:r>
        <w:rPr>
          <w:rFonts w:hint="eastAsia"/>
          <w:color w:val="auto"/>
          <w:highlight w:val="none"/>
          <w:lang w:eastAsia="zh-CN"/>
        </w:rPr>
        <w:t>建设项目工程分析</w:t>
      </w:r>
      <w:bookmarkEnd w:id="4"/>
      <w:bookmarkEnd w:id="5"/>
    </w:p>
    <w:tbl>
      <w:tblPr>
        <w:tblStyle w:val="34"/>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662"/>
        <w:gridCol w:w="8524"/>
      </w:tblGrid>
      <w:tr w14:paraId="106D8E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066" w:hRule="atLeast"/>
          <w:jc w:val="center"/>
        </w:trPr>
        <w:tc>
          <w:tcPr>
            <w:tcW w:w="662" w:type="dxa"/>
            <w:vAlign w:val="center"/>
          </w:tcPr>
          <w:p w14:paraId="52DCDDEE">
            <w:pPr>
              <w:pStyle w:val="3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eastAsia="zh-CN"/>
              </w:rPr>
            </w:pPr>
            <w:r>
              <w:rPr>
                <w:rFonts w:hint="eastAsia"/>
                <w:color w:val="auto"/>
                <w:highlight w:val="none"/>
                <w:lang w:eastAsia="zh-CN"/>
              </w:rPr>
              <w:t>建设内容</w:t>
            </w:r>
          </w:p>
        </w:tc>
        <w:tc>
          <w:tcPr>
            <w:tcW w:w="8524" w:type="dxa"/>
            <w:vAlign w:val="center"/>
          </w:tcPr>
          <w:p w14:paraId="0BE2A624">
            <w:pPr>
              <w:pStyle w:val="3"/>
              <w:keepNext w:val="0"/>
              <w:keepLines w:val="0"/>
              <w:pageBreakBefore w:val="0"/>
              <w:widowControl w:val="0"/>
              <w:kinsoku/>
              <w:wordWrap/>
              <w:overflowPunct/>
              <w:topLinePunct w:val="0"/>
              <w:autoSpaceDE/>
              <w:autoSpaceDN/>
              <w:bidi w:val="0"/>
              <w:adjustRightInd/>
              <w:snapToGrid/>
              <w:spacing w:line="336" w:lineRule="auto"/>
              <w:ind w:left="202" w:leftChars="0" w:firstLine="482" w:firstLineChars="0"/>
              <w:textAlignment w:val="auto"/>
              <w:rPr>
                <w:rFonts w:hint="eastAsia"/>
                <w:b/>
                <w:bCs/>
                <w:color w:val="auto"/>
                <w:highlight w:val="none"/>
                <w:lang w:val="en-US" w:eastAsia="zh-CN"/>
              </w:rPr>
            </w:pPr>
            <w:bookmarkStart w:id="6" w:name="_Toc30891"/>
            <w:bookmarkStart w:id="7" w:name="_Toc238"/>
            <w:r>
              <w:rPr>
                <w:rFonts w:hint="eastAsia"/>
                <w:b/>
                <w:bCs/>
                <w:color w:val="auto"/>
                <w:highlight w:val="none"/>
                <w:lang w:val="en-US" w:eastAsia="zh-CN"/>
              </w:rPr>
              <w:t>工程组成</w:t>
            </w:r>
            <w:bookmarkEnd w:id="6"/>
            <w:bookmarkEnd w:id="7"/>
          </w:p>
          <w:p w14:paraId="6D0364CB">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color w:val="auto"/>
                <w:highlight w:val="none"/>
                <w:lang w:val="en-US" w:eastAsia="zh-CN"/>
              </w:rPr>
            </w:pPr>
            <w:r>
              <w:rPr>
                <w:rFonts w:hint="eastAsia"/>
                <w:color w:val="auto"/>
                <w:highlight w:val="none"/>
                <w:lang w:val="en-US" w:eastAsia="zh-CN"/>
              </w:rPr>
              <w:t>壶关县高中学位短缺制约县域发展，为解决该问题，壶关县政府于2026年1月12日、13日先后召开两次政府常务会议，专题部署新建高中工作，明确项目建设要求、实施路径及用地保障，为项目启动提供政策支撑。</w:t>
            </w:r>
          </w:p>
          <w:p w14:paraId="413C92E2">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color w:val="auto"/>
                <w:highlight w:val="none"/>
                <w:lang w:val="en-US" w:eastAsia="zh-CN"/>
              </w:rPr>
            </w:pPr>
            <w:r>
              <w:rPr>
                <w:rFonts w:hint="eastAsia"/>
                <w:color w:val="auto"/>
                <w:highlight w:val="none"/>
                <w:lang w:val="en-US" w:eastAsia="zh-CN"/>
              </w:rPr>
              <w:t>会议明确，高中学位短缺需加快解决，新建高中符合相关政策要求，各部门需抢抓县域普通高中振兴机遇推进项目。会议同意新建10轨制壶关县高级中学和8轨制壶关一中高中部，授权县教育局统一实施、一体推进；要求各相关部门各司其职、协同配合，加快手续办理；壶关经开区管委会负责调整用地性质及规划道路，保障校园完整与疏散通道。第二次会议重点解决用地问题，议定尽快启动项目建设；县自然资源局启动约75亩原规划住宅用地回购，壶关经开区管委会将该地块及46亩批而未供用地调整为教育用地，合计约121亩划拨给县教育局。同时，由县教育局统筹两地块配套及体育设施，实现资源共享。</w:t>
            </w:r>
          </w:p>
          <w:p w14:paraId="5C925A5E">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color w:val="auto"/>
                <w:highlight w:val="none"/>
                <w:lang w:eastAsia="zh-CN"/>
              </w:rPr>
            </w:pPr>
            <w:r>
              <w:rPr>
                <w:rFonts w:hint="eastAsia"/>
                <w:color w:val="auto"/>
                <w:highlight w:val="none"/>
                <w:lang w:val="en-US" w:eastAsia="zh-CN"/>
              </w:rPr>
              <w:t>本</w:t>
            </w:r>
            <w:r>
              <w:rPr>
                <w:rFonts w:hint="eastAsia"/>
                <w:color w:val="auto"/>
                <w:highlight w:val="none"/>
                <w:lang w:eastAsia="zh-CN"/>
              </w:rPr>
              <w:t>项目建设为10轨的寄宿制高中学校，</w:t>
            </w:r>
            <w:r>
              <w:rPr>
                <w:rFonts w:hint="eastAsia"/>
                <w:color w:val="auto"/>
                <w:highlight w:val="none"/>
                <w:lang w:val="en-US" w:eastAsia="zh-CN"/>
              </w:rPr>
              <w:t>建成后在校生规模为1500人，30个教学班，每班50人，教职工人数125人。</w:t>
            </w:r>
            <w:r>
              <w:rPr>
                <w:rFonts w:hint="eastAsia"/>
                <w:color w:val="auto"/>
                <w:highlight w:val="none"/>
                <w:lang w:eastAsia="zh-CN"/>
              </w:rPr>
              <w:t>项目建设用地面积55121.35m</w:t>
            </w:r>
            <w:r>
              <w:rPr>
                <w:rFonts w:hint="eastAsia"/>
                <w:color w:val="auto"/>
                <w:highlight w:val="none"/>
                <w:vertAlign w:val="superscript"/>
                <w:lang w:eastAsia="zh-CN"/>
              </w:rPr>
              <w:t>2</w:t>
            </w:r>
            <w:r>
              <w:rPr>
                <w:rFonts w:hint="eastAsia"/>
                <w:color w:val="auto"/>
                <w:highlight w:val="none"/>
                <w:lang w:eastAsia="zh-CN"/>
              </w:rPr>
              <w:t>，总建筑面积34500.00m</w:t>
            </w:r>
            <w:r>
              <w:rPr>
                <w:rFonts w:hint="eastAsia"/>
                <w:color w:val="auto"/>
                <w:highlight w:val="none"/>
                <w:vertAlign w:val="superscript"/>
                <w:lang w:eastAsia="zh-CN"/>
              </w:rPr>
              <w:t>2</w:t>
            </w:r>
            <w:r>
              <w:rPr>
                <w:rFonts w:hint="eastAsia"/>
                <w:color w:val="auto"/>
                <w:highlight w:val="none"/>
                <w:lang w:eastAsia="zh-CN"/>
              </w:rPr>
              <w:t>。建设内容包括：教学综合楼、教学实验楼、1#学生宿舍楼、2#学生宿舍楼、食堂、看台、公厕、换热站的土建、装修、给排水、暖通、电气、燃气及室外硬化、绿化、管网、围墙、挡土墙、土方平衡等基础设施配套工程。</w:t>
            </w:r>
          </w:p>
          <w:p w14:paraId="1E04DDC1">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color w:val="auto"/>
                <w:highlight w:val="none"/>
                <w:lang w:val="en-US" w:eastAsia="zh-CN"/>
              </w:rPr>
            </w:pPr>
            <w:r>
              <w:rPr>
                <w:rFonts w:hint="eastAsia"/>
                <w:color w:val="auto"/>
                <w:highlight w:val="none"/>
                <w:lang w:val="en-US" w:eastAsia="zh-CN"/>
              </w:rPr>
              <w:t>根据《建设项目环境影响评价分类管理名录》（2021版），本项目属于“五十、社会事业与服务业”类中“110、学校、福利院、养老院（建筑面积5000平方米及以上的）”中的“新建涉及环境敏感区的；有化学、生物实验室的学校”类，应编制环境影响报告表。本项目属于有化学、生物实验室的学校，需编制环境影响报告表。</w:t>
            </w:r>
          </w:p>
          <w:p w14:paraId="439A9600">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color w:val="auto"/>
                <w:highlight w:val="none"/>
                <w:lang w:val="en-US" w:eastAsia="zh-CN"/>
              </w:rPr>
            </w:pPr>
            <w:r>
              <w:rPr>
                <w:rFonts w:hint="eastAsia"/>
                <w:color w:val="auto"/>
                <w:highlight w:val="none"/>
                <w:lang w:val="en-US" w:eastAsia="zh-CN"/>
              </w:rPr>
              <w:t>基于本项目与壶关县第一中学高中部建设项目基于两个项目一体规划、一体推进、一体实施、一体投用的组织实施关系及节约用地考虑，本项目换热站、体育设施、消防水池与壶关县第一中学高中部建设项目共用，实现资源共享。</w:t>
            </w:r>
          </w:p>
          <w:p w14:paraId="308098CD">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480" w:firstLineChars="200"/>
              <w:textAlignment w:val="auto"/>
              <w:outlineLvl w:val="9"/>
              <w:rPr>
                <w:rFonts w:hint="default"/>
                <w:color w:val="auto"/>
                <w:highlight w:val="none"/>
                <w:lang w:val="en-US" w:eastAsia="zh-CN"/>
              </w:rPr>
            </w:pPr>
            <w:r>
              <w:rPr>
                <w:rFonts w:hint="eastAsia"/>
                <w:color w:val="auto"/>
                <w:highlight w:val="none"/>
                <w:lang w:val="en-US" w:eastAsia="zh-CN"/>
              </w:rPr>
              <w:t>本项目拟在场地东北侧建设一座占地面积300m²的换热站，项目仅负责土建部分，工艺设备及安装由市政供热部门统一实施；园区供热主管网已接入本项目区域，项目规划室外二次管网采用双管闭式、枝状布置、直埋敷设，可与换热站直接连接，供热系统布局合理、接口条件成熟，可满足两所学校供热需求，供热配套可行。</w:t>
            </w:r>
          </w:p>
          <w:p w14:paraId="7542799D">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480" w:firstLineChars="200"/>
              <w:textAlignment w:val="auto"/>
              <w:outlineLvl w:val="9"/>
              <w:rPr>
                <w:rFonts w:hint="default"/>
                <w:color w:val="auto"/>
                <w:highlight w:val="none"/>
                <w:lang w:val="en-US" w:eastAsia="zh-CN"/>
              </w:rPr>
            </w:pPr>
            <w:r>
              <w:rPr>
                <w:rFonts w:hint="eastAsia"/>
                <w:color w:val="auto"/>
                <w:highlight w:val="none"/>
                <w:lang w:val="en-US" w:eastAsia="zh-CN"/>
              </w:rPr>
              <w:t>本项目按标准设置400m环形跑道、100m直跑道及配套安全通道，场内设置标准足球场，并在南侧布置球类活动场地，场地规模、功能分区与安全设计均符合规范要求，设施配置齐全、服务能力充足，可满足两所学校使用，体育设施可行。</w:t>
            </w:r>
          </w:p>
          <w:p w14:paraId="7928BB12">
            <w:pPr>
              <w:pStyle w:val="12"/>
              <w:bidi w:val="0"/>
              <w:rPr>
                <w:rFonts w:hint="eastAsia"/>
                <w:color w:val="auto"/>
                <w:highlight w:val="none"/>
                <w:lang w:eastAsia="zh-CN"/>
              </w:rPr>
            </w:pPr>
            <w:r>
              <w:rPr>
                <w:rFonts w:hint="eastAsia"/>
                <w:color w:val="auto"/>
                <w:highlight w:val="none"/>
                <w:lang w:eastAsia="zh-CN"/>
              </w:rPr>
              <w:t>表</w:t>
            </w:r>
            <w:r>
              <w:rPr>
                <w:color w:val="auto"/>
                <w:highlight w:val="none"/>
              </w:rPr>
              <w:fldChar w:fldCharType="begin"/>
            </w:r>
            <w:r>
              <w:rPr>
                <w:color w:val="auto"/>
                <w:highlight w:val="none"/>
              </w:rPr>
              <w:instrText xml:space="preserve"> STYLEREF 1 \s </w:instrText>
            </w:r>
            <w:r>
              <w:rPr>
                <w:color w:val="auto"/>
                <w:highlight w:val="none"/>
              </w:rPr>
              <w:fldChar w:fldCharType="separate"/>
            </w:r>
            <w:r>
              <w:rPr>
                <w:color w:val="auto"/>
                <w:highlight w:val="none"/>
              </w:rPr>
              <w:t>2</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表 \* ARABIC \s 1 </w:instrText>
            </w:r>
            <w:r>
              <w:rPr>
                <w:color w:val="auto"/>
                <w:highlight w:val="none"/>
              </w:rPr>
              <w:fldChar w:fldCharType="separate"/>
            </w:r>
            <w:r>
              <w:rPr>
                <w:color w:val="auto"/>
                <w:highlight w:val="none"/>
              </w:rPr>
              <w:t>1</w:t>
            </w:r>
            <w:r>
              <w:rPr>
                <w:color w:val="auto"/>
                <w:highlight w:val="none"/>
              </w:rPr>
              <w:fldChar w:fldCharType="end"/>
            </w:r>
            <w:r>
              <w:rPr>
                <w:rFonts w:hint="eastAsia"/>
                <w:color w:val="auto"/>
                <w:highlight w:val="none"/>
                <w:lang w:eastAsia="zh-CN"/>
              </w:rPr>
              <w:t>项目组成及工程内容一览表</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27"/>
              <w:gridCol w:w="426"/>
              <w:gridCol w:w="697"/>
              <w:gridCol w:w="1191"/>
              <w:gridCol w:w="4954"/>
              <w:gridCol w:w="702"/>
            </w:tblGrid>
            <w:tr w14:paraId="23FCA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54" w:type="pct"/>
                  <w:shd w:val="clear" w:color="auto" w:fill="auto"/>
                  <w:vAlign w:val="center"/>
                </w:tcPr>
                <w:p w14:paraId="399667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类别</w:t>
                  </w:r>
                </w:p>
              </w:tc>
              <w:tc>
                <w:tcPr>
                  <w:tcW w:w="1377" w:type="pct"/>
                  <w:gridSpan w:val="3"/>
                  <w:shd w:val="clear" w:color="auto" w:fill="auto"/>
                  <w:vAlign w:val="center"/>
                </w:tcPr>
                <w:p w14:paraId="66A5F9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lang w:val="en-US"/>
                    </w:rPr>
                  </w:pPr>
                  <w:r>
                    <w:rPr>
                      <w:rStyle w:val="48"/>
                      <w:rFonts w:hint="default" w:ascii="Times New Roman" w:hAnsi="Times New Roman" w:cs="Times New Roman"/>
                      <w:b/>
                      <w:bCs/>
                      <w:color w:val="auto"/>
                      <w:sz w:val="21"/>
                      <w:szCs w:val="21"/>
                      <w:highlight w:val="none"/>
                      <w:lang w:val="en-US" w:eastAsia="zh-CN" w:bidi="ar"/>
                    </w:rPr>
                    <w:t>项目组成</w:t>
                  </w:r>
                </w:p>
              </w:tc>
              <w:tc>
                <w:tcPr>
                  <w:tcW w:w="2949" w:type="pct"/>
                  <w:shd w:val="clear" w:color="auto" w:fill="auto"/>
                  <w:vAlign w:val="center"/>
                </w:tcPr>
                <w:p w14:paraId="096BC15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bCs/>
                      <w:color w:val="auto"/>
                      <w:sz w:val="21"/>
                      <w:szCs w:val="21"/>
                      <w:highlight w:val="none"/>
                      <w:lang w:val="en-US" w:eastAsia="zh-CN" w:bidi="ar"/>
                    </w:rPr>
                  </w:pPr>
                  <w:r>
                    <w:rPr>
                      <w:rStyle w:val="48"/>
                      <w:rFonts w:hint="default" w:ascii="Times New Roman" w:hAnsi="Times New Roman" w:cs="Times New Roman"/>
                      <w:b/>
                      <w:bCs/>
                      <w:color w:val="auto"/>
                      <w:sz w:val="21"/>
                      <w:szCs w:val="21"/>
                      <w:highlight w:val="none"/>
                      <w:lang w:val="en-US" w:eastAsia="zh-CN" w:bidi="ar"/>
                    </w:rPr>
                    <w:t>建设内容</w:t>
                  </w:r>
                </w:p>
              </w:tc>
              <w:tc>
                <w:tcPr>
                  <w:tcW w:w="418" w:type="pct"/>
                  <w:shd w:val="clear" w:color="auto" w:fill="auto"/>
                  <w:vAlign w:val="center"/>
                </w:tcPr>
                <w:p w14:paraId="56CB91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b/>
                      <w:bCs/>
                      <w:i w:val="0"/>
                      <w:iCs w:val="0"/>
                      <w:color w:val="auto"/>
                      <w:sz w:val="21"/>
                      <w:szCs w:val="21"/>
                      <w:highlight w:val="none"/>
                      <w:u w:val="none"/>
                      <w:lang w:val="en-US" w:eastAsia="zh-CN"/>
                    </w:rPr>
                  </w:pPr>
                  <w:r>
                    <w:rPr>
                      <w:rFonts w:hint="eastAsia" w:cs="Times New Roman"/>
                      <w:b/>
                      <w:bCs/>
                      <w:i w:val="0"/>
                      <w:iCs w:val="0"/>
                      <w:color w:val="auto"/>
                      <w:sz w:val="21"/>
                      <w:szCs w:val="21"/>
                      <w:highlight w:val="none"/>
                      <w:u w:val="none"/>
                      <w:lang w:val="en-US" w:eastAsia="zh-CN"/>
                    </w:rPr>
                    <w:t>备注</w:t>
                  </w:r>
                </w:p>
              </w:tc>
            </w:tr>
            <w:tr w14:paraId="56FA2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54" w:type="pct"/>
                  <w:vMerge w:val="restart"/>
                  <w:shd w:val="clear" w:color="auto" w:fill="auto"/>
                  <w:vAlign w:val="center"/>
                </w:tcPr>
                <w:p w14:paraId="58B606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sz w:val="21"/>
                      <w:szCs w:val="21"/>
                      <w:highlight w:val="none"/>
                      <w:u w:val="none"/>
                    </w:rPr>
                  </w:pPr>
                  <w:r>
                    <w:rPr>
                      <w:rStyle w:val="48"/>
                      <w:rFonts w:hint="default" w:ascii="Times New Roman" w:hAnsi="Times New Roman" w:cs="Times New Roman"/>
                      <w:b w:val="0"/>
                      <w:bCs w:val="0"/>
                      <w:color w:val="auto"/>
                      <w:sz w:val="21"/>
                      <w:szCs w:val="21"/>
                      <w:highlight w:val="none"/>
                      <w:lang w:val="en-US" w:eastAsia="zh-CN" w:bidi="ar"/>
                    </w:rPr>
                    <w:t>主体工程</w:t>
                  </w:r>
                </w:p>
              </w:tc>
              <w:tc>
                <w:tcPr>
                  <w:tcW w:w="1377" w:type="pct"/>
                  <w:gridSpan w:val="3"/>
                  <w:shd w:val="clear" w:color="auto" w:fill="auto"/>
                  <w:vAlign w:val="center"/>
                </w:tcPr>
                <w:p w14:paraId="4BF9C72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sz w:val="21"/>
                      <w:szCs w:val="21"/>
                      <w:highlight w:val="none"/>
                      <w:u w:val="none"/>
                    </w:rPr>
                  </w:pPr>
                  <w:r>
                    <w:rPr>
                      <w:rStyle w:val="48"/>
                      <w:rFonts w:hint="eastAsia" w:cs="Times New Roman"/>
                      <w:b w:val="0"/>
                      <w:bCs w:val="0"/>
                      <w:color w:val="auto"/>
                      <w:sz w:val="21"/>
                      <w:szCs w:val="21"/>
                      <w:highlight w:val="none"/>
                      <w:lang w:val="en-US" w:eastAsia="zh-CN" w:bidi="ar"/>
                    </w:rPr>
                    <w:t>教学综合楼</w:t>
                  </w:r>
                </w:p>
              </w:tc>
              <w:tc>
                <w:tcPr>
                  <w:tcW w:w="2949" w:type="pct"/>
                  <w:shd w:val="clear" w:color="auto" w:fill="auto"/>
                  <w:vAlign w:val="center"/>
                </w:tcPr>
                <w:p w14:paraId="480753E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eastAsia" w:cs="Times New Roman"/>
                      <w:b w:val="0"/>
                      <w:bCs w:val="0"/>
                      <w:i w:val="0"/>
                      <w:iCs w:val="0"/>
                      <w:color w:val="auto"/>
                      <w:kern w:val="0"/>
                      <w:sz w:val="21"/>
                      <w:szCs w:val="21"/>
                      <w:highlight w:val="none"/>
                      <w:u w:val="none"/>
                      <w:lang w:val="en-US" w:eastAsia="zh-CN" w:bidi="ar"/>
                    </w:rPr>
                    <w:t>建筑面积1670m</w:t>
                  </w:r>
                  <w:r>
                    <w:rPr>
                      <w:rFonts w:hint="eastAsia" w:cs="Times New Roman"/>
                      <w:b w:val="0"/>
                      <w:bCs w:val="0"/>
                      <w:i w:val="0"/>
                      <w:iCs w:val="0"/>
                      <w:color w:val="auto"/>
                      <w:kern w:val="0"/>
                      <w:sz w:val="21"/>
                      <w:szCs w:val="21"/>
                      <w:highlight w:val="none"/>
                      <w:u w:val="none"/>
                      <w:vertAlign w:val="superscript"/>
                      <w:lang w:val="en-US" w:eastAsia="zh-CN" w:bidi="ar"/>
                    </w:rPr>
                    <w:t>2</w:t>
                  </w:r>
                  <w:r>
                    <w:rPr>
                      <w:rFonts w:hint="eastAsia" w:cs="Times New Roman"/>
                      <w:b w:val="0"/>
                      <w:bCs w:val="0"/>
                      <w:i w:val="0"/>
                      <w:iCs w:val="0"/>
                      <w:color w:val="auto"/>
                      <w:kern w:val="0"/>
                      <w:sz w:val="21"/>
                      <w:szCs w:val="21"/>
                      <w:highlight w:val="none"/>
                      <w:u w:val="none"/>
                      <w:lang w:val="en-US" w:eastAsia="zh-CN" w:bidi="ar"/>
                    </w:rPr>
                    <w:t>，地上1层，建筑高度8.4m，层高7m。主要功能：</w:t>
                  </w:r>
                  <w:r>
                    <w:rPr>
                      <w:rFonts w:hint="default" w:ascii="Times New Roman" w:hAnsi="Times New Roman" w:eastAsia="宋体" w:cs="Times New Roman"/>
                      <w:b w:val="0"/>
                      <w:bCs w:val="0"/>
                      <w:i w:val="0"/>
                      <w:iCs w:val="0"/>
                      <w:color w:val="auto"/>
                      <w:kern w:val="0"/>
                      <w:sz w:val="21"/>
                      <w:szCs w:val="21"/>
                      <w:highlight w:val="none"/>
                      <w:u w:val="none"/>
                      <w:lang w:val="en-US" w:eastAsia="zh-CN" w:bidi="ar"/>
                    </w:rPr>
                    <w:t>合班教室，同时可实现篮球比赛等体育活动的功能转换</w:t>
                  </w:r>
                  <w:r>
                    <w:rPr>
                      <w:rFonts w:hint="eastAsia" w:cs="Times New Roman"/>
                      <w:b w:val="0"/>
                      <w:bCs w:val="0"/>
                      <w:i w:val="0"/>
                      <w:iCs w:val="0"/>
                      <w:color w:val="auto"/>
                      <w:kern w:val="0"/>
                      <w:sz w:val="21"/>
                      <w:szCs w:val="21"/>
                      <w:highlight w:val="none"/>
                      <w:u w:val="none"/>
                      <w:lang w:val="en-US" w:eastAsia="zh-CN" w:bidi="ar"/>
                    </w:rPr>
                    <w:t>。</w:t>
                  </w:r>
                </w:p>
              </w:tc>
              <w:tc>
                <w:tcPr>
                  <w:tcW w:w="418" w:type="pct"/>
                  <w:shd w:val="clear" w:color="auto" w:fill="auto"/>
                  <w:vAlign w:val="center"/>
                </w:tcPr>
                <w:p w14:paraId="543487D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sz w:val="21"/>
                      <w:szCs w:val="21"/>
                      <w:highlight w:val="none"/>
                      <w:u w:val="none"/>
                    </w:rPr>
                  </w:pPr>
                  <w:r>
                    <w:rPr>
                      <w:rStyle w:val="48"/>
                      <w:rFonts w:hint="eastAsia" w:cs="Times New Roman"/>
                      <w:b w:val="0"/>
                      <w:bCs w:val="0"/>
                      <w:color w:val="auto"/>
                      <w:sz w:val="21"/>
                      <w:szCs w:val="21"/>
                      <w:highlight w:val="none"/>
                      <w:lang w:val="en-US" w:eastAsia="zh-CN" w:bidi="ar"/>
                    </w:rPr>
                    <w:t>新建</w:t>
                  </w:r>
                </w:p>
              </w:tc>
            </w:tr>
            <w:tr w14:paraId="0B600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54" w:type="pct"/>
                  <w:vMerge w:val="continue"/>
                  <w:shd w:val="clear" w:color="auto" w:fill="auto"/>
                  <w:vAlign w:val="center"/>
                </w:tcPr>
                <w:p w14:paraId="16BBA3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i w:val="0"/>
                      <w:iCs w:val="0"/>
                      <w:color w:val="auto"/>
                      <w:sz w:val="21"/>
                      <w:szCs w:val="21"/>
                      <w:highlight w:val="none"/>
                      <w:u w:val="none"/>
                    </w:rPr>
                  </w:pPr>
                </w:p>
              </w:tc>
              <w:tc>
                <w:tcPr>
                  <w:tcW w:w="1377" w:type="pct"/>
                  <w:gridSpan w:val="3"/>
                  <w:shd w:val="clear" w:color="auto" w:fill="auto"/>
                  <w:vAlign w:val="center"/>
                </w:tcPr>
                <w:p w14:paraId="6E677E5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sz w:val="21"/>
                      <w:szCs w:val="21"/>
                      <w:highlight w:val="none"/>
                      <w:u w:val="none"/>
                      <w:lang w:val="en-US" w:eastAsia="zh-CN"/>
                    </w:rPr>
                  </w:pPr>
                  <w:r>
                    <w:rPr>
                      <w:rFonts w:hint="eastAsia" w:cs="Times New Roman"/>
                      <w:b w:val="0"/>
                      <w:bCs w:val="0"/>
                      <w:i w:val="0"/>
                      <w:iCs w:val="0"/>
                      <w:color w:val="auto"/>
                      <w:sz w:val="21"/>
                      <w:szCs w:val="21"/>
                      <w:highlight w:val="none"/>
                      <w:u w:val="none"/>
                      <w:lang w:val="en-US" w:eastAsia="zh-CN"/>
                    </w:rPr>
                    <w:t>教学实验楼</w:t>
                  </w:r>
                </w:p>
              </w:tc>
              <w:tc>
                <w:tcPr>
                  <w:tcW w:w="2949" w:type="pct"/>
                  <w:shd w:val="clear" w:color="auto" w:fill="auto"/>
                  <w:vAlign w:val="center"/>
                </w:tcPr>
                <w:p w14:paraId="5667D84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eastAsia" w:cs="Times New Roman"/>
                      <w:b w:val="0"/>
                      <w:bCs w:val="0"/>
                      <w:i w:val="0"/>
                      <w:iCs w:val="0"/>
                      <w:color w:val="auto"/>
                      <w:kern w:val="0"/>
                      <w:sz w:val="21"/>
                      <w:szCs w:val="21"/>
                      <w:highlight w:val="none"/>
                      <w:u w:val="none"/>
                      <w:lang w:val="en-US" w:eastAsia="zh-CN" w:bidi="ar"/>
                    </w:rPr>
                    <w:t>建筑面积12130m</w:t>
                  </w:r>
                  <w:r>
                    <w:rPr>
                      <w:rFonts w:hint="eastAsia" w:cs="Times New Roman"/>
                      <w:b w:val="0"/>
                      <w:bCs w:val="0"/>
                      <w:i w:val="0"/>
                      <w:iCs w:val="0"/>
                      <w:color w:val="auto"/>
                      <w:kern w:val="0"/>
                      <w:sz w:val="21"/>
                      <w:szCs w:val="21"/>
                      <w:highlight w:val="none"/>
                      <w:u w:val="none"/>
                      <w:vertAlign w:val="superscript"/>
                      <w:lang w:val="en-US" w:eastAsia="zh-CN" w:bidi="ar"/>
                    </w:rPr>
                    <w:t>2</w:t>
                  </w:r>
                  <w:r>
                    <w:rPr>
                      <w:rFonts w:hint="eastAsia" w:cs="Times New Roman"/>
                      <w:b w:val="0"/>
                      <w:bCs w:val="0"/>
                      <w:i w:val="0"/>
                      <w:iCs w:val="0"/>
                      <w:color w:val="auto"/>
                      <w:kern w:val="0"/>
                      <w:sz w:val="21"/>
                      <w:szCs w:val="21"/>
                      <w:highlight w:val="none"/>
                      <w:u w:val="none"/>
                      <w:lang w:val="en-US" w:eastAsia="zh-CN" w:bidi="ar"/>
                    </w:rPr>
                    <w:t>，地上5层，建筑高度22m，一至五层层高均3.9m。主要功能：一层设物理、化学实验室、普通教室、教研室等；二层设生物、物理实验室、普通教室、教研室等；三层设美术（书法）教室、普通教室、教研室等；四层设普通教室、教研室等；五层设计算机（语音）教室、合班教室、普通教室、教研室等</w:t>
                  </w:r>
                </w:p>
              </w:tc>
              <w:tc>
                <w:tcPr>
                  <w:tcW w:w="418" w:type="pct"/>
                  <w:shd w:val="clear" w:color="auto" w:fill="auto"/>
                  <w:vAlign w:val="center"/>
                </w:tcPr>
                <w:p w14:paraId="46D5477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sz w:val="21"/>
                      <w:szCs w:val="21"/>
                      <w:highlight w:val="none"/>
                      <w:u w:val="none"/>
                    </w:rPr>
                  </w:pPr>
                  <w:r>
                    <w:rPr>
                      <w:rStyle w:val="48"/>
                      <w:rFonts w:hint="eastAsia" w:cs="Times New Roman"/>
                      <w:b w:val="0"/>
                      <w:bCs w:val="0"/>
                      <w:color w:val="auto"/>
                      <w:sz w:val="21"/>
                      <w:szCs w:val="21"/>
                      <w:highlight w:val="none"/>
                      <w:lang w:val="en-US" w:eastAsia="zh-CN" w:bidi="ar"/>
                    </w:rPr>
                    <w:t>新建</w:t>
                  </w:r>
                </w:p>
              </w:tc>
            </w:tr>
            <w:tr w14:paraId="2E2D9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254" w:type="pct"/>
                  <w:vMerge w:val="continue"/>
                  <w:shd w:val="clear" w:color="auto" w:fill="auto"/>
                  <w:vAlign w:val="center"/>
                </w:tcPr>
                <w:p w14:paraId="0DAA2B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b w:val="0"/>
                      <w:bCs w:val="0"/>
                      <w:i w:val="0"/>
                      <w:iCs w:val="0"/>
                      <w:color w:val="auto"/>
                      <w:sz w:val="21"/>
                      <w:szCs w:val="21"/>
                      <w:highlight w:val="none"/>
                      <w:u w:val="none"/>
                    </w:rPr>
                  </w:pPr>
                </w:p>
              </w:tc>
              <w:tc>
                <w:tcPr>
                  <w:tcW w:w="1377" w:type="pct"/>
                  <w:gridSpan w:val="3"/>
                  <w:shd w:val="clear" w:color="auto" w:fill="auto"/>
                  <w:vAlign w:val="center"/>
                </w:tcPr>
                <w:p w14:paraId="0CEFC1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i w:val="0"/>
                      <w:iCs w:val="0"/>
                      <w:color w:val="auto"/>
                      <w:sz w:val="21"/>
                      <w:szCs w:val="21"/>
                      <w:highlight w:val="none"/>
                      <w:u w:val="none"/>
                      <w:lang w:val="en-US" w:eastAsia="zh-CN"/>
                    </w:rPr>
                  </w:pPr>
                  <w:r>
                    <w:rPr>
                      <w:rFonts w:hint="default" w:ascii="Times New Roman" w:hAnsi="Times New Roman" w:eastAsia="宋体" w:cs="Times New Roman"/>
                      <w:b w:val="0"/>
                      <w:bCs w:val="0"/>
                      <w:i w:val="0"/>
                      <w:iCs w:val="0"/>
                      <w:color w:val="auto"/>
                      <w:sz w:val="21"/>
                      <w:szCs w:val="21"/>
                      <w:highlight w:val="none"/>
                      <w:u w:val="none"/>
                      <w:lang w:val="en-US" w:eastAsia="zh-CN"/>
                    </w:rPr>
                    <w:t>1#学生宿舍楼</w:t>
                  </w:r>
                </w:p>
              </w:tc>
              <w:tc>
                <w:tcPr>
                  <w:tcW w:w="2949" w:type="pct"/>
                  <w:shd w:val="clear" w:color="auto" w:fill="auto"/>
                  <w:vAlign w:val="center"/>
                </w:tcPr>
                <w:p w14:paraId="08B9FD2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top"/>
                    <w:rPr>
                      <w:rStyle w:val="49"/>
                      <w:rFonts w:hint="default" w:ascii="Times New Roman" w:hAnsi="Times New Roman" w:cs="Times New Roman"/>
                      <w:b w:val="0"/>
                      <w:bCs w:val="0"/>
                      <w:color w:val="auto"/>
                      <w:sz w:val="21"/>
                      <w:szCs w:val="21"/>
                      <w:highlight w:val="none"/>
                      <w:lang w:val="en-US" w:eastAsia="zh-CN" w:bidi="ar"/>
                    </w:rPr>
                  </w:pPr>
                  <w:r>
                    <w:rPr>
                      <w:rFonts w:hint="eastAsia" w:cs="Times New Roman"/>
                      <w:b w:val="0"/>
                      <w:bCs w:val="0"/>
                      <w:i w:val="0"/>
                      <w:iCs w:val="0"/>
                      <w:color w:val="auto"/>
                      <w:kern w:val="0"/>
                      <w:sz w:val="21"/>
                      <w:szCs w:val="21"/>
                      <w:highlight w:val="none"/>
                      <w:u w:val="none"/>
                      <w:lang w:val="en-US" w:eastAsia="zh-CN" w:bidi="ar"/>
                    </w:rPr>
                    <w:t>建筑面积12300m</w:t>
                  </w:r>
                  <w:r>
                    <w:rPr>
                      <w:rFonts w:hint="eastAsia" w:cs="Times New Roman"/>
                      <w:b w:val="0"/>
                      <w:bCs w:val="0"/>
                      <w:i w:val="0"/>
                      <w:iCs w:val="0"/>
                      <w:color w:val="auto"/>
                      <w:kern w:val="0"/>
                      <w:sz w:val="21"/>
                      <w:szCs w:val="21"/>
                      <w:highlight w:val="none"/>
                      <w:u w:val="none"/>
                      <w:vertAlign w:val="superscript"/>
                      <w:lang w:val="en-US" w:eastAsia="zh-CN" w:bidi="ar"/>
                    </w:rPr>
                    <w:t>2</w:t>
                  </w:r>
                  <w:r>
                    <w:rPr>
                      <w:rFonts w:hint="eastAsia" w:cs="Times New Roman"/>
                      <w:b w:val="0"/>
                      <w:bCs w:val="0"/>
                      <w:i w:val="0"/>
                      <w:iCs w:val="0"/>
                      <w:color w:val="auto"/>
                      <w:kern w:val="0"/>
                      <w:sz w:val="21"/>
                      <w:szCs w:val="21"/>
                      <w:highlight w:val="none"/>
                      <w:u w:val="none"/>
                      <w:lang w:val="en-US" w:eastAsia="zh-CN" w:bidi="ar"/>
                    </w:rPr>
                    <w:t>，地上6层，建筑高度25.5m，一至六层层高均3.9m。主要功能：学生宿舍。</w:t>
                  </w:r>
                </w:p>
              </w:tc>
              <w:tc>
                <w:tcPr>
                  <w:tcW w:w="418" w:type="pct"/>
                  <w:shd w:val="clear" w:color="auto" w:fill="auto"/>
                  <w:vAlign w:val="center"/>
                </w:tcPr>
                <w:p w14:paraId="7D96CB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27886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254" w:type="pct"/>
                  <w:vMerge w:val="continue"/>
                  <w:shd w:val="clear" w:color="auto" w:fill="auto"/>
                  <w:vAlign w:val="center"/>
                </w:tcPr>
                <w:p w14:paraId="1C3C0DB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top"/>
                    <w:rPr>
                      <w:rFonts w:hint="default" w:ascii="Times New Roman" w:hAnsi="Times New Roman" w:cs="Times New Roman"/>
                      <w:color w:val="auto"/>
                      <w:sz w:val="21"/>
                      <w:szCs w:val="21"/>
                      <w:highlight w:val="none"/>
                    </w:rPr>
                  </w:pPr>
                </w:p>
              </w:tc>
              <w:tc>
                <w:tcPr>
                  <w:tcW w:w="1377" w:type="pct"/>
                  <w:gridSpan w:val="3"/>
                  <w:shd w:val="clear" w:color="auto" w:fill="auto"/>
                  <w:vAlign w:val="center"/>
                </w:tcPr>
                <w:p w14:paraId="4DB17A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top"/>
                    <w:rPr>
                      <w:rFonts w:hint="default" w:ascii="Times New Roman" w:hAnsi="Times New Roman" w:cs="Times New Roman"/>
                      <w:color w:val="auto"/>
                      <w:sz w:val="21"/>
                      <w:szCs w:val="21"/>
                      <w:highlight w:val="none"/>
                    </w:rPr>
                  </w:pPr>
                  <w:r>
                    <w:rPr>
                      <w:rFonts w:hint="eastAsia" w:cs="Times New Roman"/>
                      <w:b w:val="0"/>
                      <w:bCs w:val="0"/>
                      <w:i w:val="0"/>
                      <w:iCs w:val="0"/>
                      <w:color w:val="auto"/>
                      <w:sz w:val="21"/>
                      <w:szCs w:val="21"/>
                      <w:highlight w:val="none"/>
                      <w:u w:val="none"/>
                      <w:lang w:val="en-US" w:eastAsia="zh-CN"/>
                    </w:rPr>
                    <w:t>2</w:t>
                  </w:r>
                  <w:r>
                    <w:rPr>
                      <w:rFonts w:hint="default" w:ascii="Times New Roman" w:hAnsi="Times New Roman" w:eastAsia="宋体" w:cs="Times New Roman"/>
                      <w:b w:val="0"/>
                      <w:bCs w:val="0"/>
                      <w:i w:val="0"/>
                      <w:iCs w:val="0"/>
                      <w:color w:val="auto"/>
                      <w:sz w:val="21"/>
                      <w:szCs w:val="21"/>
                      <w:highlight w:val="none"/>
                      <w:u w:val="none"/>
                      <w:lang w:val="en-US" w:eastAsia="zh-CN"/>
                    </w:rPr>
                    <w:t>#学生宿舍楼</w:t>
                  </w:r>
                </w:p>
              </w:tc>
              <w:tc>
                <w:tcPr>
                  <w:tcW w:w="2949" w:type="pct"/>
                  <w:shd w:val="clear" w:color="auto" w:fill="auto"/>
                  <w:vAlign w:val="center"/>
                </w:tcPr>
                <w:p w14:paraId="1405952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top"/>
                    <w:rPr>
                      <w:rStyle w:val="49"/>
                      <w:rFonts w:hint="default" w:ascii="Times New Roman" w:hAnsi="Times New Roman" w:cs="Times New Roman"/>
                      <w:b w:val="0"/>
                      <w:bCs w:val="0"/>
                      <w:color w:val="auto"/>
                      <w:sz w:val="21"/>
                      <w:szCs w:val="21"/>
                      <w:highlight w:val="none"/>
                      <w:lang w:val="en-US" w:eastAsia="zh-CN" w:bidi="ar"/>
                    </w:rPr>
                  </w:pPr>
                  <w:r>
                    <w:rPr>
                      <w:rFonts w:hint="eastAsia" w:cs="Times New Roman"/>
                      <w:b w:val="0"/>
                      <w:bCs w:val="0"/>
                      <w:i w:val="0"/>
                      <w:iCs w:val="0"/>
                      <w:color w:val="auto"/>
                      <w:kern w:val="0"/>
                      <w:sz w:val="21"/>
                      <w:szCs w:val="21"/>
                      <w:highlight w:val="none"/>
                      <w:u w:val="none"/>
                      <w:lang w:val="en-US" w:eastAsia="zh-CN" w:bidi="ar"/>
                    </w:rPr>
                    <w:t>建筑面积5400m</w:t>
                  </w:r>
                  <w:r>
                    <w:rPr>
                      <w:rFonts w:hint="eastAsia" w:cs="Times New Roman"/>
                      <w:b w:val="0"/>
                      <w:bCs w:val="0"/>
                      <w:i w:val="0"/>
                      <w:iCs w:val="0"/>
                      <w:color w:val="auto"/>
                      <w:kern w:val="0"/>
                      <w:sz w:val="21"/>
                      <w:szCs w:val="21"/>
                      <w:highlight w:val="none"/>
                      <w:u w:val="none"/>
                      <w:vertAlign w:val="superscript"/>
                      <w:lang w:val="en-US" w:eastAsia="zh-CN" w:bidi="ar"/>
                    </w:rPr>
                    <w:t>2</w:t>
                  </w:r>
                  <w:r>
                    <w:rPr>
                      <w:rFonts w:hint="eastAsia" w:cs="Times New Roman"/>
                      <w:b w:val="0"/>
                      <w:bCs w:val="0"/>
                      <w:i w:val="0"/>
                      <w:iCs w:val="0"/>
                      <w:color w:val="auto"/>
                      <w:kern w:val="0"/>
                      <w:sz w:val="21"/>
                      <w:szCs w:val="21"/>
                      <w:highlight w:val="none"/>
                      <w:u w:val="none"/>
                      <w:lang w:val="en-US" w:eastAsia="zh-CN" w:bidi="ar"/>
                    </w:rPr>
                    <w:t>，地上6层，建筑高度25.5m，一至六层层高均3.9m。主要功能：学生宿舍。</w:t>
                  </w:r>
                </w:p>
              </w:tc>
              <w:tc>
                <w:tcPr>
                  <w:tcW w:w="418" w:type="pct"/>
                  <w:shd w:val="clear" w:color="auto" w:fill="auto"/>
                  <w:vAlign w:val="center"/>
                </w:tcPr>
                <w:p w14:paraId="2173668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top"/>
                    <w:rPr>
                      <w:rStyle w:val="49"/>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60707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4" w:type="pct"/>
                  <w:vMerge w:val="restart"/>
                  <w:shd w:val="clear" w:color="auto" w:fill="auto"/>
                  <w:vAlign w:val="center"/>
                </w:tcPr>
                <w:p w14:paraId="3648F3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b w:val="0"/>
                      <w:bCs w:val="0"/>
                      <w:i w:val="0"/>
                      <w:iCs w:val="0"/>
                      <w:color w:val="auto"/>
                      <w:sz w:val="21"/>
                      <w:szCs w:val="21"/>
                      <w:highlight w:val="none"/>
                      <w:u w:val="none"/>
                    </w:rPr>
                  </w:pPr>
                  <w:r>
                    <w:rPr>
                      <w:rStyle w:val="49"/>
                      <w:rFonts w:hint="default" w:ascii="Times New Roman" w:hAnsi="Times New Roman" w:cs="Times New Roman"/>
                      <w:b w:val="0"/>
                      <w:bCs w:val="0"/>
                      <w:color w:val="auto"/>
                      <w:sz w:val="21"/>
                      <w:szCs w:val="21"/>
                      <w:highlight w:val="none"/>
                      <w:lang w:val="en-US" w:eastAsia="zh-CN" w:bidi="ar"/>
                    </w:rPr>
                    <w:t>辅助工程</w:t>
                  </w:r>
                </w:p>
              </w:tc>
              <w:tc>
                <w:tcPr>
                  <w:tcW w:w="1377" w:type="pct"/>
                  <w:gridSpan w:val="3"/>
                  <w:shd w:val="clear" w:color="auto" w:fill="auto"/>
                  <w:vAlign w:val="center"/>
                </w:tcPr>
                <w:p w14:paraId="7CDC623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top"/>
                    <w:rPr>
                      <w:rFonts w:hint="default" w:ascii="Times New Roman" w:hAnsi="Times New Roman" w:cs="Times New Roman"/>
                      <w:b w:val="0"/>
                      <w:bCs w:val="0"/>
                      <w:i w:val="0"/>
                      <w:iCs w:val="0"/>
                      <w:color w:val="auto"/>
                      <w:sz w:val="21"/>
                      <w:szCs w:val="21"/>
                      <w:highlight w:val="none"/>
                      <w:u w:val="none"/>
                    </w:rPr>
                  </w:pPr>
                  <w:r>
                    <w:rPr>
                      <w:rStyle w:val="49"/>
                      <w:rFonts w:hint="default" w:ascii="Times New Roman" w:hAnsi="Times New Roman" w:cs="Times New Roman"/>
                      <w:b w:val="0"/>
                      <w:bCs w:val="0"/>
                      <w:color w:val="auto"/>
                      <w:sz w:val="21"/>
                      <w:szCs w:val="21"/>
                      <w:highlight w:val="none"/>
                      <w:lang w:val="en-US" w:eastAsia="zh-CN" w:bidi="ar"/>
                    </w:rPr>
                    <w:t>地上停车场</w:t>
                  </w:r>
                </w:p>
              </w:tc>
              <w:tc>
                <w:tcPr>
                  <w:tcW w:w="2949" w:type="pct"/>
                  <w:shd w:val="clear" w:color="auto" w:fill="auto"/>
                  <w:vAlign w:val="center"/>
                </w:tcPr>
                <w:p w14:paraId="39C0C31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采用植草砖生态停车场，地上停车</w:t>
                  </w:r>
                  <w:r>
                    <w:rPr>
                      <w:rStyle w:val="49"/>
                      <w:rFonts w:hint="eastAsia" w:ascii="Times New Roman" w:hAnsi="Times New Roman" w:cs="Times New Roman"/>
                      <w:b w:val="0"/>
                      <w:bCs w:val="0"/>
                      <w:color w:val="auto"/>
                      <w:sz w:val="21"/>
                      <w:szCs w:val="21"/>
                      <w:highlight w:val="none"/>
                      <w:lang w:val="en-US" w:eastAsia="zh-CN" w:bidi="ar"/>
                    </w:rPr>
                    <w:t>位3</w:t>
                  </w:r>
                  <w:r>
                    <w:rPr>
                      <w:rStyle w:val="49"/>
                      <w:rFonts w:hint="default" w:ascii="Times New Roman" w:hAnsi="Times New Roman" w:cs="Times New Roman"/>
                      <w:b w:val="0"/>
                      <w:bCs w:val="0"/>
                      <w:color w:val="auto"/>
                      <w:sz w:val="21"/>
                      <w:szCs w:val="21"/>
                      <w:highlight w:val="none"/>
                      <w:lang w:val="en-US" w:eastAsia="zh-CN" w:bidi="ar"/>
                    </w:rPr>
                    <w:t>0个。</w:t>
                  </w:r>
                </w:p>
              </w:tc>
              <w:tc>
                <w:tcPr>
                  <w:tcW w:w="418" w:type="pct"/>
                  <w:shd w:val="clear" w:color="auto" w:fill="auto"/>
                  <w:vAlign w:val="center"/>
                </w:tcPr>
                <w:p w14:paraId="159FF44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b w:val="0"/>
                      <w:bCs w:val="0"/>
                      <w:i w:val="0"/>
                      <w:iCs w:val="0"/>
                      <w:color w:val="auto"/>
                      <w:sz w:val="21"/>
                      <w:szCs w:val="21"/>
                      <w:highlight w:val="none"/>
                      <w:u w:val="none"/>
                      <w:lang w:val="en-US"/>
                    </w:rPr>
                  </w:pPr>
                  <w:r>
                    <w:rPr>
                      <w:rStyle w:val="48"/>
                      <w:rFonts w:hint="default" w:ascii="Times New Roman" w:hAnsi="Times New Roman" w:cs="Times New Roman"/>
                      <w:b w:val="0"/>
                      <w:bCs w:val="0"/>
                      <w:color w:val="auto"/>
                      <w:sz w:val="21"/>
                      <w:szCs w:val="21"/>
                      <w:highlight w:val="none"/>
                      <w:lang w:val="en-US" w:eastAsia="zh-CN" w:bidi="ar"/>
                    </w:rPr>
                    <w:t>新建</w:t>
                  </w:r>
                </w:p>
              </w:tc>
            </w:tr>
            <w:tr w14:paraId="6BF4B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4" w:type="pct"/>
                  <w:vMerge w:val="continue"/>
                  <w:shd w:val="clear" w:color="auto" w:fill="auto"/>
                  <w:vAlign w:val="center"/>
                </w:tcPr>
                <w:p w14:paraId="78CAC0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b w:val="0"/>
                      <w:bCs w:val="0"/>
                      <w:i w:val="0"/>
                      <w:iCs w:val="0"/>
                      <w:color w:val="auto"/>
                      <w:sz w:val="21"/>
                      <w:szCs w:val="21"/>
                      <w:highlight w:val="none"/>
                      <w:u w:val="none"/>
                    </w:rPr>
                  </w:pPr>
                </w:p>
              </w:tc>
              <w:tc>
                <w:tcPr>
                  <w:tcW w:w="1377" w:type="pct"/>
                  <w:gridSpan w:val="3"/>
                  <w:shd w:val="clear" w:color="auto" w:fill="auto"/>
                  <w:vAlign w:val="center"/>
                </w:tcPr>
                <w:p w14:paraId="256535C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top"/>
                    <w:rPr>
                      <w:rFonts w:hint="default" w:ascii="Times New Roman" w:hAnsi="Times New Roman" w:cs="Times New Roman"/>
                      <w:b w:val="0"/>
                      <w:bCs w:val="0"/>
                      <w:i w:val="0"/>
                      <w:iCs w:val="0"/>
                      <w:color w:val="auto"/>
                      <w:sz w:val="21"/>
                      <w:szCs w:val="21"/>
                      <w:highlight w:val="none"/>
                      <w:u w:val="none"/>
                    </w:rPr>
                  </w:pPr>
                  <w:r>
                    <w:rPr>
                      <w:rStyle w:val="49"/>
                      <w:rFonts w:hint="default" w:ascii="Times New Roman" w:hAnsi="Times New Roman" w:cs="Times New Roman"/>
                      <w:b w:val="0"/>
                      <w:bCs w:val="0"/>
                      <w:color w:val="auto"/>
                      <w:sz w:val="21"/>
                      <w:szCs w:val="21"/>
                      <w:highlight w:val="none"/>
                      <w:lang w:val="en-US" w:eastAsia="zh-CN" w:bidi="ar"/>
                    </w:rPr>
                    <w:t>食堂</w:t>
                  </w:r>
                </w:p>
              </w:tc>
              <w:tc>
                <w:tcPr>
                  <w:tcW w:w="2949" w:type="pct"/>
                  <w:shd w:val="clear" w:color="auto" w:fill="auto"/>
                  <w:vAlign w:val="center"/>
                </w:tcPr>
                <w:p w14:paraId="402B4D7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建筑面积1500m</w:t>
                  </w:r>
                  <w:r>
                    <w:rPr>
                      <w:rStyle w:val="49"/>
                      <w:rFonts w:hint="default" w:ascii="Times New Roman" w:hAnsi="Times New Roman" w:cs="Times New Roman"/>
                      <w:b w:val="0"/>
                      <w:bCs w:val="0"/>
                      <w:color w:val="auto"/>
                      <w:sz w:val="21"/>
                      <w:szCs w:val="21"/>
                      <w:highlight w:val="none"/>
                      <w:vertAlign w:val="superscript"/>
                      <w:lang w:val="en-US" w:eastAsia="zh-CN" w:bidi="ar"/>
                    </w:rPr>
                    <w:t>2</w:t>
                  </w:r>
                  <w:r>
                    <w:rPr>
                      <w:rStyle w:val="49"/>
                      <w:rFonts w:hint="default" w:ascii="Times New Roman" w:hAnsi="Times New Roman" w:cs="Times New Roman"/>
                      <w:b w:val="0"/>
                      <w:bCs w:val="0"/>
                      <w:color w:val="auto"/>
                      <w:sz w:val="21"/>
                      <w:szCs w:val="21"/>
                      <w:highlight w:val="none"/>
                      <w:lang w:val="en-US" w:eastAsia="zh-CN" w:bidi="ar"/>
                    </w:rPr>
                    <w:t>，</w:t>
                  </w:r>
                  <w:r>
                    <w:rPr>
                      <w:rStyle w:val="49"/>
                      <w:rFonts w:hint="eastAsia" w:ascii="Times New Roman" w:hAnsi="Times New Roman" w:cs="Times New Roman"/>
                      <w:b w:val="0"/>
                      <w:bCs w:val="0"/>
                      <w:color w:val="auto"/>
                      <w:sz w:val="21"/>
                      <w:szCs w:val="21"/>
                      <w:highlight w:val="none"/>
                      <w:lang w:val="en-US" w:eastAsia="zh-CN" w:bidi="ar"/>
                    </w:rPr>
                    <w:t>地上一层，建筑高度9.85m，层高8.5m。</w:t>
                  </w:r>
                </w:p>
              </w:tc>
              <w:tc>
                <w:tcPr>
                  <w:tcW w:w="418" w:type="pct"/>
                  <w:shd w:val="clear" w:color="auto" w:fill="auto"/>
                  <w:vAlign w:val="center"/>
                </w:tcPr>
                <w:p w14:paraId="246E494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sz w:val="21"/>
                      <w:szCs w:val="21"/>
                      <w:highlight w:val="none"/>
                      <w:u w:val="none"/>
                      <w:lang w:val="en-US" w:eastAsia="zh-CN"/>
                    </w:rPr>
                  </w:pPr>
                  <w:r>
                    <w:rPr>
                      <w:rStyle w:val="48"/>
                      <w:rFonts w:hint="eastAsia" w:cs="Times New Roman"/>
                      <w:b w:val="0"/>
                      <w:bCs w:val="0"/>
                      <w:color w:val="auto"/>
                      <w:sz w:val="21"/>
                      <w:szCs w:val="21"/>
                      <w:highlight w:val="none"/>
                      <w:lang w:val="en-US" w:eastAsia="zh-CN" w:bidi="ar"/>
                    </w:rPr>
                    <w:t>新建</w:t>
                  </w:r>
                </w:p>
              </w:tc>
            </w:tr>
            <w:tr w14:paraId="0FE85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54" w:type="pct"/>
                  <w:vMerge w:val="continue"/>
                  <w:shd w:val="clear" w:color="auto" w:fill="auto"/>
                  <w:vAlign w:val="center"/>
                </w:tcPr>
                <w:p w14:paraId="4C13EA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b w:val="0"/>
                      <w:bCs w:val="0"/>
                      <w:i w:val="0"/>
                      <w:iCs w:val="0"/>
                      <w:color w:val="auto"/>
                      <w:sz w:val="21"/>
                      <w:szCs w:val="21"/>
                      <w:highlight w:val="none"/>
                      <w:u w:val="none"/>
                    </w:rPr>
                  </w:pPr>
                </w:p>
              </w:tc>
              <w:tc>
                <w:tcPr>
                  <w:tcW w:w="1377" w:type="pct"/>
                  <w:gridSpan w:val="3"/>
                  <w:shd w:val="clear" w:color="auto" w:fill="auto"/>
                  <w:vAlign w:val="center"/>
                </w:tcPr>
                <w:p w14:paraId="04512D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sz w:val="21"/>
                      <w:szCs w:val="21"/>
                      <w:highlight w:val="none"/>
                      <w:u w:val="none"/>
                      <w:lang w:val="en-US" w:eastAsia="zh-CN"/>
                    </w:rPr>
                  </w:pPr>
                  <w:r>
                    <w:rPr>
                      <w:rFonts w:hint="eastAsia" w:cs="Times New Roman"/>
                      <w:b w:val="0"/>
                      <w:bCs w:val="0"/>
                      <w:i w:val="0"/>
                      <w:iCs w:val="0"/>
                      <w:color w:val="auto"/>
                      <w:sz w:val="21"/>
                      <w:szCs w:val="21"/>
                      <w:highlight w:val="none"/>
                      <w:u w:val="none"/>
                      <w:lang w:val="en-US" w:eastAsia="zh-CN"/>
                    </w:rPr>
                    <w:t>看台及公厕</w:t>
                  </w:r>
                </w:p>
              </w:tc>
              <w:tc>
                <w:tcPr>
                  <w:tcW w:w="2949" w:type="pct"/>
                  <w:shd w:val="clear" w:color="auto" w:fill="auto"/>
                  <w:vAlign w:val="center"/>
                </w:tcPr>
                <w:p w14:paraId="2974322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建筑面积750m</w:t>
                  </w:r>
                  <w:r>
                    <w:rPr>
                      <w:rStyle w:val="49"/>
                      <w:rFonts w:hint="default" w:ascii="Times New Roman" w:hAnsi="Times New Roman" w:cs="Times New Roman"/>
                      <w:b w:val="0"/>
                      <w:bCs w:val="0"/>
                      <w:color w:val="auto"/>
                      <w:sz w:val="21"/>
                      <w:szCs w:val="21"/>
                      <w:highlight w:val="none"/>
                      <w:vertAlign w:val="superscript"/>
                      <w:lang w:val="en-US" w:eastAsia="zh-CN" w:bidi="ar"/>
                    </w:rPr>
                    <w:t>2</w:t>
                  </w:r>
                  <w:r>
                    <w:rPr>
                      <w:rStyle w:val="49"/>
                      <w:rFonts w:hint="default" w:ascii="Times New Roman" w:hAnsi="Times New Roman" w:cs="Times New Roman"/>
                      <w:b w:val="0"/>
                      <w:bCs w:val="0"/>
                      <w:color w:val="auto"/>
                      <w:sz w:val="21"/>
                      <w:szCs w:val="21"/>
                      <w:highlight w:val="none"/>
                      <w:vertAlign w:val="baseline"/>
                      <w:lang w:val="en-US" w:eastAsia="zh-CN" w:bidi="ar"/>
                    </w:rPr>
                    <w:t>，地上一层，建筑高度9m。</w:t>
                  </w:r>
                  <w:r>
                    <w:rPr>
                      <w:rStyle w:val="49"/>
                      <w:rFonts w:hint="eastAsia" w:ascii="Times New Roman" w:hAnsi="Times New Roman" w:cs="Times New Roman"/>
                      <w:b w:val="0"/>
                      <w:bCs w:val="0"/>
                      <w:color w:val="auto"/>
                      <w:sz w:val="21"/>
                      <w:szCs w:val="21"/>
                      <w:highlight w:val="none"/>
                      <w:vertAlign w:val="baseline"/>
                      <w:lang w:val="en-US" w:eastAsia="zh-CN" w:bidi="ar"/>
                    </w:rPr>
                    <w:t>看台主要用于学校组织各项活动及体育运动会的观看。</w:t>
                  </w:r>
                </w:p>
              </w:tc>
              <w:tc>
                <w:tcPr>
                  <w:tcW w:w="418" w:type="pct"/>
                  <w:shd w:val="clear" w:color="auto" w:fill="auto"/>
                  <w:vAlign w:val="center"/>
                </w:tcPr>
                <w:p w14:paraId="4EC16C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b w:val="0"/>
                      <w:bCs w:val="0"/>
                      <w:i w:val="0"/>
                      <w:iCs w:val="0"/>
                      <w:color w:val="auto"/>
                      <w:sz w:val="21"/>
                      <w:szCs w:val="21"/>
                      <w:highlight w:val="none"/>
                      <w:u w:val="none"/>
                    </w:rPr>
                  </w:pPr>
                  <w:r>
                    <w:rPr>
                      <w:rStyle w:val="48"/>
                      <w:rFonts w:hint="default" w:ascii="Times New Roman" w:hAnsi="Times New Roman" w:cs="Times New Roman"/>
                      <w:b w:val="0"/>
                      <w:bCs w:val="0"/>
                      <w:color w:val="auto"/>
                      <w:sz w:val="21"/>
                      <w:szCs w:val="21"/>
                      <w:highlight w:val="none"/>
                      <w:lang w:val="en-US" w:eastAsia="zh-CN" w:bidi="ar"/>
                    </w:rPr>
                    <w:t>新建</w:t>
                  </w:r>
                </w:p>
              </w:tc>
            </w:tr>
            <w:tr w14:paraId="14BD0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54" w:type="pct"/>
                  <w:vMerge w:val="continue"/>
                  <w:shd w:val="clear" w:color="auto" w:fill="auto"/>
                  <w:vAlign w:val="center"/>
                </w:tcPr>
                <w:p w14:paraId="2F829E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b w:val="0"/>
                      <w:bCs w:val="0"/>
                      <w:i w:val="0"/>
                      <w:iCs w:val="0"/>
                      <w:color w:val="auto"/>
                      <w:sz w:val="21"/>
                      <w:szCs w:val="21"/>
                      <w:highlight w:val="none"/>
                      <w:u w:val="none"/>
                    </w:rPr>
                  </w:pPr>
                </w:p>
              </w:tc>
              <w:tc>
                <w:tcPr>
                  <w:tcW w:w="1377" w:type="pct"/>
                  <w:gridSpan w:val="3"/>
                  <w:shd w:val="clear" w:color="auto" w:fill="auto"/>
                  <w:vAlign w:val="center"/>
                </w:tcPr>
                <w:p w14:paraId="16C8220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eastAsia" w:cs="Times New Roman"/>
                      <w:b w:val="0"/>
                      <w:bCs w:val="0"/>
                      <w:color w:val="auto"/>
                      <w:sz w:val="21"/>
                      <w:szCs w:val="21"/>
                      <w:highlight w:val="none"/>
                      <w:lang w:val="en-US" w:eastAsia="zh-CN" w:bidi="ar"/>
                    </w:rPr>
                    <w:t>门房</w:t>
                  </w:r>
                </w:p>
              </w:tc>
              <w:tc>
                <w:tcPr>
                  <w:tcW w:w="2949" w:type="pct"/>
                  <w:shd w:val="clear" w:color="auto" w:fill="auto"/>
                  <w:vAlign w:val="center"/>
                </w:tcPr>
                <w:p w14:paraId="710E478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lang w:val="en-US" w:eastAsia="zh-CN"/>
                    </w:rPr>
                  </w:pPr>
                  <w:r>
                    <w:rPr>
                      <w:rStyle w:val="49"/>
                      <w:rFonts w:hint="default" w:ascii="Times New Roman" w:hAnsi="Times New Roman" w:cs="Times New Roman"/>
                      <w:b w:val="0"/>
                      <w:bCs w:val="0"/>
                      <w:color w:val="auto"/>
                      <w:sz w:val="21"/>
                      <w:szCs w:val="21"/>
                      <w:highlight w:val="none"/>
                      <w:lang w:val="en-US" w:eastAsia="zh-CN" w:bidi="ar"/>
                    </w:rPr>
                    <w:t>建筑面积100m</w:t>
                  </w:r>
                  <w:r>
                    <w:rPr>
                      <w:rStyle w:val="49"/>
                      <w:rFonts w:hint="default" w:ascii="Times New Roman" w:hAnsi="Times New Roman" w:cs="Times New Roman"/>
                      <w:b w:val="0"/>
                      <w:bCs w:val="0"/>
                      <w:color w:val="auto"/>
                      <w:sz w:val="21"/>
                      <w:szCs w:val="21"/>
                      <w:highlight w:val="none"/>
                      <w:vertAlign w:val="superscript"/>
                      <w:lang w:val="en-US" w:eastAsia="zh-CN" w:bidi="ar"/>
                    </w:rPr>
                    <w:t>2</w:t>
                  </w:r>
                  <w:r>
                    <w:rPr>
                      <w:rStyle w:val="49"/>
                      <w:rFonts w:hint="default" w:ascii="Times New Roman" w:hAnsi="Times New Roman" w:cs="Times New Roman"/>
                      <w:b w:val="0"/>
                      <w:bCs w:val="0"/>
                      <w:color w:val="auto"/>
                      <w:sz w:val="21"/>
                      <w:szCs w:val="21"/>
                      <w:highlight w:val="none"/>
                      <w:vertAlign w:val="baseline"/>
                      <w:lang w:val="en-US" w:eastAsia="zh-CN" w:bidi="ar"/>
                    </w:rPr>
                    <w:t>，地上一层，建筑高度6m。</w:t>
                  </w:r>
                </w:p>
              </w:tc>
              <w:tc>
                <w:tcPr>
                  <w:tcW w:w="418" w:type="pct"/>
                  <w:shd w:val="clear" w:color="auto" w:fill="auto"/>
                  <w:vAlign w:val="center"/>
                </w:tcPr>
                <w:p w14:paraId="1E5BDE2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72ED3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54" w:type="pct"/>
                  <w:vMerge w:val="continue"/>
                  <w:shd w:val="clear" w:color="auto" w:fill="auto"/>
                  <w:vAlign w:val="center"/>
                </w:tcPr>
                <w:p w14:paraId="0BEC42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b w:val="0"/>
                      <w:bCs w:val="0"/>
                      <w:i w:val="0"/>
                      <w:iCs w:val="0"/>
                      <w:color w:val="auto"/>
                      <w:sz w:val="21"/>
                      <w:szCs w:val="21"/>
                      <w:highlight w:val="none"/>
                      <w:u w:val="none"/>
                    </w:rPr>
                  </w:pPr>
                </w:p>
              </w:tc>
              <w:tc>
                <w:tcPr>
                  <w:tcW w:w="1377" w:type="pct"/>
                  <w:gridSpan w:val="3"/>
                  <w:shd w:val="clear" w:color="auto" w:fill="auto"/>
                  <w:vAlign w:val="center"/>
                </w:tcPr>
                <w:p w14:paraId="0F97051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eastAsia" w:cs="Times New Roman"/>
                      <w:b w:val="0"/>
                      <w:bCs w:val="0"/>
                      <w:color w:val="auto"/>
                      <w:sz w:val="21"/>
                      <w:szCs w:val="21"/>
                      <w:highlight w:val="none"/>
                      <w:lang w:val="en-US" w:eastAsia="zh-CN" w:bidi="ar"/>
                    </w:rPr>
                    <w:t>供水泵房</w:t>
                  </w:r>
                </w:p>
              </w:tc>
              <w:tc>
                <w:tcPr>
                  <w:tcW w:w="2949" w:type="pct"/>
                  <w:shd w:val="clear" w:color="auto" w:fill="auto"/>
                  <w:vAlign w:val="center"/>
                </w:tcPr>
                <w:p w14:paraId="11E0422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建筑面积350m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cs="Times New Roman"/>
                      <w:color w:val="auto"/>
                      <w:sz w:val="21"/>
                      <w:szCs w:val="21"/>
                      <w:highlight w:val="none"/>
                      <w:lang w:val="en-US" w:eastAsia="zh-CN"/>
                    </w:rPr>
                    <w:t>，地上一层，建筑高度7m，采用变频泵+生活水箱供水方式，生活水箱有效容积180m</w:t>
                  </w:r>
                  <w:r>
                    <w:rPr>
                      <w:rFonts w:hint="eastAsia" w:ascii="Times New Roman" w:hAnsi="Times New Roman"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vertAlign w:val="baseline"/>
                      <w:lang w:val="en-US" w:eastAsia="zh-CN"/>
                    </w:rPr>
                    <w:t>。</w:t>
                  </w:r>
                </w:p>
              </w:tc>
              <w:tc>
                <w:tcPr>
                  <w:tcW w:w="418" w:type="pct"/>
                  <w:shd w:val="clear" w:color="auto" w:fill="auto"/>
                  <w:vAlign w:val="center"/>
                </w:tcPr>
                <w:p w14:paraId="269E7F8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eastAsia"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6B146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54" w:type="pct"/>
                  <w:vMerge w:val="continue"/>
                  <w:shd w:val="clear" w:color="auto" w:fill="auto"/>
                  <w:vAlign w:val="center"/>
                </w:tcPr>
                <w:p w14:paraId="71CA70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b w:val="0"/>
                      <w:bCs w:val="0"/>
                      <w:i w:val="0"/>
                      <w:iCs w:val="0"/>
                      <w:color w:val="auto"/>
                      <w:sz w:val="21"/>
                      <w:szCs w:val="21"/>
                      <w:highlight w:val="none"/>
                      <w:u w:val="none"/>
                    </w:rPr>
                  </w:pPr>
                </w:p>
              </w:tc>
              <w:tc>
                <w:tcPr>
                  <w:tcW w:w="1377" w:type="pct"/>
                  <w:gridSpan w:val="3"/>
                  <w:shd w:val="clear" w:color="auto" w:fill="auto"/>
                  <w:vAlign w:val="center"/>
                </w:tcPr>
                <w:p w14:paraId="00A1E9D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换热站</w:t>
                  </w:r>
                </w:p>
              </w:tc>
              <w:tc>
                <w:tcPr>
                  <w:tcW w:w="2949" w:type="pct"/>
                  <w:shd w:val="clear" w:color="auto" w:fill="auto"/>
                  <w:vAlign w:val="center"/>
                </w:tcPr>
                <w:p w14:paraId="0B4CCA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校区</w:t>
                  </w:r>
                  <w:r>
                    <w:rPr>
                      <w:rFonts w:hint="default" w:ascii="Times New Roman" w:hAnsi="Times New Roman" w:cs="Times New Roman"/>
                      <w:color w:val="auto"/>
                      <w:sz w:val="21"/>
                      <w:szCs w:val="21"/>
                      <w:highlight w:val="none"/>
                      <w:lang w:val="en-US" w:eastAsia="zh-CN"/>
                    </w:rPr>
                    <w:t>内设有1座换热站，</w:t>
                  </w:r>
                  <w:r>
                    <w:rPr>
                      <w:rFonts w:hint="eastAsia" w:ascii="Times New Roman" w:hAnsi="Times New Roman" w:cs="Times New Roman"/>
                      <w:color w:val="auto"/>
                      <w:sz w:val="21"/>
                      <w:szCs w:val="21"/>
                      <w:highlight w:val="none"/>
                      <w:lang w:val="en-US" w:eastAsia="zh-CN"/>
                    </w:rPr>
                    <w:t>建筑面积300m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cs="Times New Roman"/>
                      <w:color w:val="auto"/>
                      <w:sz w:val="21"/>
                      <w:szCs w:val="21"/>
                      <w:highlight w:val="none"/>
                      <w:lang w:val="en-US" w:eastAsia="zh-CN"/>
                    </w:rPr>
                    <w:t>，只负责土建工程。</w:t>
                  </w:r>
                  <w:r>
                    <w:rPr>
                      <w:rFonts w:hint="default" w:ascii="Times New Roman" w:hAnsi="Times New Roman" w:cs="Times New Roman"/>
                      <w:color w:val="auto"/>
                      <w:sz w:val="21"/>
                      <w:szCs w:val="21"/>
                      <w:highlight w:val="none"/>
                      <w:lang w:val="en-US" w:eastAsia="zh-CN"/>
                    </w:rPr>
                    <w:t>由市政供热负责换热站运行。</w:t>
                  </w:r>
                </w:p>
              </w:tc>
              <w:tc>
                <w:tcPr>
                  <w:tcW w:w="418" w:type="pct"/>
                  <w:shd w:val="clear" w:color="auto" w:fill="auto"/>
                  <w:vAlign w:val="center"/>
                </w:tcPr>
                <w:p w14:paraId="27381B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047C5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4" w:type="pct"/>
                  <w:vMerge w:val="restart"/>
                  <w:shd w:val="clear" w:color="auto" w:fill="auto"/>
                  <w:vAlign w:val="center"/>
                </w:tcPr>
                <w:p w14:paraId="7FED80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b w:val="0"/>
                      <w:bCs w:val="0"/>
                      <w:i w:val="0"/>
                      <w:iCs w:val="0"/>
                      <w:color w:val="auto"/>
                      <w:sz w:val="21"/>
                      <w:szCs w:val="21"/>
                      <w:highlight w:val="none"/>
                      <w:u w:val="none"/>
                    </w:rPr>
                  </w:pPr>
                  <w:r>
                    <w:rPr>
                      <w:rStyle w:val="49"/>
                      <w:rFonts w:hint="default" w:ascii="Times New Roman" w:hAnsi="Times New Roman" w:cs="Times New Roman"/>
                      <w:b w:val="0"/>
                      <w:bCs w:val="0"/>
                      <w:color w:val="auto"/>
                      <w:sz w:val="21"/>
                      <w:szCs w:val="21"/>
                      <w:highlight w:val="none"/>
                      <w:lang w:val="en-US" w:eastAsia="zh-CN" w:bidi="ar"/>
                    </w:rPr>
                    <w:t>公用工程</w:t>
                  </w:r>
                </w:p>
              </w:tc>
              <w:tc>
                <w:tcPr>
                  <w:tcW w:w="1377" w:type="pct"/>
                  <w:gridSpan w:val="3"/>
                  <w:shd w:val="clear" w:color="auto" w:fill="auto"/>
                  <w:vAlign w:val="center"/>
                </w:tcPr>
                <w:p w14:paraId="1100776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b w:val="0"/>
                      <w:bCs w:val="0"/>
                      <w:i w:val="0"/>
                      <w:iCs w:val="0"/>
                      <w:color w:val="auto"/>
                      <w:sz w:val="21"/>
                      <w:szCs w:val="21"/>
                      <w:highlight w:val="none"/>
                      <w:u w:val="none"/>
                    </w:rPr>
                  </w:pPr>
                  <w:r>
                    <w:rPr>
                      <w:rStyle w:val="49"/>
                      <w:rFonts w:hint="eastAsia" w:cs="Times New Roman"/>
                      <w:b w:val="0"/>
                      <w:bCs w:val="0"/>
                      <w:color w:val="auto"/>
                      <w:sz w:val="21"/>
                      <w:szCs w:val="21"/>
                      <w:highlight w:val="none"/>
                      <w:lang w:val="en-US" w:eastAsia="zh-CN" w:bidi="ar"/>
                    </w:rPr>
                    <w:t>供热</w:t>
                  </w:r>
                </w:p>
              </w:tc>
              <w:tc>
                <w:tcPr>
                  <w:tcW w:w="2949" w:type="pct"/>
                  <w:shd w:val="clear" w:color="auto" w:fill="auto"/>
                  <w:vAlign w:val="center"/>
                </w:tcPr>
                <w:p w14:paraId="6A8BD7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热源由市政集中供热提供，拟接自项目东北侧新建换热站</w:t>
                  </w:r>
                </w:p>
              </w:tc>
              <w:tc>
                <w:tcPr>
                  <w:tcW w:w="418" w:type="pct"/>
                  <w:shd w:val="clear" w:color="auto" w:fill="auto"/>
                  <w:vAlign w:val="center"/>
                </w:tcPr>
                <w:p w14:paraId="19F269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b w:val="0"/>
                      <w:bCs w:val="0"/>
                      <w:i w:val="0"/>
                      <w:iCs w:val="0"/>
                      <w:color w:val="auto"/>
                      <w:sz w:val="21"/>
                      <w:szCs w:val="21"/>
                      <w:highlight w:val="none"/>
                      <w:u w:val="none"/>
                    </w:rPr>
                  </w:pPr>
                  <w:r>
                    <w:rPr>
                      <w:rStyle w:val="48"/>
                      <w:rFonts w:hint="eastAsia" w:cs="Times New Roman"/>
                      <w:b w:val="0"/>
                      <w:bCs w:val="0"/>
                      <w:color w:val="auto"/>
                      <w:sz w:val="21"/>
                      <w:szCs w:val="21"/>
                      <w:highlight w:val="none"/>
                      <w:lang w:val="en-US" w:eastAsia="zh-CN" w:bidi="ar"/>
                    </w:rPr>
                    <w:t>新建</w:t>
                  </w:r>
                </w:p>
              </w:tc>
            </w:tr>
            <w:tr w14:paraId="21F2A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54" w:type="pct"/>
                  <w:vMerge w:val="continue"/>
                  <w:shd w:val="clear" w:color="auto" w:fill="auto"/>
                  <w:vAlign w:val="center"/>
                </w:tcPr>
                <w:p w14:paraId="54B30F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b w:val="0"/>
                      <w:bCs w:val="0"/>
                      <w:i w:val="0"/>
                      <w:iCs w:val="0"/>
                      <w:color w:val="auto"/>
                      <w:sz w:val="21"/>
                      <w:szCs w:val="21"/>
                      <w:highlight w:val="none"/>
                      <w:u w:val="none"/>
                    </w:rPr>
                  </w:pPr>
                </w:p>
              </w:tc>
              <w:tc>
                <w:tcPr>
                  <w:tcW w:w="1377" w:type="pct"/>
                  <w:gridSpan w:val="3"/>
                  <w:shd w:val="clear" w:color="auto" w:fill="auto"/>
                  <w:vAlign w:val="center"/>
                </w:tcPr>
                <w:p w14:paraId="5CA625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b w:val="0"/>
                      <w:bCs w:val="0"/>
                      <w:i w:val="0"/>
                      <w:iCs w:val="0"/>
                      <w:color w:val="auto"/>
                      <w:sz w:val="21"/>
                      <w:szCs w:val="21"/>
                      <w:highlight w:val="none"/>
                      <w:u w:val="none"/>
                      <w:lang w:val="en-US" w:eastAsia="zh-CN"/>
                    </w:rPr>
                  </w:pPr>
                  <w:r>
                    <w:rPr>
                      <w:rFonts w:hint="eastAsia" w:cs="Times New Roman"/>
                      <w:b w:val="0"/>
                      <w:bCs w:val="0"/>
                      <w:i w:val="0"/>
                      <w:iCs w:val="0"/>
                      <w:color w:val="auto"/>
                      <w:sz w:val="21"/>
                      <w:szCs w:val="21"/>
                      <w:highlight w:val="none"/>
                      <w:u w:val="none"/>
                      <w:lang w:val="en-US" w:eastAsia="zh-CN"/>
                    </w:rPr>
                    <w:t>供水</w:t>
                  </w:r>
                </w:p>
              </w:tc>
              <w:tc>
                <w:tcPr>
                  <w:tcW w:w="2949" w:type="pct"/>
                  <w:shd w:val="clear" w:color="auto" w:fill="auto"/>
                  <w:vAlign w:val="center"/>
                </w:tcPr>
                <w:p w14:paraId="4D97D95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b w:val="0"/>
                      <w:bCs w:val="0"/>
                      <w:i w:val="0"/>
                      <w:iCs w:val="0"/>
                      <w:color w:val="auto"/>
                      <w:sz w:val="21"/>
                      <w:szCs w:val="21"/>
                      <w:highlight w:val="none"/>
                      <w:u w:val="none"/>
                    </w:rPr>
                  </w:pPr>
                  <w:r>
                    <w:rPr>
                      <w:rFonts w:hint="default" w:ascii="Times New Roman" w:hAnsi="Times New Roman" w:cs="Times New Roman"/>
                      <w:b w:val="0"/>
                      <w:bCs w:val="0"/>
                      <w:i w:val="0"/>
                      <w:iCs w:val="0"/>
                      <w:color w:val="auto"/>
                      <w:sz w:val="21"/>
                      <w:szCs w:val="21"/>
                      <w:highlight w:val="none"/>
                      <w:u w:val="none"/>
                    </w:rPr>
                    <w:t>供水由城市供水管网供给自来水</w:t>
                  </w:r>
                </w:p>
              </w:tc>
              <w:tc>
                <w:tcPr>
                  <w:tcW w:w="418" w:type="pct"/>
                  <w:shd w:val="clear" w:color="auto" w:fill="auto"/>
                  <w:vAlign w:val="center"/>
                </w:tcPr>
                <w:p w14:paraId="614E95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3746D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254" w:type="pct"/>
                  <w:vMerge w:val="continue"/>
                  <w:shd w:val="clear" w:color="auto" w:fill="auto"/>
                  <w:vAlign w:val="center"/>
                </w:tcPr>
                <w:p w14:paraId="52DF0F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b w:val="0"/>
                      <w:bCs w:val="0"/>
                      <w:i w:val="0"/>
                      <w:iCs w:val="0"/>
                      <w:color w:val="auto"/>
                      <w:sz w:val="21"/>
                      <w:szCs w:val="21"/>
                      <w:highlight w:val="none"/>
                      <w:u w:val="none"/>
                    </w:rPr>
                  </w:pPr>
                </w:p>
              </w:tc>
              <w:tc>
                <w:tcPr>
                  <w:tcW w:w="1377" w:type="pct"/>
                  <w:gridSpan w:val="3"/>
                  <w:shd w:val="clear" w:color="auto" w:fill="auto"/>
                  <w:vAlign w:val="center"/>
                </w:tcPr>
                <w:p w14:paraId="482450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cs="Times New Roman"/>
                      <w:b w:val="0"/>
                      <w:bCs w:val="0"/>
                      <w:color w:val="auto"/>
                      <w:sz w:val="21"/>
                      <w:szCs w:val="21"/>
                      <w:highlight w:val="none"/>
                      <w:lang w:val="en-US" w:eastAsia="zh-CN" w:bidi="ar"/>
                    </w:rPr>
                  </w:pPr>
                  <w:r>
                    <w:rPr>
                      <w:rStyle w:val="49"/>
                      <w:rFonts w:hint="eastAsia" w:cs="Times New Roman"/>
                      <w:b w:val="0"/>
                      <w:bCs w:val="0"/>
                      <w:color w:val="auto"/>
                      <w:sz w:val="21"/>
                      <w:szCs w:val="21"/>
                      <w:highlight w:val="none"/>
                      <w:lang w:val="en-US" w:eastAsia="zh-CN" w:bidi="ar"/>
                    </w:rPr>
                    <w:t>供冷</w:t>
                  </w:r>
                </w:p>
              </w:tc>
              <w:tc>
                <w:tcPr>
                  <w:tcW w:w="2949" w:type="pct"/>
                  <w:shd w:val="clear" w:color="auto" w:fill="auto"/>
                  <w:vAlign w:val="center"/>
                </w:tcPr>
                <w:p w14:paraId="4CA78FD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夏季制冷采用单体空调</w:t>
                  </w:r>
                </w:p>
              </w:tc>
              <w:tc>
                <w:tcPr>
                  <w:tcW w:w="418" w:type="pct"/>
                  <w:shd w:val="clear" w:color="auto" w:fill="auto"/>
                  <w:vAlign w:val="center"/>
                </w:tcPr>
                <w:p w14:paraId="0519834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eastAsia"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4AC1E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254" w:type="pct"/>
                  <w:vMerge w:val="continue"/>
                  <w:shd w:val="clear" w:color="auto" w:fill="auto"/>
                  <w:vAlign w:val="center"/>
                </w:tcPr>
                <w:p w14:paraId="369900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b w:val="0"/>
                      <w:bCs w:val="0"/>
                      <w:i w:val="0"/>
                      <w:iCs w:val="0"/>
                      <w:color w:val="auto"/>
                      <w:sz w:val="21"/>
                      <w:szCs w:val="21"/>
                      <w:highlight w:val="none"/>
                      <w:u w:val="none"/>
                    </w:rPr>
                  </w:pPr>
                </w:p>
              </w:tc>
              <w:tc>
                <w:tcPr>
                  <w:tcW w:w="1377" w:type="pct"/>
                  <w:gridSpan w:val="3"/>
                  <w:shd w:val="clear" w:color="auto" w:fill="auto"/>
                  <w:vAlign w:val="center"/>
                </w:tcPr>
                <w:p w14:paraId="6B8A28B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eastAsia" w:cs="Times New Roman"/>
                      <w:b w:val="0"/>
                      <w:bCs w:val="0"/>
                      <w:color w:val="auto"/>
                      <w:sz w:val="21"/>
                      <w:szCs w:val="21"/>
                      <w:highlight w:val="none"/>
                      <w:lang w:val="en-US" w:eastAsia="zh-CN" w:bidi="ar"/>
                    </w:rPr>
                    <w:t>供电</w:t>
                  </w:r>
                </w:p>
              </w:tc>
              <w:tc>
                <w:tcPr>
                  <w:tcW w:w="2949" w:type="pct"/>
                  <w:shd w:val="clear" w:color="auto" w:fill="auto"/>
                  <w:vAlign w:val="center"/>
                </w:tcPr>
                <w:p w14:paraId="1B2359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市政电网供电</w:t>
                  </w:r>
                </w:p>
              </w:tc>
              <w:tc>
                <w:tcPr>
                  <w:tcW w:w="418" w:type="pct"/>
                  <w:shd w:val="clear" w:color="auto" w:fill="auto"/>
                  <w:vAlign w:val="center"/>
                </w:tcPr>
                <w:p w14:paraId="4FC453C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b w:val="0"/>
                      <w:bCs w:val="0"/>
                      <w:i w:val="0"/>
                      <w:iCs w:val="0"/>
                      <w:color w:val="auto"/>
                      <w:sz w:val="21"/>
                      <w:szCs w:val="21"/>
                      <w:highlight w:val="none"/>
                      <w:u w:val="none"/>
                      <w:lang w:val="en-US" w:eastAsia="zh-CN"/>
                    </w:rPr>
                  </w:pPr>
                  <w:r>
                    <w:rPr>
                      <w:rStyle w:val="48"/>
                      <w:rFonts w:hint="eastAsia" w:cs="Times New Roman"/>
                      <w:b w:val="0"/>
                      <w:bCs w:val="0"/>
                      <w:color w:val="auto"/>
                      <w:sz w:val="21"/>
                      <w:szCs w:val="21"/>
                      <w:highlight w:val="none"/>
                      <w:lang w:val="en-US" w:eastAsia="zh-CN" w:bidi="ar"/>
                    </w:rPr>
                    <w:t>新建</w:t>
                  </w:r>
                </w:p>
              </w:tc>
            </w:tr>
            <w:tr w14:paraId="6D6B3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4" w:type="pct"/>
                  <w:vMerge w:val="continue"/>
                  <w:shd w:val="clear" w:color="auto" w:fill="auto"/>
                  <w:vAlign w:val="center"/>
                </w:tcPr>
                <w:p w14:paraId="16C9A0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b w:val="0"/>
                      <w:bCs w:val="0"/>
                      <w:i w:val="0"/>
                      <w:iCs w:val="0"/>
                      <w:color w:val="auto"/>
                      <w:sz w:val="21"/>
                      <w:szCs w:val="21"/>
                      <w:highlight w:val="none"/>
                      <w:u w:val="none"/>
                    </w:rPr>
                  </w:pPr>
                </w:p>
              </w:tc>
              <w:tc>
                <w:tcPr>
                  <w:tcW w:w="1377" w:type="pct"/>
                  <w:gridSpan w:val="3"/>
                  <w:shd w:val="clear" w:color="auto" w:fill="auto"/>
                  <w:vAlign w:val="center"/>
                </w:tcPr>
                <w:p w14:paraId="79394D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sz w:val="21"/>
                      <w:szCs w:val="21"/>
                      <w:highlight w:val="none"/>
                      <w:u w:val="none"/>
                      <w:lang w:val="en-US" w:eastAsia="zh-CN"/>
                    </w:rPr>
                  </w:pPr>
                  <w:r>
                    <w:rPr>
                      <w:rFonts w:hint="eastAsia" w:cs="Times New Roman"/>
                      <w:b w:val="0"/>
                      <w:bCs w:val="0"/>
                      <w:i w:val="0"/>
                      <w:iCs w:val="0"/>
                      <w:color w:val="auto"/>
                      <w:sz w:val="21"/>
                      <w:szCs w:val="21"/>
                      <w:highlight w:val="none"/>
                      <w:u w:val="none"/>
                      <w:lang w:val="en-US" w:eastAsia="zh-CN"/>
                    </w:rPr>
                    <w:t>供气</w:t>
                  </w:r>
                </w:p>
              </w:tc>
              <w:tc>
                <w:tcPr>
                  <w:tcW w:w="2949" w:type="pct"/>
                  <w:shd w:val="clear" w:color="auto" w:fill="auto"/>
                  <w:vAlign w:val="center"/>
                </w:tcPr>
                <w:p w14:paraId="081DAB0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eastAsia" w:cs="Times New Roman"/>
                      <w:b w:val="0"/>
                      <w:bCs w:val="0"/>
                      <w:color w:val="auto"/>
                      <w:sz w:val="21"/>
                      <w:szCs w:val="21"/>
                      <w:highlight w:val="none"/>
                      <w:lang w:val="en-US" w:eastAsia="zh-CN" w:bidi="ar"/>
                    </w:rPr>
                    <w:t>城市供气管网供给</w:t>
                  </w:r>
                </w:p>
              </w:tc>
              <w:tc>
                <w:tcPr>
                  <w:tcW w:w="418" w:type="pct"/>
                  <w:shd w:val="clear" w:color="auto" w:fill="auto"/>
                  <w:vAlign w:val="center"/>
                </w:tcPr>
                <w:p w14:paraId="72A9CA9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eastAsiaTheme="minorEastAsia"/>
                      <w:b w:val="0"/>
                      <w:bCs w:val="0"/>
                      <w:i w:val="0"/>
                      <w:iCs w:val="0"/>
                      <w:color w:val="auto"/>
                      <w:sz w:val="21"/>
                      <w:szCs w:val="21"/>
                      <w:highlight w:val="none"/>
                      <w:u w:val="none"/>
                      <w:lang w:val="en-US" w:eastAsia="zh-CN"/>
                    </w:rPr>
                  </w:pPr>
                  <w:r>
                    <w:rPr>
                      <w:rFonts w:hint="eastAsia" w:cs="Times New Roman" w:eastAsiaTheme="minorEastAsia"/>
                      <w:b w:val="0"/>
                      <w:bCs w:val="0"/>
                      <w:i w:val="0"/>
                      <w:iCs w:val="0"/>
                      <w:color w:val="auto"/>
                      <w:sz w:val="21"/>
                      <w:szCs w:val="21"/>
                      <w:highlight w:val="none"/>
                      <w:u w:val="none"/>
                      <w:lang w:val="en-US" w:eastAsia="zh-CN"/>
                    </w:rPr>
                    <w:t>新建</w:t>
                  </w:r>
                </w:p>
              </w:tc>
            </w:tr>
            <w:tr w14:paraId="5B032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4" w:type="pct"/>
                  <w:vMerge w:val="continue"/>
                  <w:shd w:val="clear" w:color="auto" w:fill="auto"/>
                  <w:vAlign w:val="center"/>
                </w:tcPr>
                <w:p w14:paraId="6FBA4D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b w:val="0"/>
                      <w:bCs w:val="0"/>
                      <w:i w:val="0"/>
                      <w:iCs w:val="0"/>
                      <w:color w:val="auto"/>
                      <w:sz w:val="21"/>
                      <w:szCs w:val="21"/>
                      <w:highlight w:val="none"/>
                      <w:u w:val="none"/>
                    </w:rPr>
                  </w:pPr>
                </w:p>
              </w:tc>
              <w:tc>
                <w:tcPr>
                  <w:tcW w:w="1377" w:type="pct"/>
                  <w:gridSpan w:val="3"/>
                  <w:shd w:val="clear" w:color="auto" w:fill="auto"/>
                  <w:vAlign w:val="center"/>
                </w:tcPr>
                <w:p w14:paraId="55DC2E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b w:val="0"/>
                      <w:bCs w:val="0"/>
                      <w:i w:val="0"/>
                      <w:iCs w:val="0"/>
                      <w:color w:val="auto"/>
                      <w:sz w:val="21"/>
                      <w:szCs w:val="21"/>
                      <w:highlight w:val="none"/>
                      <w:u w:val="none"/>
                    </w:rPr>
                  </w:pPr>
                  <w:r>
                    <w:rPr>
                      <w:rFonts w:hint="eastAsia" w:cs="Times New Roman"/>
                      <w:b w:val="0"/>
                      <w:bCs w:val="0"/>
                      <w:i w:val="0"/>
                      <w:iCs w:val="0"/>
                      <w:color w:val="auto"/>
                      <w:sz w:val="21"/>
                      <w:szCs w:val="21"/>
                      <w:highlight w:val="none"/>
                      <w:u w:val="none"/>
                      <w:lang w:val="en-US" w:eastAsia="zh-CN"/>
                    </w:rPr>
                    <w:t>排水</w:t>
                  </w:r>
                </w:p>
              </w:tc>
              <w:tc>
                <w:tcPr>
                  <w:tcW w:w="2949" w:type="pct"/>
                  <w:shd w:val="clear" w:color="auto" w:fill="auto"/>
                  <w:vAlign w:val="center"/>
                </w:tcPr>
                <w:p w14:paraId="26C2B0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b w:val="0"/>
                      <w:bCs w:val="0"/>
                      <w:i w:val="0"/>
                      <w:iCs w:val="0"/>
                      <w:color w:val="auto"/>
                      <w:sz w:val="21"/>
                      <w:szCs w:val="21"/>
                      <w:highlight w:val="none"/>
                      <w:u w:val="none"/>
                    </w:rPr>
                  </w:pPr>
                  <w:r>
                    <w:rPr>
                      <w:rFonts w:hint="default" w:ascii="Times New Roman" w:hAnsi="Times New Roman" w:cs="Times New Roman"/>
                      <w:b w:val="0"/>
                      <w:bCs w:val="0"/>
                      <w:i w:val="0"/>
                      <w:iCs w:val="0"/>
                      <w:color w:val="auto"/>
                      <w:sz w:val="21"/>
                      <w:szCs w:val="21"/>
                      <w:highlight w:val="none"/>
                      <w:u w:val="none"/>
                    </w:rPr>
                    <w:t>本项目排水采用雨、污分流制。北侧常平大街有DN500市政污水管，生活污水拟经室外污水管网汇集至化粪池，最终排至常平大街市政污水管。</w:t>
                  </w:r>
                </w:p>
                <w:p w14:paraId="38F685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b w:val="0"/>
                      <w:bCs w:val="0"/>
                      <w:i w:val="0"/>
                      <w:iCs w:val="0"/>
                      <w:color w:val="auto"/>
                      <w:sz w:val="21"/>
                      <w:szCs w:val="21"/>
                      <w:highlight w:val="none"/>
                      <w:u w:val="none"/>
                    </w:rPr>
                  </w:pPr>
                  <w:r>
                    <w:rPr>
                      <w:rFonts w:hint="default" w:ascii="Times New Roman" w:hAnsi="Times New Roman" w:cs="Times New Roman"/>
                      <w:b w:val="0"/>
                      <w:bCs w:val="0"/>
                      <w:i w:val="0"/>
                      <w:iCs w:val="0"/>
                      <w:color w:val="auto"/>
                      <w:sz w:val="21"/>
                      <w:szCs w:val="21"/>
                      <w:highlight w:val="none"/>
                      <w:u w:val="none"/>
                    </w:rPr>
                    <w:t>项目区内雨水经下凹式绿地、海绵城市建设等措施进行径流控制后，排入北侧常平大街市政雨水箱涵。</w:t>
                  </w:r>
                </w:p>
              </w:tc>
              <w:tc>
                <w:tcPr>
                  <w:tcW w:w="418" w:type="pct"/>
                  <w:shd w:val="clear" w:color="auto" w:fill="auto"/>
                  <w:vAlign w:val="center"/>
                </w:tcPr>
                <w:p w14:paraId="5BA14B4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109EC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54" w:type="pct"/>
                  <w:vMerge w:val="restart"/>
                  <w:shd w:val="clear" w:color="auto" w:fill="auto"/>
                  <w:vAlign w:val="center"/>
                </w:tcPr>
                <w:p w14:paraId="3A81AB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b w:val="0"/>
                      <w:bCs w:val="0"/>
                      <w:i w:val="0"/>
                      <w:iCs w:val="0"/>
                      <w:color w:val="auto"/>
                      <w:sz w:val="21"/>
                      <w:szCs w:val="21"/>
                      <w:highlight w:val="none"/>
                      <w:u w:val="none"/>
                    </w:rPr>
                  </w:pPr>
                  <w:r>
                    <w:rPr>
                      <w:rStyle w:val="49"/>
                      <w:rFonts w:hint="default" w:ascii="Times New Roman" w:hAnsi="Times New Roman" w:cs="Times New Roman"/>
                      <w:b w:val="0"/>
                      <w:bCs w:val="0"/>
                      <w:color w:val="auto"/>
                      <w:sz w:val="21"/>
                      <w:szCs w:val="21"/>
                      <w:highlight w:val="none"/>
                      <w:lang w:val="en-US" w:eastAsia="zh-CN" w:bidi="ar"/>
                    </w:rPr>
                    <w:t>环保工程</w:t>
                  </w:r>
                </w:p>
              </w:tc>
              <w:tc>
                <w:tcPr>
                  <w:tcW w:w="253" w:type="pct"/>
                  <w:vMerge w:val="restart"/>
                  <w:shd w:val="clear" w:color="auto" w:fill="auto"/>
                  <w:vAlign w:val="center"/>
                </w:tcPr>
                <w:p w14:paraId="0B6699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废气</w:t>
                  </w:r>
                </w:p>
              </w:tc>
              <w:tc>
                <w:tcPr>
                  <w:tcW w:w="1124" w:type="pct"/>
                  <w:gridSpan w:val="2"/>
                  <w:shd w:val="clear" w:color="auto" w:fill="auto"/>
                  <w:vAlign w:val="center"/>
                </w:tcPr>
                <w:p w14:paraId="4A477D8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Style w:val="49"/>
                      <w:rFonts w:hint="default" w:ascii="Times New Roman" w:hAnsi="Times New Roman" w:cs="Times New Roman"/>
                      <w:b w:val="0"/>
                      <w:bCs w:val="0"/>
                      <w:color w:val="auto"/>
                      <w:sz w:val="21"/>
                      <w:szCs w:val="21"/>
                      <w:highlight w:val="none"/>
                      <w:lang w:val="en-US" w:eastAsia="zh-CN" w:bidi="ar"/>
                    </w:rPr>
                  </w:pPr>
                  <w:r>
                    <w:rPr>
                      <w:rFonts w:hint="default" w:ascii="Times New Roman" w:hAnsi="Times New Roman" w:cs="Times New Roman"/>
                      <w:b w:val="0"/>
                      <w:bCs/>
                      <w:color w:val="auto"/>
                      <w:sz w:val="21"/>
                      <w:szCs w:val="21"/>
                      <w:highlight w:val="none"/>
                      <w:u w:val="none"/>
                      <w:lang w:val="en-US" w:eastAsia="zh-CN"/>
                    </w:rPr>
                    <w:t>食堂油烟</w:t>
                  </w:r>
                </w:p>
              </w:tc>
              <w:tc>
                <w:tcPr>
                  <w:tcW w:w="2949" w:type="pct"/>
                  <w:shd w:val="clear" w:color="auto" w:fill="auto"/>
                  <w:vAlign w:val="center"/>
                </w:tcPr>
                <w:p w14:paraId="43A35C6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Style w:val="49"/>
                      <w:rFonts w:hint="default" w:ascii="Times New Roman" w:hAnsi="Times New Roman" w:cs="Times New Roman"/>
                      <w:b w:val="0"/>
                      <w:bCs w:val="0"/>
                      <w:color w:val="auto"/>
                      <w:sz w:val="21"/>
                      <w:szCs w:val="21"/>
                      <w:highlight w:val="none"/>
                      <w:lang w:val="en-US" w:eastAsia="zh-CN" w:bidi="ar"/>
                    </w:rPr>
                  </w:pPr>
                  <w:r>
                    <w:rPr>
                      <w:rFonts w:hint="default" w:ascii="Times New Roman" w:hAnsi="Times New Roman" w:cs="Times New Roman"/>
                      <w:b w:val="0"/>
                      <w:bCs/>
                      <w:color w:val="auto"/>
                      <w:sz w:val="21"/>
                      <w:szCs w:val="21"/>
                      <w:highlight w:val="none"/>
                      <w:u w:val="none"/>
                      <w:lang w:val="en-US" w:eastAsia="zh-CN"/>
                    </w:rPr>
                    <w:t>食堂基准灶头均安装集气罩</w:t>
                  </w:r>
                  <w:r>
                    <w:rPr>
                      <w:rFonts w:hint="eastAsia" w:cs="Times New Roman"/>
                      <w:b w:val="0"/>
                      <w:bCs/>
                      <w:color w:val="auto"/>
                      <w:sz w:val="21"/>
                      <w:szCs w:val="21"/>
                      <w:highlight w:val="none"/>
                      <w:u w:val="none"/>
                      <w:lang w:val="en-US" w:eastAsia="zh-CN"/>
                    </w:rPr>
                    <w:t>（共计16套）</w:t>
                  </w:r>
                  <w:r>
                    <w:rPr>
                      <w:rFonts w:hint="default" w:ascii="Times New Roman" w:hAnsi="Times New Roman" w:cs="Times New Roman"/>
                      <w:b w:val="0"/>
                      <w:bCs/>
                      <w:color w:val="auto"/>
                      <w:sz w:val="21"/>
                      <w:szCs w:val="21"/>
                      <w:highlight w:val="none"/>
                      <w:u w:val="none"/>
                      <w:lang w:val="en-US" w:eastAsia="zh-CN"/>
                    </w:rPr>
                    <w:t>，食堂油烟经1套</w:t>
                  </w:r>
                  <w:r>
                    <w:rPr>
                      <w:rFonts w:hint="default" w:ascii="Times New Roman" w:hAnsi="Times New Roman" w:cs="Times New Roman"/>
                      <w:color w:val="auto"/>
                      <w:sz w:val="21"/>
                      <w:szCs w:val="21"/>
                      <w:highlight w:val="none"/>
                    </w:rPr>
                    <w:t>静电式油烟净化器</w:t>
                  </w:r>
                  <w:r>
                    <w:rPr>
                      <w:rFonts w:hint="default" w:ascii="Times New Roman" w:hAnsi="Times New Roman" w:cs="Times New Roman"/>
                      <w:color w:val="auto"/>
                      <w:sz w:val="21"/>
                      <w:szCs w:val="21"/>
                      <w:highlight w:val="none"/>
                      <w:lang w:val="en-US" w:eastAsia="zh-CN"/>
                    </w:rPr>
                    <w:t>处理后，通过</w:t>
                  </w:r>
                  <w:r>
                    <w:rPr>
                      <w:rFonts w:hint="default" w:ascii="Times New Roman" w:hAnsi="Times New Roman" w:cs="Times New Roman"/>
                      <w:bCs/>
                      <w:color w:val="auto"/>
                      <w:sz w:val="21"/>
                      <w:szCs w:val="21"/>
                      <w:highlight w:val="none"/>
                    </w:rPr>
                    <w:t>排气筒</w:t>
                  </w:r>
                  <w:r>
                    <w:rPr>
                      <w:rFonts w:hint="default" w:ascii="Times New Roman" w:hAnsi="Times New Roman" w:cs="Times New Roman"/>
                      <w:bCs/>
                      <w:color w:val="auto"/>
                      <w:sz w:val="21"/>
                      <w:szCs w:val="21"/>
                      <w:highlight w:val="none"/>
                      <w:lang w:eastAsia="zh-CN"/>
                    </w:rPr>
                    <w:t>（</w:t>
                  </w:r>
                  <w:r>
                    <w:rPr>
                      <w:rFonts w:hint="default" w:ascii="Times New Roman" w:hAnsi="Times New Roman" w:cs="Times New Roman"/>
                      <w:bCs/>
                      <w:color w:val="auto"/>
                      <w:sz w:val="21"/>
                      <w:szCs w:val="21"/>
                      <w:highlight w:val="none"/>
                    </w:rPr>
                    <w:t>DA00</w:t>
                  </w:r>
                  <w:r>
                    <w:rPr>
                      <w:rFonts w:hint="default" w:ascii="Times New Roman" w:hAnsi="Times New Roman" w:cs="Times New Roman"/>
                      <w:bCs/>
                      <w:color w:val="auto"/>
                      <w:sz w:val="21"/>
                      <w:szCs w:val="21"/>
                      <w:highlight w:val="none"/>
                      <w:lang w:val="en-US" w:eastAsia="zh-CN"/>
                    </w:rPr>
                    <w:t>1</w:t>
                  </w:r>
                  <w:r>
                    <w:rPr>
                      <w:rFonts w:hint="default" w:ascii="Times New Roman" w:hAnsi="Times New Roman" w:cs="Times New Roman"/>
                      <w:bCs/>
                      <w:color w:val="auto"/>
                      <w:sz w:val="21"/>
                      <w:szCs w:val="21"/>
                      <w:highlight w:val="none"/>
                      <w:lang w:eastAsia="zh-CN"/>
                    </w:rPr>
                    <w:t>）</w:t>
                  </w:r>
                  <w:r>
                    <w:rPr>
                      <w:rFonts w:hint="default" w:ascii="Times New Roman" w:hAnsi="Times New Roman" w:cs="Times New Roman"/>
                      <w:bCs/>
                      <w:color w:val="auto"/>
                      <w:sz w:val="21"/>
                      <w:szCs w:val="21"/>
                      <w:highlight w:val="none"/>
                    </w:rPr>
                    <w:t>排放</w:t>
                  </w:r>
                  <w:r>
                    <w:rPr>
                      <w:rFonts w:hint="default" w:ascii="Times New Roman" w:hAnsi="Times New Roman" w:cs="Times New Roman"/>
                      <w:bCs/>
                      <w:color w:val="auto"/>
                      <w:sz w:val="21"/>
                      <w:szCs w:val="21"/>
                      <w:highlight w:val="none"/>
                      <w:lang w:eastAsia="zh-CN"/>
                    </w:rPr>
                    <w:t>。</w:t>
                  </w:r>
                </w:p>
              </w:tc>
              <w:tc>
                <w:tcPr>
                  <w:tcW w:w="418" w:type="pct"/>
                  <w:shd w:val="clear" w:color="auto" w:fill="auto"/>
                  <w:vAlign w:val="center"/>
                </w:tcPr>
                <w:p w14:paraId="2C1A974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2A648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4" w:type="pct"/>
                  <w:vMerge w:val="continue"/>
                  <w:shd w:val="clear" w:color="auto" w:fill="auto"/>
                  <w:vAlign w:val="center"/>
                </w:tcPr>
                <w:p w14:paraId="73E330F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253" w:type="pct"/>
                  <w:vMerge w:val="continue"/>
                  <w:shd w:val="clear" w:color="auto" w:fill="auto"/>
                  <w:vAlign w:val="center"/>
                </w:tcPr>
                <w:p w14:paraId="783611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1124" w:type="pct"/>
                  <w:gridSpan w:val="2"/>
                  <w:shd w:val="clear" w:color="auto" w:fill="auto"/>
                  <w:vAlign w:val="center"/>
                </w:tcPr>
                <w:p w14:paraId="20B25B6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Style w:val="49"/>
                      <w:rFonts w:hint="default" w:ascii="Times New Roman" w:hAnsi="Times New Roman" w:cs="Times New Roman"/>
                      <w:b w:val="0"/>
                      <w:bCs w:val="0"/>
                      <w:color w:val="auto"/>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实验室废气</w:t>
                  </w:r>
                </w:p>
              </w:tc>
              <w:tc>
                <w:tcPr>
                  <w:tcW w:w="2949" w:type="pct"/>
                  <w:shd w:val="clear" w:color="auto" w:fill="auto"/>
                  <w:vAlign w:val="center"/>
                </w:tcPr>
                <w:p w14:paraId="070B489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Style w:val="49"/>
                      <w:rFonts w:hint="default" w:ascii="Times New Roman" w:hAnsi="Times New Roman" w:cs="Times New Roman"/>
                      <w:b w:val="0"/>
                      <w:bCs w:val="0"/>
                      <w:color w:val="auto"/>
                      <w:sz w:val="21"/>
                      <w:szCs w:val="21"/>
                      <w:highlight w:val="none"/>
                      <w:lang w:val="en-US" w:eastAsia="zh-CN" w:bidi="ar"/>
                    </w:rPr>
                  </w:pPr>
                  <w:r>
                    <w:rPr>
                      <w:rFonts w:hint="default" w:ascii="Times New Roman" w:hAnsi="Times New Roman" w:cs="Times New Roman"/>
                      <w:color w:val="auto"/>
                      <w:sz w:val="21"/>
                      <w:szCs w:val="21"/>
                      <w:highlight w:val="none"/>
                      <w:lang w:val="en-US" w:eastAsia="zh-CN"/>
                    </w:rPr>
                    <w:t>每间化学实验室均安装2台机械排气扇；化学及生物实验室内均设置通风橱/吸风罩</w:t>
                  </w:r>
                  <w:r>
                    <w:rPr>
                      <w:rFonts w:hint="eastAsia" w:cs="Times New Roman"/>
                      <w:color w:val="auto"/>
                      <w:sz w:val="21"/>
                      <w:szCs w:val="21"/>
                      <w:highlight w:val="none"/>
                      <w:lang w:val="en-US" w:eastAsia="zh-CN"/>
                    </w:rPr>
                    <w:t>（共计3个通风橱、125个</w:t>
                  </w:r>
                  <w:r>
                    <w:rPr>
                      <w:rFonts w:hint="default" w:ascii="Times New Roman" w:hAnsi="Times New Roman" w:cs="Times New Roman"/>
                      <w:color w:val="auto"/>
                      <w:sz w:val="21"/>
                      <w:szCs w:val="21"/>
                      <w:highlight w:val="none"/>
                      <w:lang w:val="en-US" w:eastAsia="zh-CN"/>
                    </w:rPr>
                    <w:t>吸风罩</w:t>
                  </w:r>
                  <w:r>
                    <w:rPr>
                      <w:rFonts w:hint="eastAsia"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，实验室废气采用通风橱/吸风罩+通风管道+碱喷淋（配套脱水</w:t>
                  </w:r>
                  <w:r>
                    <w:rPr>
                      <w:rFonts w:hint="eastAsia" w:cs="Times New Roman"/>
                      <w:color w:val="auto"/>
                      <w:sz w:val="21"/>
                      <w:szCs w:val="21"/>
                      <w:highlight w:val="none"/>
                      <w:lang w:val="en-US" w:eastAsia="zh-CN"/>
                    </w:rPr>
                    <w:t>，1套</w:t>
                  </w:r>
                  <w:r>
                    <w:rPr>
                      <w:rFonts w:hint="default" w:ascii="Times New Roman" w:hAnsi="Times New Roman" w:cs="Times New Roman"/>
                      <w:color w:val="auto"/>
                      <w:sz w:val="21"/>
                      <w:szCs w:val="21"/>
                      <w:highlight w:val="none"/>
                      <w:lang w:val="en-US" w:eastAsia="zh-CN"/>
                    </w:rPr>
                    <w:t>）+二级活性炭吸附装置（</w:t>
                  </w:r>
                  <w:r>
                    <w:rPr>
                      <w:rFonts w:hint="eastAsia" w:cs="Times New Roman"/>
                      <w:color w:val="auto"/>
                      <w:sz w:val="21"/>
                      <w:szCs w:val="21"/>
                      <w:highlight w:val="none"/>
                      <w:lang w:val="en-US" w:eastAsia="zh-CN"/>
                    </w:rPr>
                    <w:t>1套</w:t>
                  </w:r>
                  <w:r>
                    <w:rPr>
                      <w:rFonts w:hint="default" w:ascii="Times New Roman" w:hAnsi="Times New Roman" w:cs="Times New Roman"/>
                      <w:color w:val="auto"/>
                      <w:sz w:val="21"/>
                      <w:szCs w:val="21"/>
                      <w:highlight w:val="none"/>
                      <w:lang w:val="en-US" w:eastAsia="zh-CN"/>
                    </w:rPr>
                    <w:t>）处理后，通过</w:t>
                  </w:r>
                  <w:r>
                    <w:rPr>
                      <w:rFonts w:hint="default" w:ascii="Times New Roman" w:hAnsi="Times New Roman" w:cs="Times New Roman"/>
                      <w:bCs/>
                      <w:color w:val="auto"/>
                      <w:sz w:val="21"/>
                      <w:szCs w:val="21"/>
                      <w:highlight w:val="none"/>
                    </w:rPr>
                    <w:t>高出楼顶</w:t>
                  </w:r>
                  <w:r>
                    <w:rPr>
                      <w:rFonts w:hint="default" w:ascii="Times New Roman" w:hAnsi="Times New Roman" w:cs="Times New Roman"/>
                      <w:bCs/>
                      <w:color w:val="auto"/>
                      <w:sz w:val="21"/>
                      <w:szCs w:val="21"/>
                      <w:highlight w:val="none"/>
                      <w:lang w:val="en-US" w:eastAsia="zh-CN"/>
                    </w:rPr>
                    <w:t>1</w:t>
                  </w:r>
                  <w:r>
                    <w:rPr>
                      <w:rFonts w:hint="default" w:ascii="Times New Roman" w:hAnsi="Times New Roman" w:cs="Times New Roman"/>
                      <w:bCs/>
                      <w:color w:val="auto"/>
                      <w:sz w:val="21"/>
                      <w:szCs w:val="21"/>
                      <w:highlight w:val="none"/>
                    </w:rPr>
                    <w:t>m排气筒</w:t>
                  </w:r>
                  <w:r>
                    <w:rPr>
                      <w:rFonts w:hint="default" w:ascii="Times New Roman" w:hAnsi="Times New Roman" w:cs="Times New Roman"/>
                      <w:bCs/>
                      <w:color w:val="auto"/>
                      <w:sz w:val="21"/>
                      <w:szCs w:val="21"/>
                      <w:highlight w:val="none"/>
                      <w:lang w:eastAsia="zh-CN"/>
                    </w:rPr>
                    <w:t>（</w:t>
                  </w:r>
                  <w:r>
                    <w:rPr>
                      <w:rFonts w:hint="default" w:ascii="Times New Roman" w:hAnsi="Times New Roman" w:cs="Times New Roman"/>
                      <w:bCs/>
                      <w:color w:val="auto"/>
                      <w:sz w:val="21"/>
                      <w:szCs w:val="21"/>
                      <w:highlight w:val="none"/>
                    </w:rPr>
                    <w:t>DA00</w:t>
                  </w:r>
                  <w:r>
                    <w:rPr>
                      <w:rFonts w:hint="default" w:ascii="Times New Roman" w:hAnsi="Times New Roman" w:cs="Times New Roman"/>
                      <w:bCs/>
                      <w:color w:val="auto"/>
                      <w:sz w:val="21"/>
                      <w:szCs w:val="21"/>
                      <w:highlight w:val="none"/>
                      <w:lang w:val="en-US" w:eastAsia="zh-CN"/>
                    </w:rPr>
                    <w:t>2</w:t>
                  </w:r>
                  <w:r>
                    <w:rPr>
                      <w:rFonts w:hint="default" w:ascii="Times New Roman" w:hAnsi="Times New Roman" w:cs="Times New Roman"/>
                      <w:bCs/>
                      <w:color w:val="auto"/>
                      <w:sz w:val="21"/>
                      <w:szCs w:val="21"/>
                      <w:highlight w:val="none"/>
                    </w:rPr>
                    <w:t>，距地面高度</w:t>
                  </w:r>
                  <w:r>
                    <w:rPr>
                      <w:rFonts w:hint="eastAsia" w:ascii="Times New Roman" w:hAnsi="Times New Roman" w:cs="Times New Roman"/>
                      <w:bCs/>
                      <w:color w:val="auto"/>
                      <w:sz w:val="21"/>
                      <w:szCs w:val="21"/>
                      <w:highlight w:val="none"/>
                      <w:lang w:val="en-US" w:eastAsia="zh-CN"/>
                    </w:rPr>
                    <w:t>23</w:t>
                  </w:r>
                  <w:r>
                    <w:rPr>
                      <w:rFonts w:hint="default" w:ascii="Times New Roman" w:hAnsi="Times New Roman" w:cs="Times New Roman"/>
                      <w:bCs/>
                      <w:color w:val="auto"/>
                      <w:sz w:val="21"/>
                      <w:szCs w:val="21"/>
                      <w:highlight w:val="none"/>
                    </w:rPr>
                    <w:t>m</w:t>
                  </w:r>
                  <w:r>
                    <w:rPr>
                      <w:rFonts w:hint="default" w:ascii="Times New Roman" w:hAnsi="Times New Roman" w:cs="Times New Roman"/>
                      <w:bCs/>
                      <w:color w:val="auto"/>
                      <w:sz w:val="21"/>
                      <w:szCs w:val="21"/>
                      <w:highlight w:val="none"/>
                      <w:lang w:eastAsia="zh-CN"/>
                    </w:rPr>
                    <w:t>）（</w:t>
                  </w:r>
                  <w:r>
                    <w:rPr>
                      <w:rFonts w:hint="default" w:ascii="Times New Roman" w:hAnsi="Times New Roman" w:cs="Times New Roman"/>
                      <w:bCs/>
                      <w:color w:val="auto"/>
                      <w:sz w:val="21"/>
                      <w:szCs w:val="21"/>
                      <w:highlight w:val="none"/>
                    </w:rPr>
                    <w:t>建筑高度</w:t>
                  </w:r>
                  <w:r>
                    <w:rPr>
                      <w:rFonts w:hint="eastAsia" w:ascii="Times New Roman" w:hAnsi="Times New Roman" w:cs="Times New Roman"/>
                      <w:bCs/>
                      <w:color w:val="auto"/>
                      <w:sz w:val="21"/>
                      <w:szCs w:val="21"/>
                      <w:highlight w:val="none"/>
                      <w:lang w:val="en-US" w:eastAsia="zh-CN"/>
                    </w:rPr>
                    <w:t>22</w:t>
                  </w:r>
                  <w:r>
                    <w:rPr>
                      <w:rFonts w:hint="default" w:ascii="Times New Roman" w:hAnsi="Times New Roman" w:cs="Times New Roman"/>
                      <w:bCs/>
                      <w:color w:val="auto"/>
                      <w:sz w:val="21"/>
                      <w:szCs w:val="21"/>
                      <w:highlight w:val="none"/>
                    </w:rPr>
                    <w:t>m</w:t>
                  </w:r>
                  <w:r>
                    <w:rPr>
                      <w:rFonts w:hint="default" w:ascii="Times New Roman" w:hAnsi="Times New Roman" w:cs="Times New Roman"/>
                      <w:bCs/>
                      <w:color w:val="auto"/>
                      <w:sz w:val="21"/>
                      <w:szCs w:val="21"/>
                      <w:highlight w:val="none"/>
                      <w:lang w:eastAsia="zh-CN"/>
                    </w:rPr>
                    <w:t>）</w:t>
                  </w:r>
                  <w:r>
                    <w:rPr>
                      <w:rFonts w:hint="default" w:ascii="Times New Roman" w:hAnsi="Times New Roman" w:cs="Times New Roman"/>
                      <w:bCs/>
                      <w:color w:val="auto"/>
                      <w:sz w:val="21"/>
                      <w:szCs w:val="21"/>
                      <w:highlight w:val="none"/>
                    </w:rPr>
                    <w:t>排放</w:t>
                  </w:r>
                  <w:r>
                    <w:rPr>
                      <w:rFonts w:hint="default" w:ascii="Times New Roman" w:hAnsi="Times New Roman" w:cs="Times New Roman"/>
                      <w:bCs/>
                      <w:color w:val="auto"/>
                      <w:sz w:val="21"/>
                      <w:szCs w:val="21"/>
                      <w:highlight w:val="none"/>
                      <w:lang w:eastAsia="zh-CN"/>
                    </w:rPr>
                    <w:t>。</w:t>
                  </w:r>
                </w:p>
              </w:tc>
              <w:tc>
                <w:tcPr>
                  <w:tcW w:w="418" w:type="pct"/>
                  <w:shd w:val="clear" w:color="auto" w:fill="auto"/>
                  <w:vAlign w:val="center"/>
                </w:tcPr>
                <w:p w14:paraId="504F44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38415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4" w:type="pct"/>
                  <w:vMerge w:val="continue"/>
                  <w:shd w:val="clear" w:color="auto" w:fill="auto"/>
                  <w:vAlign w:val="center"/>
                </w:tcPr>
                <w:p w14:paraId="5BBA1E4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253" w:type="pct"/>
                  <w:vMerge w:val="restart"/>
                  <w:shd w:val="clear" w:color="auto" w:fill="auto"/>
                  <w:vAlign w:val="center"/>
                </w:tcPr>
                <w:p w14:paraId="0EE30C4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废水</w:t>
                  </w:r>
                </w:p>
              </w:tc>
              <w:tc>
                <w:tcPr>
                  <w:tcW w:w="1124" w:type="pct"/>
                  <w:gridSpan w:val="2"/>
                  <w:shd w:val="clear" w:color="auto" w:fill="auto"/>
                  <w:vAlign w:val="center"/>
                </w:tcPr>
                <w:p w14:paraId="2C2E229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生活污水</w:t>
                  </w:r>
                </w:p>
              </w:tc>
              <w:tc>
                <w:tcPr>
                  <w:tcW w:w="2949" w:type="pct"/>
                  <w:shd w:val="clear" w:color="auto" w:fill="auto"/>
                  <w:vAlign w:val="center"/>
                </w:tcPr>
                <w:p w14:paraId="1FC0B63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Style w:val="49"/>
                      <w:rFonts w:hint="default" w:ascii="Times New Roman" w:hAnsi="Times New Roman" w:cs="Times New Roman"/>
                      <w:b w:val="0"/>
                      <w:bCs w:val="0"/>
                      <w:color w:val="auto"/>
                      <w:sz w:val="21"/>
                      <w:szCs w:val="21"/>
                      <w:highlight w:val="none"/>
                      <w:lang w:val="en-US" w:eastAsia="zh-CN" w:bidi="ar"/>
                    </w:rPr>
                  </w:pPr>
                  <w:r>
                    <w:rPr>
                      <w:rFonts w:hint="default" w:ascii="Times New Roman" w:hAnsi="Times New Roman" w:cs="Times New Roman"/>
                      <w:b w:val="0"/>
                      <w:bCs/>
                      <w:color w:val="auto"/>
                      <w:sz w:val="21"/>
                      <w:szCs w:val="21"/>
                      <w:highlight w:val="none"/>
                      <w:u w:val="none"/>
                      <w:lang w:val="en-US" w:eastAsia="zh-CN"/>
                    </w:rPr>
                    <w:t>经化粪池处理后通过校区总排口排入市政污水管网</w:t>
                  </w:r>
                  <w:r>
                    <w:rPr>
                      <w:rFonts w:hint="eastAsia" w:ascii="Times New Roman" w:hAnsi="Times New Roman" w:cs="Times New Roman"/>
                      <w:b w:val="0"/>
                      <w:bCs/>
                      <w:color w:val="auto"/>
                      <w:sz w:val="21"/>
                      <w:szCs w:val="21"/>
                      <w:highlight w:val="none"/>
                      <w:u w:val="none"/>
                      <w:lang w:val="en-US" w:eastAsia="zh-CN"/>
                    </w:rPr>
                    <w:t>。</w:t>
                  </w:r>
                </w:p>
              </w:tc>
              <w:tc>
                <w:tcPr>
                  <w:tcW w:w="418" w:type="pct"/>
                  <w:shd w:val="clear" w:color="auto" w:fill="auto"/>
                  <w:vAlign w:val="center"/>
                </w:tcPr>
                <w:p w14:paraId="0E5691D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00FEF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7" w:hRule="atLeast"/>
                <w:jc w:val="center"/>
              </w:trPr>
              <w:tc>
                <w:tcPr>
                  <w:tcW w:w="254" w:type="pct"/>
                  <w:vMerge w:val="continue"/>
                  <w:shd w:val="clear" w:color="auto" w:fill="auto"/>
                  <w:vAlign w:val="center"/>
                </w:tcPr>
                <w:p w14:paraId="0B3D814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253" w:type="pct"/>
                  <w:vMerge w:val="continue"/>
                  <w:shd w:val="clear" w:color="auto" w:fill="auto"/>
                  <w:vAlign w:val="center"/>
                </w:tcPr>
                <w:p w14:paraId="0116E00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1124" w:type="pct"/>
                  <w:gridSpan w:val="2"/>
                  <w:shd w:val="clear" w:color="auto" w:fill="auto"/>
                  <w:vAlign w:val="center"/>
                </w:tcPr>
                <w:p w14:paraId="7A389C5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食堂废水</w:t>
                  </w:r>
                </w:p>
              </w:tc>
              <w:tc>
                <w:tcPr>
                  <w:tcW w:w="2949" w:type="pct"/>
                  <w:shd w:val="clear" w:color="auto" w:fill="auto"/>
                  <w:vAlign w:val="center"/>
                </w:tcPr>
                <w:p w14:paraId="75828F1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Style w:val="49"/>
                      <w:rFonts w:hint="default" w:ascii="Times New Roman" w:hAnsi="Times New Roman" w:cs="Times New Roman"/>
                      <w:b w:val="0"/>
                      <w:bCs w:val="0"/>
                      <w:color w:val="auto"/>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隔油池总容积3m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，食堂废水经隔油池预处理后进入化粪池最后由学校总排口排入市政污水管网。</w:t>
                  </w:r>
                </w:p>
              </w:tc>
              <w:tc>
                <w:tcPr>
                  <w:tcW w:w="418" w:type="pct"/>
                  <w:shd w:val="clear" w:color="auto" w:fill="auto"/>
                  <w:vAlign w:val="center"/>
                </w:tcPr>
                <w:p w14:paraId="2B561C2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099E0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54" w:type="pct"/>
                  <w:vMerge w:val="continue"/>
                  <w:shd w:val="clear" w:color="auto" w:fill="auto"/>
                  <w:vAlign w:val="center"/>
                </w:tcPr>
                <w:p w14:paraId="5059F2A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rPr>
                  </w:pPr>
                </w:p>
              </w:tc>
              <w:tc>
                <w:tcPr>
                  <w:tcW w:w="253" w:type="pct"/>
                  <w:vMerge w:val="continue"/>
                  <w:shd w:val="clear" w:color="auto" w:fill="auto"/>
                  <w:vAlign w:val="center"/>
                </w:tcPr>
                <w:p w14:paraId="394E507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rPr>
                  </w:pPr>
                </w:p>
              </w:tc>
              <w:tc>
                <w:tcPr>
                  <w:tcW w:w="1124" w:type="pct"/>
                  <w:gridSpan w:val="2"/>
                  <w:shd w:val="clear" w:color="auto" w:fill="auto"/>
                  <w:vAlign w:val="center"/>
                </w:tcPr>
                <w:p w14:paraId="2F6D11C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eastAsia" w:cs="Times New Roman"/>
                      <w:b w:val="0"/>
                      <w:bCs w:val="0"/>
                      <w:color w:val="auto"/>
                      <w:sz w:val="21"/>
                      <w:szCs w:val="21"/>
                      <w:highlight w:val="none"/>
                      <w:lang w:val="en-US" w:eastAsia="zh-CN" w:bidi="ar"/>
                    </w:rPr>
                    <w:t>实验室</w:t>
                  </w:r>
                  <w:r>
                    <w:rPr>
                      <w:rStyle w:val="49"/>
                      <w:rFonts w:hint="default" w:ascii="Times New Roman" w:hAnsi="Times New Roman" w:cs="Times New Roman"/>
                      <w:b w:val="0"/>
                      <w:bCs w:val="0"/>
                      <w:color w:val="auto"/>
                      <w:sz w:val="21"/>
                      <w:szCs w:val="21"/>
                      <w:highlight w:val="none"/>
                      <w:lang w:val="en-US" w:eastAsia="zh-CN" w:bidi="ar"/>
                    </w:rPr>
                    <w:t>废水</w:t>
                  </w:r>
                </w:p>
              </w:tc>
              <w:tc>
                <w:tcPr>
                  <w:tcW w:w="2949" w:type="pct"/>
                  <w:vMerge w:val="restart"/>
                  <w:shd w:val="clear" w:color="auto" w:fill="auto"/>
                  <w:vAlign w:val="center"/>
                </w:tcPr>
                <w:p w14:paraId="4AF4B94E">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rPr>
                      <w:rStyle w:val="49"/>
                      <w:rFonts w:hint="default" w:ascii="Times New Roman" w:hAnsi="Times New Roman" w:cs="Times New Roman"/>
                      <w:b w:val="0"/>
                      <w:bCs w:val="0"/>
                      <w:color w:val="auto"/>
                      <w:sz w:val="21"/>
                      <w:szCs w:val="21"/>
                      <w:highlight w:val="none"/>
                      <w:lang w:val="en-US" w:eastAsia="zh-CN" w:bidi="ar"/>
                    </w:rPr>
                  </w:pPr>
                  <w:r>
                    <w:rPr>
                      <w:rFonts w:hint="default" w:ascii="Times New Roman" w:hAnsi="Times New Roman" w:cs="Times New Roman"/>
                      <w:color w:val="auto"/>
                      <w:sz w:val="21"/>
                      <w:szCs w:val="21"/>
                      <w:highlight w:val="none"/>
                      <w:u w:val="none"/>
                      <w:lang w:eastAsia="zh-CN"/>
                    </w:rPr>
                    <w:t>化学</w:t>
                  </w:r>
                  <w:r>
                    <w:rPr>
                      <w:rFonts w:hint="default" w:ascii="Times New Roman" w:hAnsi="Times New Roman" w:cs="Times New Roman"/>
                      <w:color w:val="auto"/>
                      <w:sz w:val="21"/>
                      <w:szCs w:val="21"/>
                      <w:highlight w:val="none"/>
                      <w:u w:val="none"/>
                      <w:lang w:val="en-US" w:eastAsia="zh-CN"/>
                    </w:rPr>
                    <w:t>及生物</w:t>
                  </w:r>
                  <w:r>
                    <w:rPr>
                      <w:rFonts w:hint="default" w:ascii="Times New Roman" w:hAnsi="Times New Roman" w:cs="Times New Roman"/>
                      <w:color w:val="auto"/>
                      <w:sz w:val="21"/>
                      <w:szCs w:val="21"/>
                      <w:highlight w:val="none"/>
                      <w:u w:val="none"/>
                      <w:lang w:eastAsia="zh-CN"/>
                    </w:rPr>
                    <w:t>实验室废水单独设置排水系统，收集至室外酸碱中和池（</w:t>
                  </w:r>
                  <w:r>
                    <w:rPr>
                      <w:rFonts w:hint="default" w:ascii="Times New Roman" w:hAnsi="Times New Roman" w:cs="Times New Roman"/>
                      <w:color w:val="auto"/>
                      <w:sz w:val="21"/>
                      <w:szCs w:val="21"/>
                      <w:highlight w:val="none"/>
                      <w:u w:val="none"/>
                      <w:lang w:val="en-US" w:eastAsia="zh-CN"/>
                    </w:rPr>
                    <w:t>1</w:t>
                  </w:r>
                  <w:r>
                    <w:rPr>
                      <w:rFonts w:hint="default" w:ascii="Times New Roman" w:hAnsi="Times New Roman" w:eastAsia="宋体" w:cs="Times New Roman"/>
                      <w:color w:val="auto"/>
                      <w:kern w:val="0"/>
                      <w:sz w:val="21"/>
                      <w:szCs w:val="21"/>
                      <w:highlight w:val="none"/>
                      <w:lang w:val="en-US" w:eastAsia="zh-CN" w:bidi="ar"/>
                    </w:rPr>
                    <w:t>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cs="Times New Roman"/>
                      <w:color w:val="auto"/>
                      <w:sz w:val="21"/>
                      <w:szCs w:val="21"/>
                      <w:highlight w:val="none"/>
                      <w:u w:val="none"/>
                      <w:lang w:eastAsia="zh-CN"/>
                    </w:rPr>
                    <w:t>）调节后进入化粪池处理通过校区</w:t>
                  </w:r>
                  <w:r>
                    <w:rPr>
                      <w:rFonts w:hint="default" w:ascii="Times New Roman" w:hAnsi="Times New Roman" w:eastAsia="宋体" w:cs="Times New Roman"/>
                      <w:color w:val="auto"/>
                      <w:kern w:val="0"/>
                      <w:sz w:val="21"/>
                      <w:szCs w:val="21"/>
                      <w:highlight w:val="none"/>
                      <w:lang w:val="en-US" w:eastAsia="zh-CN" w:bidi="ar"/>
                    </w:rPr>
                    <w:t>总排口排入市政污水管网</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rPr>
                    <w:t>碱喷淋装置废水</w:t>
                  </w:r>
                  <w:r>
                    <w:rPr>
                      <w:rFonts w:hint="eastAsia" w:ascii="Times New Roman" w:hAnsi="Times New Roman" w:cs="Times New Roman"/>
                      <w:color w:val="auto"/>
                      <w:sz w:val="21"/>
                      <w:szCs w:val="21"/>
                      <w:highlight w:val="none"/>
                      <w:lang w:val="en-US" w:eastAsia="zh-CN"/>
                    </w:rPr>
                    <w:t>经</w:t>
                  </w:r>
                  <w:r>
                    <w:rPr>
                      <w:rFonts w:hint="default" w:ascii="Times New Roman" w:hAnsi="Times New Roman" w:eastAsia="宋体" w:cs="Times New Roman"/>
                      <w:color w:val="auto"/>
                      <w:kern w:val="0"/>
                      <w:sz w:val="21"/>
                      <w:szCs w:val="21"/>
                      <w:highlight w:val="none"/>
                      <w:lang w:val="en-US" w:eastAsia="zh-CN" w:bidi="ar"/>
                    </w:rPr>
                    <w:t>酸碱中和池处理后进入化粪池处理，通过校区总排口排入市政污水管网。</w:t>
                  </w:r>
                </w:p>
              </w:tc>
              <w:tc>
                <w:tcPr>
                  <w:tcW w:w="418" w:type="pct"/>
                  <w:vMerge w:val="restart"/>
                  <w:shd w:val="clear" w:color="auto" w:fill="auto"/>
                  <w:vAlign w:val="center"/>
                </w:tcPr>
                <w:p w14:paraId="397C51D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3F269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7" w:hRule="atLeast"/>
                <w:jc w:val="center"/>
              </w:trPr>
              <w:tc>
                <w:tcPr>
                  <w:tcW w:w="254" w:type="pct"/>
                  <w:vMerge w:val="continue"/>
                  <w:shd w:val="clear" w:color="auto" w:fill="auto"/>
                  <w:vAlign w:val="center"/>
                </w:tcPr>
                <w:p w14:paraId="0C7F3D6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highlight w:val="none"/>
                    </w:rPr>
                  </w:pPr>
                </w:p>
              </w:tc>
              <w:tc>
                <w:tcPr>
                  <w:tcW w:w="253" w:type="pct"/>
                  <w:vMerge w:val="continue"/>
                  <w:shd w:val="clear" w:color="auto" w:fill="auto"/>
                  <w:vAlign w:val="center"/>
                </w:tcPr>
                <w:p w14:paraId="7AEC231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highlight w:val="none"/>
                    </w:rPr>
                  </w:pPr>
                </w:p>
              </w:tc>
              <w:tc>
                <w:tcPr>
                  <w:tcW w:w="1124" w:type="pct"/>
                  <w:gridSpan w:val="2"/>
                  <w:shd w:val="clear" w:color="auto" w:fill="auto"/>
                  <w:vAlign w:val="center"/>
                </w:tcPr>
                <w:p w14:paraId="407E81E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eastAsia" w:cs="Times New Roman"/>
                      <w:b w:val="0"/>
                      <w:bCs w:val="0"/>
                      <w:color w:val="auto"/>
                      <w:sz w:val="21"/>
                      <w:szCs w:val="21"/>
                      <w:highlight w:val="none"/>
                      <w:lang w:val="en-US" w:eastAsia="zh-CN" w:bidi="ar"/>
                    </w:rPr>
                    <w:t>碱喷淋废水</w:t>
                  </w:r>
                </w:p>
              </w:tc>
              <w:tc>
                <w:tcPr>
                  <w:tcW w:w="2949" w:type="pct"/>
                  <w:vMerge w:val="continue"/>
                  <w:shd w:val="clear" w:color="auto" w:fill="auto"/>
                  <w:vAlign w:val="center"/>
                </w:tcPr>
                <w:p w14:paraId="1031289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418" w:type="pct"/>
                  <w:vMerge w:val="continue"/>
                  <w:shd w:val="clear" w:color="auto" w:fill="auto"/>
                  <w:vAlign w:val="center"/>
                </w:tcPr>
                <w:p w14:paraId="542C650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r>
            <w:tr w14:paraId="630E1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7" w:hRule="atLeast"/>
                <w:jc w:val="center"/>
              </w:trPr>
              <w:tc>
                <w:tcPr>
                  <w:tcW w:w="254" w:type="pct"/>
                  <w:vMerge w:val="continue"/>
                  <w:shd w:val="clear" w:color="auto" w:fill="auto"/>
                  <w:vAlign w:val="center"/>
                </w:tcPr>
                <w:p w14:paraId="44768A3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253" w:type="pct"/>
                  <w:vMerge w:val="restart"/>
                  <w:shd w:val="clear" w:color="auto" w:fill="auto"/>
                  <w:vAlign w:val="center"/>
                </w:tcPr>
                <w:p w14:paraId="653980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噪声</w:t>
                  </w:r>
                </w:p>
              </w:tc>
              <w:tc>
                <w:tcPr>
                  <w:tcW w:w="1124" w:type="pct"/>
                  <w:gridSpan w:val="2"/>
                  <w:shd w:val="clear" w:color="auto" w:fill="auto"/>
                  <w:vAlign w:val="center"/>
                </w:tcPr>
                <w:p w14:paraId="08F675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eastAsia="宋体" w:cs="Times New Roman"/>
                      <w:b w:val="0"/>
                      <w:bCs w:val="0"/>
                      <w:color w:val="auto"/>
                      <w:sz w:val="21"/>
                      <w:szCs w:val="21"/>
                      <w:highlight w:val="none"/>
                      <w:lang w:val="en-US" w:eastAsia="zh-CN" w:bidi="ar"/>
                    </w:rPr>
                  </w:pPr>
                  <w:r>
                    <w:rPr>
                      <w:rStyle w:val="49"/>
                      <w:rFonts w:hint="default" w:ascii="Times New Roman" w:hAnsi="Times New Roman" w:eastAsia="宋体" w:cs="Times New Roman"/>
                      <w:b w:val="0"/>
                      <w:bCs w:val="0"/>
                      <w:color w:val="auto"/>
                      <w:sz w:val="21"/>
                      <w:szCs w:val="21"/>
                      <w:highlight w:val="none"/>
                      <w:lang w:val="en-US" w:eastAsia="zh-CN" w:bidi="ar"/>
                    </w:rPr>
                    <w:t>设备噪声</w:t>
                  </w:r>
                </w:p>
              </w:tc>
              <w:tc>
                <w:tcPr>
                  <w:tcW w:w="2949" w:type="pct"/>
                  <w:shd w:val="clear" w:color="auto" w:fill="auto"/>
                  <w:vAlign w:val="center"/>
                </w:tcPr>
                <w:p w14:paraId="76FB00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eastAsia="宋体" w:cs="Times New Roman"/>
                      <w:b w:val="0"/>
                      <w:bCs w:val="0"/>
                      <w:color w:val="auto"/>
                      <w:sz w:val="21"/>
                      <w:szCs w:val="21"/>
                      <w:highlight w:val="none"/>
                      <w:lang w:val="en-US" w:eastAsia="zh-CN" w:bidi="ar"/>
                    </w:rPr>
                  </w:pPr>
                  <w:r>
                    <w:rPr>
                      <w:rStyle w:val="49"/>
                      <w:rFonts w:hint="default" w:ascii="Times New Roman" w:hAnsi="Times New Roman" w:eastAsia="宋体" w:cs="Times New Roman"/>
                      <w:b w:val="0"/>
                      <w:bCs w:val="0"/>
                      <w:color w:val="auto"/>
                      <w:sz w:val="21"/>
                      <w:szCs w:val="21"/>
                      <w:highlight w:val="none"/>
                      <w:lang w:val="en-US" w:eastAsia="zh-CN" w:bidi="ar"/>
                    </w:rPr>
                    <w:t>选用低噪声设备，设置基础减振，采取消声、隔声措施等。</w:t>
                  </w:r>
                </w:p>
              </w:tc>
              <w:tc>
                <w:tcPr>
                  <w:tcW w:w="418" w:type="pct"/>
                  <w:shd w:val="clear" w:color="auto" w:fill="auto"/>
                  <w:vAlign w:val="center"/>
                </w:tcPr>
                <w:p w14:paraId="223DE9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07CD2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54" w:type="pct"/>
                  <w:vMerge w:val="continue"/>
                  <w:shd w:val="clear" w:color="auto" w:fill="auto"/>
                  <w:vAlign w:val="center"/>
                </w:tcPr>
                <w:p w14:paraId="2455BE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highlight w:val="none"/>
                    </w:rPr>
                  </w:pPr>
                </w:p>
              </w:tc>
              <w:tc>
                <w:tcPr>
                  <w:tcW w:w="253" w:type="pct"/>
                  <w:vMerge w:val="continue"/>
                  <w:shd w:val="clear" w:color="auto" w:fill="auto"/>
                  <w:vAlign w:val="center"/>
                </w:tcPr>
                <w:p w14:paraId="0E34D90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highlight w:val="none"/>
                    </w:rPr>
                  </w:pPr>
                </w:p>
              </w:tc>
              <w:tc>
                <w:tcPr>
                  <w:tcW w:w="1124" w:type="pct"/>
                  <w:gridSpan w:val="2"/>
                  <w:shd w:val="clear" w:color="auto" w:fill="auto"/>
                  <w:vAlign w:val="center"/>
                </w:tcPr>
                <w:p w14:paraId="4B80430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eastAsia="宋体" w:cs="Times New Roman"/>
                      <w:b w:val="0"/>
                      <w:bCs w:val="0"/>
                      <w:color w:val="auto"/>
                      <w:sz w:val="21"/>
                      <w:szCs w:val="21"/>
                      <w:highlight w:val="none"/>
                      <w:lang w:val="en-US" w:eastAsia="zh-CN" w:bidi="ar"/>
                    </w:rPr>
                  </w:pPr>
                  <w:r>
                    <w:rPr>
                      <w:rStyle w:val="49"/>
                      <w:rFonts w:hint="default" w:ascii="Times New Roman" w:hAnsi="Times New Roman" w:eastAsia="宋体" w:cs="Times New Roman"/>
                      <w:b w:val="0"/>
                      <w:bCs w:val="0"/>
                      <w:color w:val="auto"/>
                      <w:sz w:val="21"/>
                      <w:szCs w:val="21"/>
                      <w:highlight w:val="none"/>
                      <w:lang w:val="en-US" w:eastAsia="zh-CN" w:bidi="ar"/>
                    </w:rPr>
                    <w:t>车辆进出交通噪声</w:t>
                  </w:r>
                </w:p>
              </w:tc>
              <w:tc>
                <w:tcPr>
                  <w:tcW w:w="2949" w:type="pct"/>
                  <w:shd w:val="clear" w:color="auto" w:fill="auto"/>
                  <w:vAlign w:val="center"/>
                </w:tcPr>
                <w:p w14:paraId="4660761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eastAsia="宋体" w:cs="Times New Roman"/>
                      <w:b w:val="0"/>
                      <w:bCs w:val="0"/>
                      <w:color w:val="auto"/>
                      <w:sz w:val="21"/>
                      <w:szCs w:val="21"/>
                      <w:highlight w:val="none"/>
                      <w:lang w:val="en-US" w:eastAsia="zh-CN" w:bidi="ar"/>
                    </w:rPr>
                  </w:pPr>
                  <w:r>
                    <w:rPr>
                      <w:rStyle w:val="49"/>
                      <w:rFonts w:hint="default" w:ascii="Times New Roman" w:hAnsi="Times New Roman" w:eastAsia="宋体" w:cs="Times New Roman"/>
                      <w:b w:val="0"/>
                      <w:bCs w:val="0"/>
                      <w:color w:val="auto"/>
                      <w:sz w:val="21"/>
                      <w:szCs w:val="21"/>
                      <w:highlight w:val="none"/>
                      <w:lang w:val="en-US" w:eastAsia="zh-CN" w:bidi="ar"/>
                    </w:rPr>
                    <w:t>设置限速和禁鸣标志等，沿道路周围设置绿化带。</w:t>
                  </w:r>
                </w:p>
              </w:tc>
              <w:tc>
                <w:tcPr>
                  <w:tcW w:w="418" w:type="pct"/>
                  <w:shd w:val="clear" w:color="auto" w:fill="auto"/>
                  <w:vAlign w:val="center"/>
                </w:tcPr>
                <w:p w14:paraId="2B60EF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22D9F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4" w:type="pct"/>
                  <w:vMerge w:val="continue"/>
                  <w:shd w:val="clear" w:color="auto" w:fill="auto"/>
                  <w:vAlign w:val="center"/>
                </w:tcPr>
                <w:p w14:paraId="5C9D97F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253" w:type="pct"/>
                  <w:vMerge w:val="restart"/>
                  <w:shd w:val="clear" w:color="auto" w:fill="auto"/>
                  <w:vAlign w:val="center"/>
                </w:tcPr>
                <w:p w14:paraId="5B2F1AD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固废</w:t>
                  </w:r>
                </w:p>
              </w:tc>
              <w:tc>
                <w:tcPr>
                  <w:tcW w:w="415" w:type="pct"/>
                  <w:vMerge w:val="restart"/>
                  <w:shd w:val="clear" w:color="auto" w:fill="auto"/>
                  <w:vAlign w:val="center"/>
                </w:tcPr>
                <w:p w14:paraId="7FBD977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eastAsia" w:ascii="Times New Roman" w:hAnsi="Times New Roman" w:cs="Times New Roman"/>
                      <w:b w:val="0"/>
                      <w:bCs w:val="0"/>
                      <w:color w:val="auto"/>
                      <w:sz w:val="21"/>
                      <w:szCs w:val="21"/>
                      <w:highlight w:val="none"/>
                      <w:lang w:val="en-US" w:eastAsia="zh-CN" w:bidi="ar"/>
                    </w:rPr>
                    <w:t>一般固体废物</w:t>
                  </w:r>
                </w:p>
              </w:tc>
              <w:tc>
                <w:tcPr>
                  <w:tcW w:w="709" w:type="pct"/>
                  <w:shd w:val="clear" w:color="auto" w:fill="auto"/>
                  <w:vAlign w:val="center"/>
                </w:tcPr>
                <w:p w14:paraId="16A2A74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4"/>
                      <w:szCs w:val="21"/>
                      <w:highlight w:val="none"/>
                      <w:lang w:val="en-US" w:eastAsia="zh-CN" w:bidi="ar-SA"/>
                    </w:rPr>
                  </w:pPr>
                  <w:r>
                    <w:rPr>
                      <w:rFonts w:hint="default" w:ascii="Times New Roman" w:hAnsi="Times New Roman" w:cs="Times New Roman"/>
                      <w:color w:val="auto"/>
                      <w:sz w:val="21"/>
                      <w:szCs w:val="21"/>
                      <w:highlight w:val="none"/>
                      <w:u w:val="none"/>
                      <w:lang w:val="en-US" w:eastAsia="zh-CN"/>
                    </w:rPr>
                    <w:t>餐厨垃圾</w:t>
                  </w:r>
                </w:p>
              </w:tc>
              <w:tc>
                <w:tcPr>
                  <w:tcW w:w="2949" w:type="pct"/>
                  <w:vMerge w:val="restart"/>
                  <w:shd w:val="clear" w:color="auto" w:fill="auto"/>
                  <w:vAlign w:val="center"/>
                </w:tcPr>
                <w:p w14:paraId="13867A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eastAsia" w:cs="Times New Roman"/>
                      <w:b w:val="0"/>
                      <w:bCs w:val="0"/>
                      <w:color w:val="auto"/>
                      <w:sz w:val="21"/>
                      <w:szCs w:val="21"/>
                      <w:highlight w:val="none"/>
                      <w:lang w:val="en-US" w:eastAsia="zh-CN" w:bidi="ar"/>
                    </w:rPr>
                    <w:t>经垃圾分类后由环卫部门统一处置。</w:t>
                  </w:r>
                </w:p>
              </w:tc>
              <w:tc>
                <w:tcPr>
                  <w:tcW w:w="418" w:type="pct"/>
                  <w:vMerge w:val="restart"/>
                  <w:shd w:val="clear" w:color="auto" w:fill="auto"/>
                  <w:vAlign w:val="center"/>
                </w:tcPr>
                <w:p w14:paraId="2FB6D2E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6A808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8" w:hRule="atLeast"/>
                <w:jc w:val="center"/>
              </w:trPr>
              <w:tc>
                <w:tcPr>
                  <w:tcW w:w="254" w:type="pct"/>
                  <w:vMerge w:val="continue"/>
                  <w:shd w:val="clear" w:color="auto" w:fill="auto"/>
                  <w:vAlign w:val="center"/>
                </w:tcPr>
                <w:p w14:paraId="33675C9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253" w:type="pct"/>
                  <w:vMerge w:val="continue"/>
                  <w:shd w:val="clear" w:color="auto" w:fill="auto"/>
                  <w:vAlign w:val="center"/>
                </w:tcPr>
                <w:p w14:paraId="10EA796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415" w:type="pct"/>
                  <w:vMerge w:val="continue"/>
                  <w:shd w:val="clear" w:color="auto" w:fill="auto"/>
                  <w:vAlign w:val="center"/>
                </w:tcPr>
                <w:p w14:paraId="78DAC70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709" w:type="pct"/>
                  <w:shd w:val="clear" w:color="auto" w:fill="auto"/>
                  <w:vAlign w:val="center"/>
                </w:tcPr>
                <w:p w14:paraId="7944940F">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仿宋" w:cs="Times New Roman"/>
                      <w:color w:val="auto"/>
                      <w:kern w:val="2"/>
                      <w:sz w:val="24"/>
                      <w:szCs w:val="24"/>
                      <w:highlight w:val="none"/>
                      <w:lang w:val="en-US" w:eastAsia="zh-CN" w:bidi="zh-CN"/>
                    </w:rPr>
                  </w:pPr>
                  <w:r>
                    <w:rPr>
                      <w:rFonts w:hint="default" w:ascii="Times New Roman" w:hAnsi="Times New Roman" w:eastAsia="宋体" w:cs="Times New Roman"/>
                      <w:bCs/>
                      <w:color w:val="auto"/>
                      <w:spacing w:val="0"/>
                      <w:w w:val="100"/>
                      <w:position w:val="0"/>
                      <w:sz w:val="21"/>
                      <w:szCs w:val="21"/>
                      <w:highlight w:val="none"/>
                      <w:u w:val="none"/>
                      <w:lang w:val="en-US" w:eastAsia="zh-CN"/>
                    </w:rPr>
                    <w:t>隔油池废油脂</w:t>
                  </w:r>
                </w:p>
              </w:tc>
              <w:tc>
                <w:tcPr>
                  <w:tcW w:w="2949" w:type="pct"/>
                  <w:vMerge w:val="continue"/>
                  <w:shd w:val="clear" w:color="auto" w:fill="auto"/>
                  <w:vAlign w:val="center"/>
                </w:tcPr>
                <w:p w14:paraId="3AD681B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418" w:type="pct"/>
                  <w:vMerge w:val="continue"/>
                  <w:shd w:val="clear" w:color="auto" w:fill="auto"/>
                  <w:vAlign w:val="center"/>
                </w:tcPr>
                <w:p w14:paraId="1CF4444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val="0"/>
                      <w:bCs w:val="0"/>
                      <w:color w:val="auto"/>
                      <w:sz w:val="21"/>
                      <w:szCs w:val="21"/>
                      <w:highlight w:val="none"/>
                      <w:lang w:val="en-US" w:eastAsia="zh-CN" w:bidi="ar"/>
                    </w:rPr>
                  </w:pPr>
                </w:p>
              </w:tc>
            </w:tr>
            <w:tr w14:paraId="79FD7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254" w:type="pct"/>
                  <w:vMerge w:val="continue"/>
                  <w:shd w:val="clear" w:color="auto" w:fill="auto"/>
                  <w:vAlign w:val="center"/>
                </w:tcPr>
                <w:p w14:paraId="1F2846F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253" w:type="pct"/>
                  <w:vMerge w:val="continue"/>
                  <w:shd w:val="clear" w:color="auto" w:fill="auto"/>
                  <w:vAlign w:val="center"/>
                </w:tcPr>
                <w:p w14:paraId="73C88BF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415" w:type="pct"/>
                  <w:vMerge w:val="continue"/>
                  <w:shd w:val="clear" w:color="auto" w:fill="auto"/>
                  <w:vAlign w:val="center"/>
                </w:tcPr>
                <w:p w14:paraId="2701A47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709" w:type="pct"/>
                  <w:shd w:val="clear" w:color="auto" w:fill="auto"/>
                  <w:vAlign w:val="center"/>
                </w:tcPr>
                <w:p w14:paraId="6F907B1C">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仿宋" w:cs="Times New Roman"/>
                      <w:color w:val="auto"/>
                      <w:kern w:val="2"/>
                      <w:sz w:val="24"/>
                      <w:szCs w:val="24"/>
                      <w:highlight w:val="none"/>
                      <w:lang w:val="en-US" w:eastAsia="zh-CN" w:bidi="zh-CN"/>
                    </w:rPr>
                  </w:pPr>
                  <w:r>
                    <w:rPr>
                      <w:rFonts w:hint="default" w:ascii="Times New Roman" w:hAnsi="Times New Roman" w:eastAsia="宋体" w:cs="Times New Roman"/>
                      <w:bCs/>
                      <w:color w:val="auto"/>
                      <w:spacing w:val="0"/>
                      <w:w w:val="100"/>
                      <w:position w:val="0"/>
                      <w:sz w:val="21"/>
                      <w:szCs w:val="21"/>
                      <w:highlight w:val="none"/>
                      <w:u w:val="none"/>
                      <w:lang w:val="en-US" w:eastAsia="zh-CN"/>
                    </w:rPr>
                    <w:t>实验室一般固废</w:t>
                  </w:r>
                </w:p>
              </w:tc>
              <w:tc>
                <w:tcPr>
                  <w:tcW w:w="2949" w:type="pct"/>
                  <w:shd w:val="clear" w:color="auto" w:fill="auto"/>
                  <w:vAlign w:val="center"/>
                </w:tcPr>
                <w:p w14:paraId="2312F0AF">
                  <w:pPr>
                    <w:pStyle w:val="5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Style w:val="49"/>
                      <w:rFonts w:hint="default" w:ascii="Times New Roman" w:hAnsi="Times New Roman" w:cs="Times New Roman"/>
                      <w:b w:val="0"/>
                      <w:bCs w:val="0"/>
                      <w:color w:val="auto"/>
                      <w:sz w:val="21"/>
                      <w:szCs w:val="21"/>
                      <w:highlight w:val="none"/>
                      <w:lang w:val="en-US" w:eastAsia="zh-CN" w:bidi="ar"/>
                    </w:rPr>
                  </w:pPr>
                  <w:r>
                    <w:rPr>
                      <w:rFonts w:hint="default" w:ascii="Times New Roman" w:hAnsi="Times New Roman" w:eastAsia="宋体" w:cs="Times New Roman"/>
                      <w:color w:val="auto"/>
                      <w:spacing w:val="0"/>
                      <w:w w:val="100"/>
                      <w:position w:val="0"/>
                      <w:sz w:val="21"/>
                      <w:szCs w:val="21"/>
                      <w:highlight w:val="none"/>
                      <w:u w:val="none"/>
                      <w:lang w:val="en-US" w:eastAsia="zh-CN"/>
                    </w:rPr>
                    <w:t>垃圾桶收集后交由环卫部门统一清运。</w:t>
                  </w:r>
                </w:p>
              </w:tc>
              <w:tc>
                <w:tcPr>
                  <w:tcW w:w="418" w:type="pct"/>
                  <w:shd w:val="clear" w:color="auto" w:fill="auto"/>
                  <w:vAlign w:val="center"/>
                </w:tcPr>
                <w:p w14:paraId="4B3E8B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58794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7" w:hRule="atLeast"/>
                <w:jc w:val="center"/>
              </w:trPr>
              <w:tc>
                <w:tcPr>
                  <w:tcW w:w="254" w:type="pct"/>
                  <w:vMerge w:val="continue"/>
                  <w:shd w:val="clear" w:color="auto" w:fill="auto"/>
                  <w:vAlign w:val="center"/>
                </w:tcPr>
                <w:p w14:paraId="2E954FA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rPr>
                  </w:pPr>
                </w:p>
              </w:tc>
              <w:tc>
                <w:tcPr>
                  <w:tcW w:w="253" w:type="pct"/>
                  <w:vMerge w:val="continue"/>
                  <w:shd w:val="clear" w:color="auto" w:fill="auto"/>
                  <w:vAlign w:val="center"/>
                </w:tcPr>
                <w:p w14:paraId="7A9C0CB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rPr>
                  </w:pPr>
                </w:p>
              </w:tc>
              <w:tc>
                <w:tcPr>
                  <w:tcW w:w="415" w:type="pct"/>
                  <w:vMerge w:val="restart"/>
                  <w:shd w:val="clear" w:color="auto" w:fill="auto"/>
                  <w:vAlign w:val="center"/>
                </w:tcPr>
                <w:p w14:paraId="2DFEF7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eastAsia" w:cs="Times New Roman"/>
                      <w:b w:val="0"/>
                      <w:bCs w:val="0"/>
                      <w:color w:val="auto"/>
                      <w:sz w:val="21"/>
                      <w:szCs w:val="21"/>
                      <w:highlight w:val="none"/>
                      <w:lang w:val="en-US" w:eastAsia="zh-CN" w:bidi="ar"/>
                    </w:rPr>
                    <w:t>危险废物</w:t>
                  </w:r>
                </w:p>
              </w:tc>
              <w:tc>
                <w:tcPr>
                  <w:tcW w:w="709" w:type="pct"/>
                  <w:shd w:val="clear" w:color="auto" w:fill="auto"/>
                  <w:vAlign w:val="center"/>
                </w:tcPr>
                <w:p w14:paraId="7CFE22C8">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Fonts w:hint="default" w:ascii="Times New Roman" w:hAnsi="Times New Roman" w:eastAsia="宋体" w:cs="Times New Roman"/>
                      <w:color w:val="auto"/>
                      <w:spacing w:val="0"/>
                      <w:w w:val="100"/>
                      <w:kern w:val="0"/>
                      <w:position w:val="0"/>
                      <w:sz w:val="21"/>
                      <w:szCs w:val="21"/>
                      <w:highlight w:val="none"/>
                      <w:u w:val="none"/>
                      <w:vertAlign w:val="baseline"/>
                      <w:lang w:val="en-US" w:eastAsia="zh-CN" w:bidi="ar"/>
                    </w:rPr>
                    <w:t>实验室废气治理废活性炭</w:t>
                  </w:r>
                </w:p>
              </w:tc>
              <w:tc>
                <w:tcPr>
                  <w:tcW w:w="2949" w:type="pct"/>
                  <w:vMerge w:val="restart"/>
                  <w:shd w:val="clear" w:color="auto" w:fill="auto"/>
                  <w:vAlign w:val="center"/>
                </w:tcPr>
                <w:p w14:paraId="7755313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eastAsia="宋体"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本项目在教学实验楼一层设置1座危废贮存点（5m</w:t>
                  </w:r>
                  <w:r>
                    <w:rPr>
                      <w:rStyle w:val="49"/>
                      <w:rFonts w:hint="default" w:ascii="Times New Roman" w:hAnsi="Times New Roman" w:cs="Times New Roman"/>
                      <w:b w:val="0"/>
                      <w:bCs w:val="0"/>
                      <w:color w:val="auto"/>
                      <w:sz w:val="21"/>
                      <w:szCs w:val="21"/>
                      <w:highlight w:val="none"/>
                      <w:vertAlign w:val="superscript"/>
                      <w:lang w:val="en-US" w:eastAsia="zh-CN" w:bidi="ar"/>
                    </w:rPr>
                    <w:t>2</w:t>
                  </w:r>
                  <w:r>
                    <w:rPr>
                      <w:rStyle w:val="49"/>
                      <w:rFonts w:hint="default" w:ascii="Times New Roman" w:hAnsi="Times New Roman" w:cs="Times New Roman"/>
                      <w:b w:val="0"/>
                      <w:bCs w:val="0"/>
                      <w:color w:val="auto"/>
                      <w:sz w:val="21"/>
                      <w:szCs w:val="21"/>
                      <w:highlight w:val="none"/>
                      <w:lang w:val="en-US" w:eastAsia="zh-CN" w:bidi="ar"/>
                    </w:rPr>
                    <w:t>），</w:t>
                  </w:r>
                  <w:r>
                    <w:rPr>
                      <w:rStyle w:val="49"/>
                      <w:rFonts w:hint="eastAsia" w:ascii="Times New Roman" w:hAnsi="Times New Roman" w:cs="Times New Roman"/>
                      <w:b w:val="0"/>
                      <w:bCs w:val="0"/>
                      <w:color w:val="auto"/>
                      <w:sz w:val="21"/>
                      <w:szCs w:val="21"/>
                      <w:highlight w:val="none"/>
                      <w:lang w:val="en-US" w:eastAsia="zh-CN" w:bidi="ar"/>
                    </w:rPr>
                    <w:t>危险废物</w:t>
                  </w:r>
                  <w:r>
                    <w:rPr>
                      <w:rStyle w:val="49"/>
                      <w:rFonts w:hint="default" w:ascii="Times New Roman" w:hAnsi="Times New Roman" w:cs="Times New Roman"/>
                      <w:b w:val="0"/>
                      <w:bCs w:val="0"/>
                      <w:color w:val="auto"/>
                      <w:sz w:val="21"/>
                      <w:szCs w:val="21"/>
                      <w:highlight w:val="none"/>
                      <w:lang w:val="en-US" w:eastAsia="zh-CN" w:bidi="ar"/>
                    </w:rPr>
                    <w:t>经收集后</w:t>
                  </w:r>
                  <w:r>
                    <w:rPr>
                      <w:rStyle w:val="49"/>
                      <w:rFonts w:hint="eastAsia" w:ascii="Times New Roman" w:hAnsi="Times New Roman" w:cs="Times New Roman"/>
                      <w:b w:val="0"/>
                      <w:bCs w:val="0"/>
                      <w:color w:val="auto"/>
                      <w:sz w:val="21"/>
                      <w:szCs w:val="21"/>
                      <w:highlight w:val="none"/>
                      <w:lang w:val="en-US" w:eastAsia="zh-CN" w:bidi="ar"/>
                    </w:rPr>
                    <w:t>暂存于危废贮存点，</w:t>
                  </w:r>
                  <w:r>
                    <w:rPr>
                      <w:rStyle w:val="49"/>
                      <w:rFonts w:hint="default" w:ascii="Times New Roman" w:hAnsi="Times New Roman" w:cs="Times New Roman"/>
                      <w:b w:val="0"/>
                      <w:bCs w:val="0"/>
                      <w:color w:val="auto"/>
                      <w:sz w:val="21"/>
                      <w:szCs w:val="21"/>
                      <w:highlight w:val="none"/>
                      <w:lang w:val="en-US" w:eastAsia="zh-CN" w:bidi="ar"/>
                    </w:rPr>
                    <w:t>定期委托有资质单位处置。</w:t>
                  </w:r>
                </w:p>
              </w:tc>
              <w:tc>
                <w:tcPr>
                  <w:tcW w:w="418" w:type="pct"/>
                  <w:vMerge w:val="restart"/>
                  <w:shd w:val="clear" w:color="auto" w:fill="auto"/>
                  <w:vAlign w:val="center"/>
                </w:tcPr>
                <w:p w14:paraId="6FCD858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54E03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254" w:type="pct"/>
                  <w:vMerge w:val="continue"/>
                  <w:shd w:val="clear" w:color="auto" w:fill="auto"/>
                  <w:vAlign w:val="center"/>
                </w:tcPr>
                <w:p w14:paraId="4C7810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rPr>
                  </w:pPr>
                </w:p>
              </w:tc>
              <w:tc>
                <w:tcPr>
                  <w:tcW w:w="253" w:type="pct"/>
                  <w:vMerge w:val="continue"/>
                  <w:shd w:val="clear" w:color="auto" w:fill="auto"/>
                  <w:vAlign w:val="center"/>
                </w:tcPr>
                <w:p w14:paraId="3DB01EA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rPr>
                  </w:pPr>
                </w:p>
              </w:tc>
              <w:tc>
                <w:tcPr>
                  <w:tcW w:w="415" w:type="pct"/>
                  <w:vMerge w:val="continue"/>
                  <w:shd w:val="clear" w:color="auto" w:fill="auto"/>
                  <w:vAlign w:val="center"/>
                </w:tcPr>
                <w:p w14:paraId="0294238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709" w:type="pct"/>
                  <w:shd w:val="clear" w:color="auto" w:fill="auto"/>
                  <w:vAlign w:val="center"/>
                </w:tcPr>
                <w:p w14:paraId="63E73851">
                  <w:pPr>
                    <w:keepNext w:val="0"/>
                    <w:keepLines w:val="0"/>
                    <w:pageBreakBefore w:val="0"/>
                    <w:kinsoku/>
                    <w:wordWrap/>
                    <w:overflowPunct/>
                    <w:topLinePunct w:val="0"/>
                    <w:autoSpaceDE/>
                    <w:autoSpaceDN/>
                    <w:bidi w:val="0"/>
                    <w:adjustRightInd/>
                    <w:snapToGrid/>
                    <w:spacing w:line="240" w:lineRule="auto"/>
                    <w:ind w:firstLine="0" w:firstLineChars="0"/>
                    <w:jc w:val="center"/>
                    <w:rPr>
                      <w:rStyle w:val="49"/>
                      <w:rFonts w:hint="eastAsia" w:cs="Times New Roman"/>
                      <w:b w:val="0"/>
                      <w:bCs w:val="0"/>
                      <w:color w:val="auto"/>
                      <w:sz w:val="21"/>
                      <w:szCs w:val="21"/>
                      <w:highlight w:val="none"/>
                      <w:lang w:val="en-US" w:eastAsia="zh-CN" w:bidi="ar"/>
                    </w:rPr>
                  </w:pPr>
                  <w:r>
                    <w:rPr>
                      <w:rFonts w:hint="default" w:ascii="Times New Roman" w:hAnsi="Times New Roman" w:eastAsia="宋体" w:cs="Times New Roman"/>
                      <w:color w:val="auto"/>
                      <w:spacing w:val="0"/>
                      <w:w w:val="100"/>
                      <w:kern w:val="0"/>
                      <w:position w:val="0"/>
                      <w:sz w:val="21"/>
                      <w:szCs w:val="21"/>
                      <w:highlight w:val="none"/>
                      <w:u w:val="none"/>
                      <w:vertAlign w:val="baseline"/>
                      <w:lang w:val="en-US" w:eastAsia="zh-CN" w:bidi="ar"/>
                    </w:rPr>
                    <w:t>实验室危险废物</w:t>
                  </w:r>
                </w:p>
              </w:tc>
              <w:tc>
                <w:tcPr>
                  <w:tcW w:w="2949" w:type="pct"/>
                  <w:vMerge w:val="continue"/>
                  <w:shd w:val="clear" w:color="auto" w:fill="auto"/>
                  <w:vAlign w:val="center"/>
                </w:tcPr>
                <w:p w14:paraId="3FEC61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418" w:type="pct"/>
                  <w:vMerge w:val="continue"/>
                  <w:shd w:val="clear" w:color="auto" w:fill="auto"/>
                  <w:vAlign w:val="center"/>
                </w:tcPr>
                <w:p w14:paraId="5A2CABF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val="0"/>
                      <w:bCs w:val="0"/>
                      <w:color w:val="auto"/>
                      <w:sz w:val="21"/>
                      <w:szCs w:val="21"/>
                      <w:highlight w:val="none"/>
                      <w:lang w:val="en-US" w:eastAsia="zh-CN" w:bidi="ar"/>
                    </w:rPr>
                  </w:pPr>
                </w:p>
              </w:tc>
            </w:tr>
            <w:tr w14:paraId="09402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254" w:type="pct"/>
                  <w:vMerge w:val="continue"/>
                  <w:shd w:val="clear" w:color="auto" w:fill="auto"/>
                  <w:vAlign w:val="center"/>
                </w:tcPr>
                <w:p w14:paraId="00D4188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253" w:type="pct"/>
                  <w:vMerge w:val="continue"/>
                  <w:shd w:val="clear" w:color="auto" w:fill="auto"/>
                  <w:vAlign w:val="center"/>
                </w:tcPr>
                <w:p w14:paraId="481F20E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1124" w:type="pct"/>
                  <w:gridSpan w:val="2"/>
                  <w:shd w:val="clear" w:color="auto" w:fill="auto"/>
                  <w:vAlign w:val="center"/>
                </w:tcPr>
                <w:p w14:paraId="2209AB1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生活垃圾</w:t>
                  </w:r>
                </w:p>
              </w:tc>
              <w:tc>
                <w:tcPr>
                  <w:tcW w:w="2949" w:type="pct"/>
                  <w:shd w:val="clear" w:color="auto" w:fill="auto"/>
                  <w:vAlign w:val="center"/>
                </w:tcPr>
                <w:p w14:paraId="4CC0E8B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分类收集后由环卫部门统一清运处理</w:t>
                  </w:r>
                </w:p>
              </w:tc>
              <w:tc>
                <w:tcPr>
                  <w:tcW w:w="418" w:type="pct"/>
                  <w:shd w:val="clear" w:color="auto" w:fill="auto"/>
                  <w:vAlign w:val="center"/>
                </w:tcPr>
                <w:p w14:paraId="1D7CBE6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08DD8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254" w:type="pct"/>
                  <w:vMerge w:val="continue"/>
                  <w:shd w:val="clear" w:color="auto" w:fill="auto"/>
                  <w:vAlign w:val="center"/>
                </w:tcPr>
                <w:p w14:paraId="19AAE8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1377" w:type="pct"/>
                  <w:gridSpan w:val="3"/>
                  <w:shd w:val="clear" w:color="auto" w:fill="auto"/>
                  <w:vAlign w:val="center"/>
                </w:tcPr>
                <w:p w14:paraId="1B5BB5F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eastAsia" w:cs="Times New Roman"/>
                      <w:b w:val="0"/>
                      <w:bCs w:val="0"/>
                      <w:color w:val="auto"/>
                      <w:sz w:val="21"/>
                      <w:szCs w:val="21"/>
                      <w:highlight w:val="none"/>
                      <w:lang w:val="en-US" w:eastAsia="zh-CN" w:bidi="ar"/>
                    </w:rPr>
                    <w:t>消防水池</w:t>
                  </w:r>
                </w:p>
              </w:tc>
              <w:tc>
                <w:tcPr>
                  <w:tcW w:w="2949" w:type="pct"/>
                  <w:shd w:val="clear" w:color="auto" w:fill="auto"/>
                  <w:vAlign w:val="center"/>
                </w:tcPr>
                <w:p w14:paraId="1A0839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本项目消防水池和泵房和西侧拟建校区合用，西侧拟建校区消防水池有效容积504m</w:t>
                  </w:r>
                  <w:r>
                    <w:rPr>
                      <w:rStyle w:val="49"/>
                      <w:rFonts w:hint="default" w:ascii="Times New Roman" w:hAnsi="Times New Roman" w:cs="Times New Roman"/>
                      <w:b w:val="0"/>
                      <w:bCs w:val="0"/>
                      <w:color w:val="auto"/>
                      <w:sz w:val="21"/>
                      <w:szCs w:val="21"/>
                      <w:highlight w:val="none"/>
                      <w:vertAlign w:val="superscript"/>
                      <w:lang w:val="en-US" w:eastAsia="zh-CN" w:bidi="ar"/>
                    </w:rPr>
                    <w:t>3</w:t>
                  </w:r>
                  <w:r>
                    <w:rPr>
                      <w:rStyle w:val="49"/>
                      <w:rFonts w:hint="default" w:ascii="Times New Roman" w:hAnsi="Times New Roman" w:cs="Times New Roman"/>
                      <w:b w:val="0"/>
                      <w:bCs w:val="0"/>
                      <w:color w:val="auto"/>
                      <w:sz w:val="21"/>
                      <w:szCs w:val="21"/>
                      <w:highlight w:val="none"/>
                      <w:lang w:val="en-US" w:eastAsia="zh-CN" w:bidi="ar"/>
                    </w:rPr>
                    <w:t>，满足本项目消防要求。</w:t>
                  </w:r>
                </w:p>
              </w:tc>
              <w:tc>
                <w:tcPr>
                  <w:tcW w:w="418" w:type="pct"/>
                  <w:shd w:val="clear" w:color="auto" w:fill="auto"/>
                  <w:vAlign w:val="center"/>
                </w:tcPr>
                <w:p w14:paraId="6AC62EB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default" w:ascii="Times New Roman" w:hAnsi="Times New Roman"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r w14:paraId="70C35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7" w:hRule="atLeast"/>
                <w:jc w:val="center"/>
              </w:trPr>
              <w:tc>
                <w:tcPr>
                  <w:tcW w:w="254" w:type="pct"/>
                  <w:vMerge w:val="continue"/>
                  <w:shd w:val="clear" w:color="auto" w:fill="auto"/>
                  <w:vAlign w:val="center"/>
                </w:tcPr>
                <w:p w14:paraId="6D7A75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p>
              </w:tc>
              <w:tc>
                <w:tcPr>
                  <w:tcW w:w="1377" w:type="pct"/>
                  <w:gridSpan w:val="3"/>
                  <w:shd w:val="clear" w:color="auto" w:fill="auto"/>
                  <w:vAlign w:val="center"/>
                </w:tcPr>
                <w:p w14:paraId="51532B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cs="Times New Roman"/>
                      <w:b w:val="0"/>
                      <w:bCs w:val="0"/>
                      <w:color w:val="auto"/>
                      <w:sz w:val="21"/>
                      <w:szCs w:val="21"/>
                      <w:highlight w:val="none"/>
                      <w:lang w:val="en-US" w:eastAsia="zh-CN" w:bidi="ar"/>
                    </w:rPr>
                  </w:pPr>
                  <w:r>
                    <w:rPr>
                      <w:rStyle w:val="49"/>
                      <w:rFonts w:hint="eastAsia" w:cs="Times New Roman"/>
                      <w:b w:val="0"/>
                      <w:bCs w:val="0"/>
                      <w:color w:val="auto"/>
                      <w:sz w:val="21"/>
                      <w:szCs w:val="21"/>
                      <w:highlight w:val="none"/>
                      <w:lang w:val="en-US" w:eastAsia="zh-CN" w:bidi="ar"/>
                    </w:rPr>
                    <w:t>绿化</w:t>
                  </w:r>
                </w:p>
              </w:tc>
              <w:tc>
                <w:tcPr>
                  <w:tcW w:w="2949" w:type="pct"/>
                  <w:shd w:val="clear" w:color="auto" w:fill="auto"/>
                  <w:vAlign w:val="center"/>
                </w:tcPr>
                <w:p w14:paraId="7A29307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9"/>
                      <w:rFonts w:hint="default" w:ascii="Times New Roman" w:hAnsi="Times New Roman" w:cs="Times New Roman"/>
                      <w:b w:val="0"/>
                      <w:bCs w:val="0"/>
                      <w:color w:val="auto"/>
                      <w:sz w:val="21"/>
                      <w:szCs w:val="21"/>
                      <w:highlight w:val="none"/>
                      <w:lang w:val="en-US" w:eastAsia="zh-CN" w:bidi="ar"/>
                    </w:rPr>
                  </w:pPr>
                  <w:r>
                    <w:rPr>
                      <w:rStyle w:val="49"/>
                      <w:rFonts w:hint="default" w:ascii="Times New Roman" w:hAnsi="Times New Roman" w:cs="Times New Roman"/>
                      <w:b w:val="0"/>
                      <w:bCs w:val="0"/>
                      <w:color w:val="auto"/>
                      <w:sz w:val="21"/>
                      <w:szCs w:val="21"/>
                      <w:highlight w:val="none"/>
                      <w:lang w:val="en-US" w:eastAsia="zh-CN" w:bidi="ar"/>
                    </w:rPr>
                    <w:t>绿化面积3204m</w:t>
                  </w:r>
                  <w:r>
                    <w:rPr>
                      <w:rStyle w:val="49"/>
                      <w:rFonts w:hint="default" w:ascii="Times New Roman" w:hAnsi="Times New Roman" w:cs="Times New Roman"/>
                      <w:b w:val="0"/>
                      <w:bCs w:val="0"/>
                      <w:color w:val="auto"/>
                      <w:sz w:val="21"/>
                      <w:szCs w:val="21"/>
                      <w:highlight w:val="none"/>
                      <w:vertAlign w:val="superscript"/>
                      <w:lang w:val="en-US" w:eastAsia="zh-CN" w:bidi="ar"/>
                    </w:rPr>
                    <w:t>2</w:t>
                  </w:r>
                  <w:r>
                    <w:rPr>
                      <w:rStyle w:val="49"/>
                      <w:rFonts w:hint="default" w:ascii="Times New Roman" w:hAnsi="Times New Roman" w:cs="Times New Roman"/>
                      <w:b w:val="0"/>
                      <w:bCs w:val="0"/>
                      <w:color w:val="auto"/>
                      <w:sz w:val="21"/>
                      <w:szCs w:val="21"/>
                      <w:highlight w:val="none"/>
                      <w:lang w:val="en-US" w:eastAsia="zh-CN" w:bidi="ar"/>
                    </w:rPr>
                    <w:t>。</w:t>
                  </w:r>
                </w:p>
              </w:tc>
              <w:tc>
                <w:tcPr>
                  <w:tcW w:w="418" w:type="pct"/>
                  <w:shd w:val="clear" w:color="auto" w:fill="auto"/>
                  <w:vAlign w:val="center"/>
                </w:tcPr>
                <w:p w14:paraId="70D24F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Style w:val="48"/>
                      <w:rFonts w:hint="eastAsia" w:cs="Times New Roman"/>
                      <w:b w:val="0"/>
                      <w:bCs w:val="0"/>
                      <w:color w:val="auto"/>
                      <w:sz w:val="21"/>
                      <w:szCs w:val="21"/>
                      <w:highlight w:val="none"/>
                      <w:lang w:val="en-US" w:eastAsia="zh-CN" w:bidi="ar"/>
                    </w:rPr>
                  </w:pPr>
                  <w:r>
                    <w:rPr>
                      <w:rStyle w:val="48"/>
                      <w:rFonts w:hint="eastAsia" w:cs="Times New Roman"/>
                      <w:b w:val="0"/>
                      <w:bCs w:val="0"/>
                      <w:color w:val="auto"/>
                      <w:sz w:val="21"/>
                      <w:szCs w:val="21"/>
                      <w:highlight w:val="none"/>
                      <w:lang w:val="en-US" w:eastAsia="zh-CN" w:bidi="ar"/>
                    </w:rPr>
                    <w:t>新建</w:t>
                  </w:r>
                </w:p>
              </w:tc>
            </w:tr>
          </w:tbl>
          <w:p w14:paraId="46D8DD25">
            <w:pPr>
              <w:keepNext w:val="0"/>
              <w:keepLines w:val="0"/>
              <w:pageBreakBefore w:val="0"/>
              <w:widowControl w:val="0"/>
              <w:tabs>
                <w:tab w:val="left" w:pos="453"/>
              </w:tabs>
              <w:kinsoku/>
              <w:wordWrap/>
              <w:overflowPunct/>
              <w:topLinePunct w:val="0"/>
              <w:autoSpaceDE/>
              <w:autoSpaceDN/>
              <w:bidi w:val="0"/>
              <w:adjustRightInd/>
              <w:snapToGrid/>
              <w:spacing w:line="360" w:lineRule="auto"/>
              <w:jc w:val="left"/>
              <w:textAlignment w:val="auto"/>
              <w:rPr>
                <w:rFonts w:hint="eastAsia"/>
                <w:color w:val="auto"/>
                <w:highlight w:val="none"/>
                <w:lang w:val="en-US" w:eastAsia="zh-CN"/>
              </w:rPr>
            </w:pPr>
            <w:r>
              <w:rPr>
                <w:rFonts w:hint="eastAsia"/>
                <w:color w:val="auto"/>
                <w:highlight w:val="none"/>
                <w:lang w:val="en-US" w:eastAsia="zh-CN"/>
              </w:rPr>
              <w:t>①采暖系统</w:t>
            </w:r>
          </w:p>
          <w:p w14:paraId="24A6E002">
            <w:pPr>
              <w:keepNext w:val="0"/>
              <w:keepLines w:val="0"/>
              <w:pageBreakBefore w:val="0"/>
              <w:widowControl w:val="0"/>
              <w:tabs>
                <w:tab w:val="left" w:pos="453"/>
              </w:tabs>
              <w:kinsoku/>
              <w:wordWrap/>
              <w:overflowPunct/>
              <w:topLinePunct w:val="0"/>
              <w:autoSpaceDE/>
              <w:autoSpaceDN/>
              <w:bidi w:val="0"/>
              <w:adjustRightInd/>
              <w:snapToGrid/>
              <w:spacing w:line="360" w:lineRule="auto"/>
              <w:jc w:val="left"/>
              <w:textAlignment w:val="auto"/>
              <w:rPr>
                <w:rFonts w:hint="default"/>
                <w:color w:val="auto"/>
                <w:highlight w:val="none"/>
                <w:lang w:val="en-US" w:eastAsia="zh-CN"/>
              </w:rPr>
            </w:pPr>
            <w:r>
              <w:rPr>
                <w:rFonts w:hint="default"/>
                <w:color w:val="auto"/>
                <w:highlight w:val="none"/>
                <w:lang w:val="en-US" w:eastAsia="zh-CN"/>
              </w:rPr>
              <w:t>本项目热源由市政集中供热提供，拟接自项目东北侧新建换热站</w:t>
            </w:r>
            <w:r>
              <w:rPr>
                <w:rFonts w:hint="eastAsia"/>
                <w:color w:val="auto"/>
                <w:highlight w:val="none"/>
                <w:lang w:val="en-US" w:eastAsia="zh-CN"/>
              </w:rPr>
              <w:t>；</w:t>
            </w:r>
            <w:r>
              <w:rPr>
                <w:rFonts w:hint="default"/>
                <w:color w:val="auto"/>
                <w:highlight w:val="none"/>
                <w:lang w:val="en-US" w:eastAsia="zh-CN"/>
              </w:rPr>
              <w:t>除宿舍楼外的其他单体经换热站换热后提供75/50°C热水，采用散热器供暖</w:t>
            </w:r>
            <w:r>
              <w:rPr>
                <w:rFonts w:hint="eastAsia"/>
                <w:color w:val="auto"/>
                <w:highlight w:val="none"/>
                <w:lang w:val="en-US" w:eastAsia="zh-CN"/>
              </w:rPr>
              <w:t>系统；</w:t>
            </w:r>
            <w:r>
              <w:rPr>
                <w:rFonts w:hint="default"/>
                <w:color w:val="auto"/>
                <w:highlight w:val="none"/>
                <w:lang w:val="en-US" w:eastAsia="zh-CN"/>
              </w:rPr>
              <w:t>宿舍楼接45/35°C低温热水，采用低温地板辐射供暖系统。供暖系统的水质应满足GB/T29044-2012《供暖空调系统水质》中的要求</w:t>
            </w:r>
            <w:r>
              <w:rPr>
                <w:rFonts w:hint="eastAsia"/>
                <w:color w:val="auto"/>
                <w:highlight w:val="none"/>
                <w:lang w:val="en-US" w:eastAsia="zh-CN"/>
              </w:rPr>
              <w:t>：</w:t>
            </w:r>
            <w:r>
              <w:rPr>
                <w:rFonts w:hint="default"/>
                <w:color w:val="auto"/>
                <w:highlight w:val="none"/>
                <w:lang w:val="en-US" w:eastAsia="zh-CN"/>
              </w:rPr>
              <w:t>一次供/回水温度120/60°C。</w:t>
            </w:r>
          </w:p>
          <w:p w14:paraId="036522D1">
            <w:pPr>
              <w:keepNext w:val="0"/>
              <w:keepLines w:val="0"/>
              <w:pageBreakBefore w:val="0"/>
              <w:widowControl w:val="0"/>
              <w:numPr>
                <w:ilvl w:val="1"/>
                <w:numId w:val="0"/>
              </w:numPr>
              <w:kinsoku/>
              <w:wordWrap/>
              <w:overflowPunct/>
              <w:topLinePunct w:val="0"/>
              <w:autoSpaceDE/>
              <w:autoSpaceDN/>
              <w:bidi w:val="0"/>
              <w:adjustRightInd/>
              <w:snapToGrid/>
              <w:ind w:leftChars="0" w:firstLine="480" w:firstLineChars="200"/>
              <w:textAlignment w:val="auto"/>
              <w:outlineLvl w:val="9"/>
              <w:rPr>
                <w:rFonts w:hint="eastAsia"/>
                <w:b w:val="0"/>
                <w:bCs w:val="0"/>
                <w:color w:val="auto"/>
                <w:highlight w:val="none"/>
                <w:lang w:val="en-US" w:eastAsia="zh-CN"/>
              </w:rPr>
            </w:pPr>
            <w:bookmarkStart w:id="8" w:name="_Toc10113"/>
            <w:bookmarkStart w:id="9" w:name="_Toc16804"/>
            <w:r>
              <w:rPr>
                <w:rFonts w:hint="eastAsia"/>
                <w:b w:val="0"/>
                <w:bCs w:val="0"/>
                <w:color w:val="auto"/>
                <w:highlight w:val="none"/>
                <w:lang w:val="en-US" w:eastAsia="zh-CN"/>
              </w:rPr>
              <w:t>本项目拟在场地东北侧建设1座换热站，占地面积300m²，本项目仅承担换热站土建主体施工，换热机组、循环泵、自控系统、管道阀门等工艺设备及安装调试，由市政供热主管部门统一实施，权责清晰、建设界面合理。</w:t>
            </w:r>
          </w:p>
          <w:p w14:paraId="18327C65">
            <w:pPr>
              <w:keepNext w:val="0"/>
              <w:keepLines w:val="0"/>
              <w:pageBreakBefore w:val="0"/>
              <w:widowControl w:val="0"/>
              <w:numPr>
                <w:ilvl w:val="1"/>
                <w:numId w:val="0"/>
              </w:numPr>
              <w:kinsoku/>
              <w:wordWrap/>
              <w:overflowPunct/>
              <w:topLinePunct w:val="0"/>
              <w:autoSpaceDE/>
              <w:autoSpaceDN/>
              <w:bidi w:val="0"/>
              <w:adjustRightInd/>
              <w:snapToGrid/>
              <w:ind w:leftChars="0" w:firstLine="480" w:firstLineChars="200"/>
              <w:textAlignment w:val="auto"/>
              <w:outlineLvl w:val="9"/>
              <w:rPr>
                <w:rFonts w:hint="eastAsia"/>
                <w:b w:val="0"/>
                <w:bCs w:val="0"/>
                <w:color w:val="auto"/>
                <w:highlight w:val="none"/>
                <w:lang w:val="en-US" w:eastAsia="zh-CN"/>
              </w:rPr>
            </w:pPr>
            <w:r>
              <w:rPr>
                <w:rFonts w:hint="eastAsia"/>
                <w:b w:val="0"/>
                <w:bCs w:val="0"/>
                <w:color w:val="auto"/>
                <w:highlight w:val="none"/>
                <w:lang w:val="en-US" w:eastAsia="zh-CN"/>
              </w:rPr>
              <w:t>目前园区市政供热主管网已敷设至项目所在区域，热源接入条件成熟；项目同步规划室外供暖二次管网，采用双管闭式系统、枝状布置、直埋敷设，可直接与新建换热站可靠连接，管网布局合理、水力条件良好，供热半径与输送效率满足使用要求。</w:t>
            </w:r>
          </w:p>
          <w:p w14:paraId="0A3CCA26">
            <w:pPr>
              <w:keepNext w:val="0"/>
              <w:keepLines w:val="0"/>
              <w:pageBreakBefore w:val="0"/>
              <w:widowControl w:val="0"/>
              <w:numPr>
                <w:ilvl w:val="1"/>
                <w:numId w:val="0"/>
              </w:numPr>
              <w:kinsoku/>
              <w:wordWrap/>
              <w:overflowPunct/>
              <w:topLinePunct w:val="0"/>
              <w:autoSpaceDE/>
              <w:autoSpaceDN/>
              <w:bidi w:val="0"/>
              <w:adjustRightInd/>
              <w:snapToGrid/>
              <w:ind w:leftChars="0" w:firstLine="480" w:firstLineChars="200"/>
              <w:textAlignment w:val="auto"/>
              <w:outlineLvl w:val="9"/>
              <w:rPr>
                <w:rFonts w:hint="eastAsia"/>
                <w:b w:val="0"/>
                <w:bCs w:val="0"/>
                <w:color w:val="auto"/>
                <w:highlight w:val="none"/>
                <w:lang w:val="en-US" w:eastAsia="zh-CN"/>
              </w:rPr>
            </w:pPr>
            <w:r>
              <w:rPr>
                <w:rFonts w:hint="eastAsia"/>
                <w:b w:val="0"/>
                <w:bCs w:val="0"/>
                <w:color w:val="auto"/>
                <w:highlight w:val="none"/>
                <w:lang w:val="en-US" w:eastAsia="zh-CN"/>
              </w:rPr>
              <w:t>结合本项目及另一所学校总供热负荷需求，该换热站规模与管网输送能力可同时满足两所学校正常供暖使用，供热保障度高、系统稳定可靠，供热配套可行。</w:t>
            </w:r>
          </w:p>
          <w:p w14:paraId="110A7308">
            <w:pPr>
              <w:pStyle w:val="3"/>
              <w:keepNext w:val="0"/>
              <w:keepLines w:val="0"/>
              <w:pageBreakBefore w:val="0"/>
              <w:widowControl w:val="0"/>
              <w:numPr>
                <w:ilvl w:val="1"/>
                <w:numId w:val="0"/>
              </w:numPr>
              <w:kinsoku/>
              <w:wordWrap/>
              <w:overflowPunct/>
              <w:topLinePunct w:val="0"/>
              <w:autoSpaceDE/>
              <w:autoSpaceDN/>
              <w:bidi w:val="0"/>
              <w:adjustRightInd/>
              <w:snapToGrid/>
              <w:ind w:leftChars="200"/>
              <w:textAlignment w:val="auto"/>
              <w:rPr>
                <w:rFonts w:hint="eastAsia"/>
                <w:b w:val="0"/>
                <w:bCs w:val="0"/>
                <w:color w:val="auto"/>
                <w:highlight w:val="none"/>
                <w:lang w:val="en-US" w:eastAsia="zh-CN"/>
              </w:rPr>
            </w:pPr>
            <w:r>
              <w:rPr>
                <w:rFonts w:hint="eastAsia"/>
                <w:b w:val="0"/>
                <w:bCs w:val="0"/>
                <w:color w:val="auto"/>
                <w:highlight w:val="none"/>
                <w:lang w:val="en-US" w:eastAsia="zh-CN"/>
              </w:rPr>
              <w:t>②通风系统</w:t>
            </w:r>
          </w:p>
          <w:p w14:paraId="41AD80FF">
            <w:pPr>
              <w:rPr>
                <w:rFonts w:hint="default"/>
                <w:color w:val="auto"/>
                <w:highlight w:val="none"/>
                <w:lang w:val="en-US" w:eastAsia="zh-CN"/>
              </w:rPr>
            </w:pPr>
            <w:r>
              <w:rPr>
                <w:rFonts w:hint="default"/>
                <w:color w:val="auto"/>
                <w:highlight w:val="none"/>
                <w:lang w:val="en-US" w:eastAsia="zh-CN"/>
              </w:rPr>
              <w:t>1</w:t>
            </w:r>
            <w:r>
              <w:rPr>
                <w:rFonts w:hint="eastAsia"/>
                <w:color w:val="auto"/>
                <w:highlight w:val="none"/>
                <w:lang w:val="en-US" w:eastAsia="zh-CN"/>
              </w:rPr>
              <w:t>）</w:t>
            </w:r>
            <w:r>
              <w:rPr>
                <w:rFonts w:hint="default"/>
                <w:color w:val="auto"/>
                <w:highlight w:val="none"/>
                <w:lang w:val="en-US" w:eastAsia="zh-CN"/>
              </w:rPr>
              <w:t>卫生间通风</w:t>
            </w:r>
            <w:r>
              <w:rPr>
                <w:rFonts w:hint="eastAsia"/>
                <w:color w:val="auto"/>
                <w:highlight w:val="none"/>
                <w:lang w:val="en-US" w:eastAsia="zh-CN"/>
              </w:rPr>
              <w:t>：</w:t>
            </w:r>
            <w:r>
              <w:rPr>
                <w:rFonts w:hint="default"/>
                <w:color w:val="auto"/>
                <w:highlight w:val="none"/>
                <w:lang w:val="en-US" w:eastAsia="zh-CN"/>
              </w:rPr>
              <w:t>各建筑单体卫生间采用机械排风，公共卫生间换气次数为10次/h。采用BL-140通风器排入竖风道，在排入竖风道前应安装止回阀(风阀)。</w:t>
            </w:r>
          </w:p>
          <w:p w14:paraId="140835B1">
            <w:pPr>
              <w:rPr>
                <w:rFonts w:hint="default"/>
                <w:color w:val="auto"/>
                <w:highlight w:val="none"/>
                <w:lang w:val="en-US" w:eastAsia="zh-CN"/>
              </w:rPr>
            </w:pPr>
            <w:r>
              <w:rPr>
                <w:rFonts w:hint="default"/>
                <w:color w:val="auto"/>
                <w:highlight w:val="none"/>
                <w:lang w:val="en-US" w:eastAsia="zh-CN"/>
              </w:rPr>
              <w:t>2</w:t>
            </w:r>
            <w:r>
              <w:rPr>
                <w:rFonts w:hint="eastAsia"/>
                <w:color w:val="auto"/>
                <w:highlight w:val="none"/>
                <w:lang w:val="en-US" w:eastAsia="zh-CN"/>
              </w:rPr>
              <w:t>）</w:t>
            </w:r>
            <w:r>
              <w:rPr>
                <w:rFonts w:hint="default"/>
                <w:color w:val="auto"/>
                <w:highlight w:val="none"/>
                <w:lang w:val="en-US" w:eastAsia="zh-CN"/>
              </w:rPr>
              <w:t>厨房排风采用机械排风，新风补风系统。排风量按换气次数为60次/h考虑。局部排风系统占65%，全面排风兼事故排风系统占35%，且不小于12次/h，要求送排风机与厨房可燃气体浓度报警系统以及燃气进出口处的紧急切断阀</w:t>
            </w:r>
            <w:r>
              <w:rPr>
                <w:rFonts w:hint="eastAsia"/>
                <w:color w:val="auto"/>
                <w:highlight w:val="none"/>
                <w:lang w:val="en-US" w:eastAsia="zh-CN"/>
              </w:rPr>
              <w:t>联锁</w:t>
            </w:r>
            <w:r>
              <w:rPr>
                <w:rFonts w:hint="default"/>
                <w:color w:val="auto"/>
                <w:highlight w:val="none"/>
                <w:lang w:val="en-US" w:eastAsia="zh-CN"/>
              </w:rPr>
              <w:t>，当事故排风报警系统启动时，自动关闭该紧急切断阀，</w:t>
            </w:r>
            <w:r>
              <w:rPr>
                <w:rFonts w:hint="eastAsia"/>
                <w:color w:val="auto"/>
                <w:highlight w:val="none"/>
                <w:lang w:val="en-US" w:eastAsia="zh-CN"/>
              </w:rPr>
              <w:t>联锁</w:t>
            </w:r>
            <w:r>
              <w:rPr>
                <w:rFonts w:hint="default"/>
                <w:color w:val="auto"/>
                <w:highlight w:val="none"/>
                <w:lang w:val="en-US" w:eastAsia="zh-CN"/>
              </w:rPr>
              <w:t>排风机启动。厨房局部排风系统即油烟罩通风系统由用户自理。排风经油烟净化装置处理后排放，油烟排放浓度不大于2.0mg/m</w:t>
            </w:r>
            <w:r>
              <w:rPr>
                <w:rFonts w:hint="default"/>
                <w:color w:val="auto"/>
                <w:highlight w:val="none"/>
                <w:vertAlign w:val="superscript"/>
                <w:lang w:val="en-US" w:eastAsia="zh-CN"/>
              </w:rPr>
              <w:t>3</w:t>
            </w:r>
            <w:r>
              <w:rPr>
                <w:rFonts w:hint="default"/>
                <w:color w:val="auto"/>
                <w:highlight w:val="none"/>
                <w:lang w:val="en-US" w:eastAsia="zh-CN"/>
              </w:rPr>
              <w:t>。</w:t>
            </w:r>
          </w:p>
          <w:p w14:paraId="48DB458F">
            <w:pPr>
              <w:rPr>
                <w:rFonts w:hint="default"/>
                <w:color w:val="auto"/>
                <w:highlight w:val="none"/>
                <w:lang w:val="en-US" w:eastAsia="zh-CN"/>
              </w:rPr>
            </w:pPr>
            <w:r>
              <w:rPr>
                <w:rFonts w:hint="default"/>
                <w:color w:val="auto"/>
                <w:highlight w:val="none"/>
                <w:lang w:val="en-US" w:eastAsia="zh-CN"/>
              </w:rPr>
              <w:t>3</w:t>
            </w:r>
            <w:r>
              <w:rPr>
                <w:rFonts w:hint="eastAsia"/>
                <w:color w:val="auto"/>
                <w:highlight w:val="none"/>
                <w:lang w:val="en-US" w:eastAsia="zh-CN"/>
              </w:rPr>
              <w:t>）</w:t>
            </w:r>
            <w:r>
              <w:rPr>
                <w:rFonts w:hint="default"/>
                <w:color w:val="auto"/>
                <w:highlight w:val="none"/>
                <w:lang w:val="en-US" w:eastAsia="zh-CN"/>
              </w:rPr>
              <w:t>无外窗房间按通风换气次数3次/h计算，由风井排至室</w:t>
            </w:r>
            <w:r>
              <w:rPr>
                <w:rFonts w:hint="eastAsia"/>
                <w:color w:val="auto"/>
                <w:highlight w:val="none"/>
                <w:lang w:val="en-US" w:eastAsia="zh-CN"/>
              </w:rPr>
              <w:t>外。</w:t>
            </w:r>
          </w:p>
          <w:p w14:paraId="5BD8BC3B">
            <w:pPr>
              <w:rPr>
                <w:rFonts w:hint="default"/>
                <w:color w:val="auto"/>
                <w:highlight w:val="none"/>
                <w:lang w:val="en-US" w:eastAsia="zh-CN"/>
              </w:rPr>
            </w:pPr>
            <w:r>
              <w:rPr>
                <w:rFonts w:hint="default"/>
                <w:color w:val="auto"/>
                <w:highlight w:val="none"/>
                <w:lang w:val="en-US" w:eastAsia="zh-CN"/>
              </w:rPr>
              <w:t>4</w:t>
            </w:r>
            <w:r>
              <w:rPr>
                <w:rFonts w:hint="eastAsia"/>
                <w:color w:val="auto"/>
                <w:highlight w:val="none"/>
                <w:lang w:val="en-US" w:eastAsia="zh-CN"/>
              </w:rPr>
              <w:t>）</w:t>
            </w:r>
            <w:r>
              <w:rPr>
                <w:rFonts w:hint="default"/>
                <w:color w:val="auto"/>
                <w:highlight w:val="none"/>
                <w:lang w:val="en-US" w:eastAsia="zh-CN"/>
              </w:rPr>
              <w:t>水泵房按通风换气次数6次/h计算，由风井排至室外。</w:t>
            </w:r>
          </w:p>
          <w:p w14:paraId="056B5263">
            <w:pPr>
              <w:rPr>
                <w:rFonts w:hint="default"/>
                <w:color w:val="auto"/>
                <w:highlight w:val="none"/>
                <w:lang w:val="en-US" w:eastAsia="zh-CN"/>
              </w:rPr>
            </w:pPr>
            <w:r>
              <w:rPr>
                <w:rFonts w:hint="default"/>
                <w:color w:val="auto"/>
                <w:highlight w:val="none"/>
                <w:lang w:val="en-US" w:eastAsia="zh-CN"/>
              </w:rPr>
              <w:t>5</w:t>
            </w:r>
            <w:r>
              <w:rPr>
                <w:rFonts w:hint="eastAsia"/>
                <w:color w:val="auto"/>
                <w:highlight w:val="none"/>
                <w:lang w:val="en-US" w:eastAsia="zh-CN"/>
              </w:rPr>
              <w:t>）</w:t>
            </w:r>
            <w:r>
              <w:rPr>
                <w:rFonts w:hint="default"/>
                <w:color w:val="auto"/>
                <w:highlight w:val="none"/>
                <w:lang w:val="en-US" w:eastAsia="zh-CN"/>
              </w:rPr>
              <w:t>变配电室设置事故通风系统，按换气次数12次/h计算，设置下排风口，由风井排至室外。</w:t>
            </w:r>
          </w:p>
          <w:p w14:paraId="79C26595">
            <w:pPr>
              <w:pStyle w:val="3"/>
              <w:keepNext w:val="0"/>
              <w:keepLines w:val="0"/>
              <w:pageBreakBefore w:val="0"/>
              <w:widowControl w:val="0"/>
              <w:kinsoku/>
              <w:wordWrap/>
              <w:overflowPunct/>
              <w:topLinePunct w:val="0"/>
              <w:autoSpaceDE/>
              <w:autoSpaceDN/>
              <w:bidi w:val="0"/>
              <w:adjustRightInd/>
              <w:snapToGrid/>
              <w:ind w:left="202" w:leftChars="0" w:firstLine="482" w:firstLineChars="0"/>
              <w:textAlignment w:val="auto"/>
              <w:rPr>
                <w:rFonts w:hint="eastAsia"/>
                <w:b/>
                <w:bCs/>
                <w:color w:val="auto"/>
                <w:highlight w:val="none"/>
                <w:lang w:val="en-US" w:eastAsia="zh-CN"/>
              </w:rPr>
            </w:pPr>
            <w:r>
              <w:rPr>
                <w:rFonts w:hint="eastAsia"/>
                <w:b/>
                <w:bCs/>
                <w:color w:val="auto"/>
                <w:highlight w:val="none"/>
                <w:lang w:val="en-US" w:eastAsia="zh-CN"/>
              </w:rPr>
              <w:t>主要经济技术指标</w:t>
            </w:r>
          </w:p>
          <w:p w14:paraId="2B78F5AD">
            <w:pPr>
              <w:pStyle w:val="12"/>
              <w:bidi w:val="0"/>
              <w:rPr>
                <w:rFonts w:hint="default"/>
                <w:color w:val="auto"/>
                <w:highlight w:val="none"/>
                <w:lang w:val="en-US" w:eastAsia="zh-CN"/>
              </w:rPr>
            </w:pPr>
            <w:r>
              <w:rPr>
                <w:rFonts w:hint="eastAsia"/>
                <w:color w:val="auto"/>
                <w:highlight w:val="none"/>
                <w:lang w:eastAsia="zh-CN"/>
              </w:rPr>
              <w:t>表</w:t>
            </w:r>
            <w:r>
              <w:rPr>
                <w:color w:val="auto"/>
                <w:highlight w:val="none"/>
              </w:rPr>
              <w:fldChar w:fldCharType="begin"/>
            </w:r>
            <w:r>
              <w:rPr>
                <w:color w:val="auto"/>
                <w:highlight w:val="none"/>
              </w:rPr>
              <w:instrText xml:space="preserve"> STYLEREF 1 \s </w:instrText>
            </w:r>
            <w:r>
              <w:rPr>
                <w:color w:val="auto"/>
                <w:highlight w:val="none"/>
              </w:rPr>
              <w:fldChar w:fldCharType="separate"/>
            </w:r>
            <w:r>
              <w:rPr>
                <w:color w:val="auto"/>
                <w:highlight w:val="none"/>
              </w:rPr>
              <w:t>2</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表 \* ARABIC \s 1 </w:instrText>
            </w:r>
            <w:r>
              <w:rPr>
                <w:color w:val="auto"/>
                <w:highlight w:val="none"/>
              </w:rPr>
              <w:fldChar w:fldCharType="separate"/>
            </w:r>
            <w:r>
              <w:rPr>
                <w:color w:val="auto"/>
                <w:highlight w:val="none"/>
              </w:rPr>
              <w:t>4</w:t>
            </w:r>
            <w:r>
              <w:rPr>
                <w:color w:val="auto"/>
                <w:highlight w:val="none"/>
              </w:rPr>
              <w:fldChar w:fldCharType="end"/>
            </w:r>
            <w:r>
              <w:rPr>
                <w:rFonts w:hint="eastAsia"/>
                <w:color w:val="auto"/>
                <w:highlight w:val="none"/>
                <w:lang w:val="en-US" w:eastAsia="zh-CN"/>
              </w:rPr>
              <w:t xml:space="preserve"> 主要经济技术指标表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34"/>
              <w:gridCol w:w="2161"/>
              <w:gridCol w:w="1123"/>
              <w:gridCol w:w="1575"/>
              <w:gridCol w:w="2607"/>
            </w:tblGrid>
            <w:tr w14:paraId="0E317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02804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序号</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6A694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名称</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510DE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单位</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F3BA2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数量</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2DDD4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备注</w:t>
                  </w:r>
                </w:p>
              </w:tc>
            </w:tr>
            <w:tr w14:paraId="7DDBF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1200C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DC321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总用地面积</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AE34E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33FB8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55121.35</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F9A23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tr w14:paraId="4C0A9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8107A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A8908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总建筑面积</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3B984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85DEA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34500.00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A929A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地上</w:t>
                  </w:r>
                </w:p>
              </w:tc>
            </w:tr>
            <w:tr w14:paraId="2E1DA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31014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8570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教学综合楼</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29E61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060BF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1670.00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911EA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tr w14:paraId="62C60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67DF6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E5466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教学实验楼</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7742E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E0536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12130.00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F69C6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tr w14:paraId="71176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E993E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59D05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1#学生宿舍楼</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D808F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439A2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12300.00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EAD15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tr w14:paraId="3B841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B7BA7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5F386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2#学生宿舍楼</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38716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864D5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5400.00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05834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tr w14:paraId="6C582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81C19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426BA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食堂</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B4F30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734A4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1500.00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FDE2B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tr w14:paraId="1CF09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75E13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0AD23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看台及公厕</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7C1C5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B24BC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750.00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9B515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tr w14:paraId="2168E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42BE8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3783E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门房</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E91F9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94C7E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100.00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4221D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tr w14:paraId="399EA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4D462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E8C7D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换热站</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CDED5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55CDC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300.00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86496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tr w14:paraId="155B1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30F53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B73AF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供水泵房</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EC8C4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0222B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350.00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E6A78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tr w14:paraId="537FB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26C34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三</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B7AC6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建筑基底面积</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B659A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64817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11024.27</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D047E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tr w14:paraId="37874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D3AB6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四</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CFC031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容积率</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457A4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5EC81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0.63</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E0052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满足控规≤1.6要求</w:t>
                  </w:r>
                </w:p>
              </w:tc>
            </w:tr>
            <w:tr w14:paraId="30DA0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611DB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五</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81E3A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建筑密度</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5ED90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91568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78B73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满足控规≤40%要求</w:t>
                  </w:r>
                </w:p>
              </w:tc>
            </w:tr>
            <w:tr w14:paraId="64042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32FFB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六</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8FBF5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绿地率</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94517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3E58C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A8FF0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满足控规≥25%要求</w:t>
                  </w:r>
                </w:p>
              </w:tc>
            </w:tr>
            <w:tr w14:paraId="2E6DD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DFB22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七</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038A3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地上停车位</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C5574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个</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596FF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98BFF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tr w14:paraId="02BD5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B96E6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八</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AF8D9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围墙</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5941E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4B122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883.00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669BF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tr w14:paraId="1D3A3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6590F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九</w:t>
                  </w:r>
                </w:p>
              </w:tc>
              <w:tc>
                <w:tcPr>
                  <w:tcW w:w="128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B42EE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挡土墙</w:t>
                  </w:r>
                </w:p>
              </w:tc>
              <w:tc>
                <w:tcPr>
                  <w:tcW w:w="66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5DB9C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p>
              </w:tc>
              <w:tc>
                <w:tcPr>
                  <w:tcW w:w="93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7F2B5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5000.00</w:t>
                  </w:r>
                </w:p>
              </w:tc>
              <w:tc>
                <w:tcPr>
                  <w:tcW w:w="15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EA20A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r>
            <w:bookmarkEnd w:id="8"/>
            <w:bookmarkEnd w:id="9"/>
          </w:tbl>
          <w:p w14:paraId="73F895CA">
            <w:pPr>
              <w:pStyle w:val="3"/>
              <w:keepNext w:val="0"/>
              <w:keepLines w:val="0"/>
              <w:pageBreakBefore w:val="0"/>
              <w:widowControl w:val="0"/>
              <w:kinsoku/>
              <w:wordWrap/>
              <w:overflowPunct/>
              <w:topLinePunct w:val="0"/>
              <w:autoSpaceDE/>
              <w:autoSpaceDN/>
              <w:bidi w:val="0"/>
              <w:adjustRightInd/>
              <w:snapToGrid/>
              <w:ind w:left="202" w:leftChars="0" w:firstLine="482" w:firstLineChars="0"/>
              <w:textAlignment w:val="auto"/>
              <w:rPr>
                <w:rFonts w:hint="eastAsia"/>
                <w:b/>
                <w:bCs/>
                <w:color w:val="auto"/>
                <w:highlight w:val="none"/>
                <w:lang w:val="en-US" w:eastAsia="zh-CN"/>
              </w:rPr>
            </w:pPr>
            <w:r>
              <w:rPr>
                <w:rFonts w:hint="eastAsia"/>
                <w:b/>
                <w:bCs/>
                <w:color w:val="auto"/>
                <w:highlight w:val="none"/>
                <w:lang w:val="en-US" w:eastAsia="zh-CN"/>
              </w:rPr>
              <w:t>实验室</w:t>
            </w:r>
          </w:p>
          <w:p w14:paraId="2AB0E2D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val="0"/>
                <w:bCs/>
                <w:color w:val="auto"/>
                <w:sz w:val="24"/>
                <w:szCs w:val="24"/>
                <w:highlight w:val="none"/>
                <w:u w:val="none"/>
                <w:lang w:val="en-US" w:eastAsia="zh-CN"/>
              </w:rPr>
            </w:pPr>
            <w:r>
              <w:rPr>
                <w:rFonts w:hint="default" w:ascii="Times New Roman" w:hAnsi="Times New Roman" w:cs="Times New Roman"/>
                <w:b w:val="0"/>
                <w:bCs/>
                <w:color w:val="auto"/>
                <w:sz w:val="24"/>
                <w:szCs w:val="24"/>
                <w:highlight w:val="none"/>
                <w:u w:val="none"/>
                <w:lang w:val="en-US" w:eastAsia="zh-CN"/>
              </w:rPr>
              <w:t>（1）实验室设置</w:t>
            </w:r>
          </w:p>
          <w:p w14:paraId="259D93B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val="0"/>
                <w:bCs/>
                <w:color w:val="auto"/>
                <w:sz w:val="24"/>
                <w:szCs w:val="24"/>
                <w:highlight w:val="none"/>
                <w:u w:val="none"/>
                <w:lang w:val="en-US" w:eastAsia="zh-CN"/>
              </w:rPr>
            </w:pPr>
            <w:r>
              <w:rPr>
                <w:rFonts w:hint="default" w:ascii="Times New Roman" w:hAnsi="Times New Roman" w:cs="Times New Roman"/>
                <w:b w:val="0"/>
                <w:bCs/>
                <w:color w:val="auto"/>
                <w:sz w:val="24"/>
                <w:szCs w:val="24"/>
                <w:highlight w:val="none"/>
                <w:u w:val="none"/>
                <w:lang w:val="en-US" w:eastAsia="zh-CN"/>
              </w:rPr>
              <w:t>根据建设单位提供资料，</w:t>
            </w:r>
            <w:r>
              <w:rPr>
                <w:rFonts w:hint="default" w:ascii="Times New Roman" w:hAnsi="Times New Roman" w:cs="Times New Roman"/>
                <w:color w:val="auto"/>
                <w:sz w:val="24"/>
                <w:highlight w:val="none"/>
              </w:rPr>
              <w:t>校区</w:t>
            </w:r>
            <w:r>
              <w:rPr>
                <w:rFonts w:hint="eastAsia" w:cs="Times New Roman"/>
                <w:color w:val="auto"/>
                <w:sz w:val="24"/>
                <w:szCs w:val="24"/>
                <w:highlight w:val="none"/>
                <w:u w:val="none"/>
                <w:lang w:val="en-US" w:eastAsia="zh-CN"/>
              </w:rPr>
              <w:t>教学实验楼</w:t>
            </w:r>
            <w:r>
              <w:rPr>
                <w:rFonts w:hint="default" w:ascii="Times New Roman" w:hAnsi="Times New Roman" w:eastAsia="宋体" w:cs="Times New Roman"/>
                <w:color w:val="auto"/>
                <w:sz w:val="24"/>
                <w:highlight w:val="none"/>
                <w:lang w:eastAsia="zh-CN"/>
              </w:rPr>
              <w:t>内设置实验室，分别有物理实验室、化学实验室、生物实验室，其中物理实验室</w:t>
            </w:r>
            <w:r>
              <w:rPr>
                <w:rFonts w:hint="default" w:ascii="Times New Roman" w:hAnsi="Times New Roman" w:cs="Times New Roman"/>
                <w:b w:val="0"/>
                <w:bCs/>
                <w:color w:val="auto"/>
                <w:sz w:val="24"/>
                <w:szCs w:val="24"/>
                <w:highlight w:val="none"/>
                <w:u w:val="none"/>
                <w:lang w:val="en-US" w:eastAsia="zh-CN"/>
              </w:rPr>
              <w:t>位于</w:t>
            </w:r>
            <w:r>
              <w:rPr>
                <w:rFonts w:hint="eastAsia" w:cs="Times New Roman"/>
                <w:b w:val="0"/>
                <w:bCs/>
                <w:color w:val="auto"/>
                <w:sz w:val="24"/>
                <w:szCs w:val="24"/>
                <w:highlight w:val="none"/>
                <w:u w:val="none"/>
                <w:lang w:val="en-US" w:eastAsia="zh-CN"/>
              </w:rPr>
              <w:t>教学实验楼一层和二</w:t>
            </w:r>
            <w:r>
              <w:rPr>
                <w:rFonts w:hint="default" w:ascii="Times New Roman" w:hAnsi="Times New Roman" w:cs="Times New Roman"/>
                <w:b w:val="0"/>
                <w:bCs/>
                <w:color w:val="auto"/>
                <w:sz w:val="24"/>
                <w:szCs w:val="24"/>
                <w:highlight w:val="none"/>
                <w:u w:val="none"/>
                <w:lang w:val="en-US" w:eastAsia="zh-CN"/>
              </w:rPr>
              <w:t>层，物理实验室</w:t>
            </w:r>
            <w:r>
              <w:rPr>
                <w:rFonts w:hint="eastAsia" w:cs="Times New Roman"/>
                <w:b w:val="0"/>
                <w:bCs/>
                <w:color w:val="auto"/>
                <w:sz w:val="24"/>
                <w:szCs w:val="24"/>
                <w:highlight w:val="none"/>
                <w:u w:val="none"/>
                <w:lang w:val="en-US" w:eastAsia="zh-CN"/>
              </w:rPr>
              <w:t>3</w:t>
            </w:r>
            <w:r>
              <w:rPr>
                <w:rFonts w:hint="default" w:ascii="Times New Roman" w:hAnsi="Times New Roman" w:cs="Times New Roman"/>
                <w:b w:val="0"/>
                <w:bCs/>
                <w:color w:val="auto"/>
                <w:sz w:val="24"/>
                <w:szCs w:val="24"/>
                <w:highlight w:val="none"/>
                <w:u w:val="none"/>
                <w:lang w:val="en-US" w:eastAsia="zh-CN"/>
              </w:rPr>
              <w:t>间，化学实验室位于</w:t>
            </w:r>
            <w:r>
              <w:rPr>
                <w:rFonts w:hint="eastAsia" w:cs="Times New Roman"/>
                <w:b w:val="0"/>
                <w:bCs/>
                <w:color w:val="auto"/>
                <w:sz w:val="24"/>
                <w:szCs w:val="24"/>
                <w:highlight w:val="none"/>
                <w:u w:val="none"/>
                <w:lang w:val="en-US" w:eastAsia="zh-CN"/>
              </w:rPr>
              <w:t>教学实验楼</w:t>
            </w:r>
            <w:r>
              <w:rPr>
                <w:rFonts w:hint="default" w:ascii="Times New Roman" w:hAnsi="Times New Roman" w:cs="Times New Roman"/>
                <w:b w:val="0"/>
                <w:bCs/>
                <w:color w:val="auto"/>
                <w:sz w:val="24"/>
                <w:szCs w:val="24"/>
                <w:highlight w:val="none"/>
                <w:u w:val="none"/>
                <w:lang w:val="en-US" w:eastAsia="zh-CN"/>
              </w:rPr>
              <w:t>一层，化学实验室</w:t>
            </w:r>
            <w:r>
              <w:rPr>
                <w:rFonts w:hint="eastAsia" w:cs="Times New Roman"/>
                <w:b w:val="0"/>
                <w:bCs/>
                <w:color w:val="auto"/>
                <w:sz w:val="24"/>
                <w:szCs w:val="24"/>
                <w:highlight w:val="none"/>
                <w:u w:val="none"/>
                <w:lang w:val="en-US" w:eastAsia="zh-CN"/>
              </w:rPr>
              <w:t>3</w:t>
            </w:r>
            <w:r>
              <w:rPr>
                <w:rFonts w:hint="default" w:ascii="Times New Roman" w:hAnsi="Times New Roman" w:cs="Times New Roman"/>
                <w:b w:val="0"/>
                <w:bCs/>
                <w:color w:val="auto"/>
                <w:sz w:val="24"/>
                <w:szCs w:val="24"/>
                <w:highlight w:val="none"/>
                <w:u w:val="none"/>
                <w:lang w:val="en-US" w:eastAsia="zh-CN"/>
              </w:rPr>
              <w:t>间，物理实验室配套建设有</w:t>
            </w:r>
            <w:r>
              <w:rPr>
                <w:rFonts w:hint="eastAsia" w:cs="Times New Roman"/>
                <w:b w:val="0"/>
                <w:bCs/>
                <w:color w:val="auto"/>
                <w:sz w:val="24"/>
                <w:szCs w:val="24"/>
                <w:highlight w:val="none"/>
                <w:u w:val="none"/>
                <w:lang w:val="en-US" w:eastAsia="zh-CN"/>
              </w:rPr>
              <w:t>3</w:t>
            </w:r>
            <w:r>
              <w:rPr>
                <w:rFonts w:hint="default" w:ascii="Times New Roman" w:hAnsi="Times New Roman" w:cs="Times New Roman"/>
                <w:b w:val="0"/>
                <w:bCs/>
                <w:color w:val="auto"/>
                <w:sz w:val="24"/>
                <w:szCs w:val="24"/>
                <w:highlight w:val="none"/>
                <w:u w:val="none"/>
                <w:lang w:val="en-US" w:eastAsia="zh-CN"/>
              </w:rPr>
              <w:t>间准备室</w:t>
            </w:r>
            <w:r>
              <w:rPr>
                <w:rFonts w:hint="eastAsia" w:cs="Times New Roman"/>
                <w:b w:val="0"/>
                <w:bCs/>
                <w:color w:val="auto"/>
                <w:sz w:val="24"/>
                <w:szCs w:val="24"/>
                <w:highlight w:val="none"/>
                <w:u w:val="none"/>
                <w:lang w:val="en-US" w:eastAsia="zh-CN"/>
              </w:rPr>
              <w:t>，</w:t>
            </w:r>
            <w:r>
              <w:rPr>
                <w:rFonts w:hint="default" w:ascii="Times New Roman" w:hAnsi="Times New Roman" w:cs="Times New Roman"/>
                <w:b w:val="0"/>
                <w:bCs/>
                <w:color w:val="auto"/>
                <w:sz w:val="24"/>
                <w:szCs w:val="24"/>
                <w:highlight w:val="none"/>
                <w:u w:val="none"/>
                <w:lang w:val="en-US" w:eastAsia="zh-CN"/>
              </w:rPr>
              <w:t>化学实验室配套建设有</w:t>
            </w:r>
            <w:r>
              <w:rPr>
                <w:rFonts w:hint="eastAsia" w:cs="Times New Roman"/>
                <w:b w:val="0"/>
                <w:bCs/>
                <w:color w:val="auto"/>
                <w:sz w:val="24"/>
                <w:szCs w:val="24"/>
                <w:highlight w:val="none"/>
                <w:u w:val="none"/>
                <w:lang w:val="en-US" w:eastAsia="zh-CN"/>
              </w:rPr>
              <w:t>2</w:t>
            </w:r>
            <w:r>
              <w:rPr>
                <w:rFonts w:hint="default" w:ascii="Times New Roman" w:hAnsi="Times New Roman" w:cs="Times New Roman"/>
                <w:b w:val="0"/>
                <w:bCs/>
                <w:color w:val="auto"/>
                <w:sz w:val="24"/>
                <w:szCs w:val="24"/>
                <w:highlight w:val="none"/>
                <w:u w:val="none"/>
                <w:lang w:val="en-US" w:eastAsia="zh-CN"/>
              </w:rPr>
              <w:t>间准备室；生物实验室</w:t>
            </w:r>
            <w:r>
              <w:rPr>
                <w:rFonts w:hint="eastAsia" w:cs="Times New Roman"/>
                <w:b w:val="0"/>
                <w:bCs/>
                <w:color w:val="auto"/>
                <w:sz w:val="24"/>
                <w:szCs w:val="24"/>
                <w:highlight w:val="none"/>
                <w:u w:val="none"/>
                <w:lang w:val="en-US" w:eastAsia="zh-CN"/>
              </w:rPr>
              <w:t>位于教学实验楼二</w:t>
            </w:r>
            <w:r>
              <w:rPr>
                <w:rFonts w:hint="default" w:ascii="Times New Roman" w:hAnsi="Times New Roman" w:cs="Times New Roman"/>
                <w:b w:val="0"/>
                <w:bCs/>
                <w:color w:val="auto"/>
                <w:sz w:val="24"/>
                <w:szCs w:val="24"/>
                <w:highlight w:val="none"/>
                <w:u w:val="none"/>
                <w:lang w:val="en-US" w:eastAsia="zh-CN"/>
              </w:rPr>
              <w:t>层，生物实验室2间，实验室配套建设有1间准备室</w:t>
            </w:r>
            <w:r>
              <w:rPr>
                <w:rFonts w:hint="default" w:ascii="Times New Roman" w:hAnsi="Times New Roman" w:cs="Times New Roman"/>
                <w:b w:val="0"/>
                <w:bCs/>
                <w:color w:val="auto"/>
                <w:sz w:val="24"/>
                <w:szCs w:val="24"/>
                <w:highlight w:val="none"/>
                <w:u w:val="none"/>
                <w:vertAlign w:val="baseline"/>
                <w:lang w:val="en-US" w:eastAsia="zh-CN"/>
              </w:rPr>
              <w:t>。</w:t>
            </w:r>
          </w:p>
          <w:p w14:paraId="764533E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val="0"/>
                <w:bCs/>
                <w:color w:val="auto"/>
                <w:sz w:val="24"/>
                <w:szCs w:val="24"/>
                <w:highlight w:val="none"/>
                <w:u w:val="none"/>
                <w:lang w:val="en-US" w:eastAsia="zh-CN"/>
              </w:rPr>
            </w:pPr>
            <w:r>
              <w:rPr>
                <w:rFonts w:hint="default" w:ascii="Times New Roman" w:hAnsi="Times New Roman" w:cs="Times New Roman"/>
                <w:b w:val="0"/>
                <w:bCs/>
                <w:color w:val="auto"/>
                <w:sz w:val="24"/>
                <w:szCs w:val="24"/>
                <w:highlight w:val="none"/>
                <w:u w:val="none"/>
                <w:lang w:val="en-US" w:eastAsia="zh-CN"/>
              </w:rPr>
              <w:t>本项目化学实验室符合《中小学校设计规范》（GB50099-2011）中“5.3.7化学实验室宜设在建筑物首层”的要求。</w:t>
            </w:r>
          </w:p>
          <w:p w14:paraId="12C94108">
            <w:pPr>
              <w:keepNext w:val="0"/>
              <w:keepLines w:val="0"/>
              <w:pageBreakBefore w:val="0"/>
              <w:widowControl w:val="0"/>
              <w:kinsoku/>
              <w:wordWrap/>
              <w:overflowPunct/>
              <w:topLinePunct w:val="0"/>
              <w:autoSpaceDE/>
              <w:autoSpaceDN/>
              <w:bidi w:val="0"/>
              <w:adjustRightInd/>
              <w:snapToGrid/>
              <w:spacing w:line="360" w:lineRule="auto"/>
              <w:ind w:right="120" w:rightChars="50" w:firstLine="480" w:firstLineChars="200"/>
              <w:jc w:val="left"/>
              <w:textAlignment w:val="auto"/>
              <w:rPr>
                <w:rFonts w:hint="default" w:ascii="Times New Roman" w:hAnsi="Times New Roman" w:eastAsia="宋体" w:cs="Times New Roman"/>
                <w:color w:val="auto"/>
                <w:sz w:val="24"/>
                <w:szCs w:val="24"/>
                <w:highlight w:val="none"/>
                <w:u w:val="none"/>
                <w:lang w:val="en-US" w:eastAsia="zh-CN"/>
              </w:rPr>
            </w:pPr>
            <w:r>
              <w:rPr>
                <w:rFonts w:hint="default" w:ascii="Times New Roman" w:hAnsi="Times New Roman" w:eastAsia="宋体" w:cs="Times New Roman"/>
                <w:color w:val="auto"/>
                <w:sz w:val="24"/>
                <w:szCs w:val="24"/>
                <w:highlight w:val="none"/>
                <w:u w:val="none"/>
                <w:lang w:val="en-US" w:eastAsia="zh-CN"/>
              </w:rPr>
              <w:t>（2）实验内容</w:t>
            </w:r>
          </w:p>
          <w:p w14:paraId="39E8E5F9">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根据全日制普通高级中学新课标教学大纲要求，项目化学、生物、物理等实验内容见下表。</w:t>
            </w:r>
          </w:p>
          <w:p w14:paraId="563424A1">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zh-CN" w:eastAsia="zh-CN"/>
              </w:rPr>
            </w:pPr>
            <w:r>
              <w:rPr>
                <w:rFonts w:hint="eastAsia"/>
                <w:color w:val="auto"/>
                <w:sz w:val="21"/>
                <w:szCs w:val="21"/>
                <w:highlight w:val="none"/>
                <w:lang w:eastAsia="zh-CN"/>
              </w:rPr>
              <w:t>表</w:t>
            </w:r>
            <w:r>
              <w:rPr>
                <w:color w:val="auto"/>
                <w:sz w:val="21"/>
                <w:szCs w:val="21"/>
                <w:highlight w:val="none"/>
              </w:rPr>
              <w:fldChar w:fldCharType="begin"/>
            </w:r>
            <w:r>
              <w:rPr>
                <w:color w:val="auto"/>
                <w:sz w:val="21"/>
                <w:szCs w:val="21"/>
                <w:highlight w:val="none"/>
              </w:rPr>
              <w:instrText xml:space="preserve"> STYLEREF 1 \s </w:instrText>
            </w:r>
            <w:r>
              <w:rPr>
                <w:color w:val="auto"/>
                <w:sz w:val="21"/>
                <w:szCs w:val="21"/>
                <w:highlight w:val="none"/>
              </w:rPr>
              <w:fldChar w:fldCharType="separate"/>
            </w:r>
            <w:r>
              <w:rPr>
                <w:color w:val="auto"/>
                <w:sz w:val="21"/>
                <w:szCs w:val="21"/>
                <w:highlight w:val="none"/>
              </w:rPr>
              <w:t>2</w:t>
            </w:r>
            <w:r>
              <w:rPr>
                <w:color w:val="auto"/>
                <w:sz w:val="21"/>
                <w:szCs w:val="21"/>
                <w:highlight w:val="none"/>
              </w:rPr>
              <w:fldChar w:fldCharType="end"/>
            </w:r>
            <w:r>
              <w:rPr>
                <w:rFonts w:hint="eastAsia"/>
                <w:color w:val="auto"/>
                <w:sz w:val="21"/>
                <w:szCs w:val="21"/>
                <w:highlight w:val="none"/>
                <w:lang w:eastAsia="zh-CN"/>
              </w:rPr>
              <w:t>-</w:t>
            </w:r>
            <w:r>
              <w:rPr>
                <w:color w:val="auto"/>
                <w:sz w:val="21"/>
                <w:szCs w:val="21"/>
                <w:highlight w:val="none"/>
              </w:rPr>
              <w:fldChar w:fldCharType="begin"/>
            </w:r>
            <w:r>
              <w:rPr>
                <w:color w:val="auto"/>
                <w:sz w:val="21"/>
                <w:szCs w:val="21"/>
                <w:highlight w:val="none"/>
              </w:rPr>
              <w:instrText xml:space="preserve"> SEQ 表 \* ARABIC \s 1 </w:instrText>
            </w:r>
            <w:r>
              <w:rPr>
                <w:color w:val="auto"/>
                <w:sz w:val="21"/>
                <w:szCs w:val="21"/>
                <w:highlight w:val="none"/>
              </w:rPr>
              <w:fldChar w:fldCharType="separate"/>
            </w:r>
            <w:r>
              <w:rPr>
                <w:color w:val="auto"/>
                <w:sz w:val="21"/>
                <w:szCs w:val="21"/>
                <w:highlight w:val="none"/>
              </w:rPr>
              <w:t>5</w:t>
            </w:r>
            <w:r>
              <w:rPr>
                <w:color w:val="auto"/>
                <w:sz w:val="21"/>
                <w:szCs w:val="21"/>
                <w:highlight w:val="none"/>
              </w:rPr>
              <w:fldChar w:fldCharType="end"/>
            </w:r>
            <w:r>
              <w:rPr>
                <w:rFonts w:hint="eastAsia"/>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本项目运营期实验课</w:t>
            </w:r>
            <w:r>
              <w:rPr>
                <w:rFonts w:hint="default" w:ascii="Times New Roman" w:hAnsi="Times New Roman" w:eastAsia="宋体" w:cs="Times New Roman"/>
                <w:color w:val="auto"/>
                <w:sz w:val="21"/>
                <w:szCs w:val="21"/>
                <w:highlight w:val="none"/>
                <w:lang w:val="zh-CN" w:eastAsia="zh-CN"/>
              </w:rPr>
              <w:t>内容一览表</w:t>
            </w:r>
          </w:p>
          <w:tbl>
            <w:tblPr>
              <w:tblStyle w:val="33"/>
              <w:tblW w:w="492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15" w:type="dxa"/>
                <w:left w:w="15" w:type="dxa"/>
                <w:bottom w:w="15" w:type="dxa"/>
                <w:right w:w="15" w:type="dxa"/>
              </w:tblCellMar>
            </w:tblPr>
            <w:tblGrid>
              <w:gridCol w:w="690"/>
              <w:gridCol w:w="1383"/>
              <w:gridCol w:w="6203"/>
            </w:tblGrid>
            <w:tr w14:paraId="76489F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454" w:hRule="atLeast"/>
                <w:tblHeader/>
                <w:jc w:val="center"/>
              </w:trPr>
              <w:tc>
                <w:tcPr>
                  <w:tcW w:w="417" w:type="pct"/>
                  <w:noWrap w:val="0"/>
                  <w:vAlign w:val="center"/>
                </w:tcPr>
                <w:p w14:paraId="5D9B9C4F">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rPr>
                  </w:pPr>
                  <w:r>
                    <w:rPr>
                      <w:rFonts w:hint="default" w:ascii="Times New Roman" w:hAnsi="Times New Roman" w:eastAsia="宋体" w:cs="Times New Roman"/>
                      <w:b/>
                      <w:color w:val="auto"/>
                      <w:kern w:val="0"/>
                      <w:sz w:val="21"/>
                      <w:szCs w:val="21"/>
                      <w:highlight w:val="none"/>
                      <w:u w:val="none"/>
                      <w:vertAlign w:val="baseline"/>
                      <w:lang w:bidi="ar"/>
                    </w:rPr>
                    <w:t>序号</w:t>
                  </w:r>
                </w:p>
              </w:tc>
              <w:tc>
                <w:tcPr>
                  <w:tcW w:w="835" w:type="pct"/>
                  <w:noWrap w:val="0"/>
                  <w:vAlign w:val="center"/>
                </w:tcPr>
                <w:p w14:paraId="47586F9D">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lang w:val="en-US" w:eastAsia="zh-CN"/>
                    </w:rPr>
                  </w:pPr>
                  <w:r>
                    <w:rPr>
                      <w:rFonts w:hint="default" w:ascii="Times New Roman" w:hAnsi="Times New Roman" w:eastAsia="宋体" w:cs="Times New Roman"/>
                      <w:b/>
                      <w:color w:val="auto"/>
                      <w:sz w:val="21"/>
                      <w:szCs w:val="21"/>
                      <w:highlight w:val="none"/>
                      <w:u w:val="none"/>
                      <w:vertAlign w:val="baseline"/>
                      <w:lang w:val="en-US" w:eastAsia="zh-CN"/>
                    </w:rPr>
                    <w:t>实验课类型</w:t>
                  </w:r>
                </w:p>
              </w:tc>
              <w:tc>
                <w:tcPr>
                  <w:tcW w:w="3746" w:type="pct"/>
                  <w:noWrap w:val="0"/>
                  <w:vAlign w:val="center"/>
                </w:tcPr>
                <w:p w14:paraId="038B795C">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lang w:val="en-US" w:eastAsia="zh-CN"/>
                    </w:rPr>
                  </w:pPr>
                  <w:r>
                    <w:rPr>
                      <w:rFonts w:hint="default" w:ascii="Times New Roman" w:hAnsi="Times New Roman" w:eastAsia="宋体" w:cs="Times New Roman"/>
                      <w:b/>
                      <w:color w:val="auto"/>
                      <w:sz w:val="21"/>
                      <w:szCs w:val="21"/>
                      <w:highlight w:val="none"/>
                      <w:u w:val="none"/>
                      <w:vertAlign w:val="baseline"/>
                      <w:lang w:val="en-US" w:eastAsia="zh-CN"/>
                    </w:rPr>
                    <w:t>实验内容</w:t>
                  </w:r>
                </w:p>
              </w:tc>
            </w:tr>
            <w:tr w14:paraId="298709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454" w:hRule="atLeast"/>
                <w:jc w:val="center"/>
              </w:trPr>
              <w:tc>
                <w:tcPr>
                  <w:tcW w:w="417" w:type="pct"/>
                  <w:noWrap w:val="0"/>
                  <w:vAlign w:val="center"/>
                </w:tcPr>
                <w:p w14:paraId="3B106C30">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21"/>
                      <w:szCs w:val="21"/>
                      <w:highlight w:val="none"/>
                      <w:u w:val="none"/>
                      <w:vertAlign w:val="baseline"/>
                      <w:lang w:val="en-US" w:eastAsia="zh-CN" w:bidi="ar-SA"/>
                    </w:rPr>
                  </w:pPr>
                  <w:r>
                    <w:rPr>
                      <w:rFonts w:hint="default" w:ascii="Times New Roman" w:hAnsi="Times New Roman" w:eastAsia="宋体" w:cs="Times New Roman"/>
                      <w:color w:val="auto"/>
                      <w:kern w:val="2"/>
                      <w:sz w:val="21"/>
                      <w:szCs w:val="21"/>
                      <w:highlight w:val="none"/>
                      <w:u w:val="none"/>
                      <w:vertAlign w:val="baseline"/>
                      <w:lang w:val="en-US" w:eastAsia="zh-CN" w:bidi="ar-SA"/>
                    </w:rPr>
                    <w:t>1</w:t>
                  </w:r>
                </w:p>
              </w:tc>
              <w:tc>
                <w:tcPr>
                  <w:tcW w:w="835" w:type="pct"/>
                  <w:noWrap w:val="0"/>
                  <w:vAlign w:val="center"/>
                </w:tcPr>
                <w:p w14:paraId="53603F68">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21"/>
                      <w:szCs w:val="21"/>
                      <w:highlight w:val="none"/>
                      <w:u w:val="none"/>
                      <w:vertAlign w:val="baseline"/>
                      <w:lang w:val="en-US" w:eastAsia="zh-CN" w:bidi="ar-SA"/>
                    </w:rPr>
                  </w:pPr>
                  <w:r>
                    <w:rPr>
                      <w:rFonts w:hint="default" w:ascii="Times New Roman" w:hAnsi="Times New Roman" w:eastAsia="宋体" w:cs="Times New Roman"/>
                      <w:color w:val="auto"/>
                      <w:kern w:val="2"/>
                      <w:sz w:val="21"/>
                      <w:szCs w:val="21"/>
                      <w:highlight w:val="none"/>
                      <w:u w:val="none"/>
                      <w:vertAlign w:val="baseline"/>
                      <w:lang w:val="en-US" w:eastAsia="zh-CN" w:bidi="ar-SA"/>
                    </w:rPr>
                    <w:t>物理实验课</w:t>
                  </w:r>
                </w:p>
              </w:tc>
              <w:tc>
                <w:tcPr>
                  <w:tcW w:w="3746" w:type="pct"/>
                  <w:noWrap w:val="0"/>
                  <w:vAlign w:val="center"/>
                </w:tcPr>
                <w:p w14:paraId="122FDAB1">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21"/>
                      <w:szCs w:val="21"/>
                      <w:highlight w:val="none"/>
                      <w:u w:val="none"/>
                      <w:vertAlign w:val="baseline"/>
                      <w:lang w:val="en-US" w:eastAsia="zh-CN" w:bidi="ar-SA"/>
                    </w:rPr>
                  </w:pPr>
                  <w:r>
                    <w:rPr>
                      <w:rFonts w:hint="default" w:ascii="Times New Roman" w:hAnsi="Times New Roman" w:eastAsia="宋体" w:cs="Times New Roman"/>
                      <w:color w:val="auto"/>
                      <w:kern w:val="2"/>
                      <w:sz w:val="21"/>
                      <w:szCs w:val="21"/>
                      <w:highlight w:val="none"/>
                      <w:u w:val="none"/>
                      <w:vertAlign w:val="baseline"/>
                      <w:lang w:val="en-US" w:eastAsia="zh-CN" w:bidi="ar-SA"/>
                    </w:rPr>
                    <w:t>机械能守恒实验、双缝干涉实验，万用表、电流电阻等物理实验。</w:t>
                  </w:r>
                </w:p>
              </w:tc>
            </w:tr>
            <w:tr w14:paraId="636E7E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328" w:hRule="atLeast"/>
                <w:jc w:val="center"/>
              </w:trPr>
              <w:tc>
                <w:tcPr>
                  <w:tcW w:w="417" w:type="pct"/>
                  <w:noWrap w:val="0"/>
                  <w:vAlign w:val="center"/>
                </w:tcPr>
                <w:p w14:paraId="4BB2BD3B">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21"/>
                      <w:szCs w:val="21"/>
                      <w:highlight w:val="none"/>
                      <w:u w:val="none"/>
                      <w:vertAlign w:val="baseline"/>
                      <w:lang w:val="en-US" w:eastAsia="zh-CN" w:bidi="ar-SA"/>
                    </w:rPr>
                  </w:pPr>
                  <w:r>
                    <w:rPr>
                      <w:rFonts w:hint="default" w:ascii="Times New Roman" w:hAnsi="Times New Roman" w:eastAsia="宋体" w:cs="Times New Roman"/>
                      <w:color w:val="auto"/>
                      <w:kern w:val="2"/>
                      <w:sz w:val="21"/>
                      <w:szCs w:val="21"/>
                      <w:highlight w:val="none"/>
                      <w:u w:val="none"/>
                      <w:vertAlign w:val="baseline"/>
                      <w:lang w:val="en-US" w:eastAsia="zh-CN" w:bidi="ar-SA"/>
                    </w:rPr>
                    <w:t>2</w:t>
                  </w:r>
                </w:p>
              </w:tc>
              <w:tc>
                <w:tcPr>
                  <w:tcW w:w="835" w:type="pct"/>
                  <w:noWrap w:val="0"/>
                  <w:vAlign w:val="center"/>
                </w:tcPr>
                <w:p w14:paraId="06A1EE7E">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21"/>
                      <w:szCs w:val="21"/>
                      <w:highlight w:val="none"/>
                      <w:u w:val="none"/>
                      <w:vertAlign w:val="baseline"/>
                      <w:lang w:val="en-US" w:eastAsia="zh-CN" w:bidi="ar-SA"/>
                    </w:rPr>
                  </w:pPr>
                  <w:r>
                    <w:rPr>
                      <w:rFonts w:hint="default" w:ascii="Times New Roman" w:hAnsi="Times New Roman" w:eastAsia="宋体" w:cs="Times New Roman"/>
                      <w:color w:val="auto"/>
                      <w:kern w:val="2"/>
                      <w:sz w:val="21"/>
                      <w:szCs w:val="21"/>
                      <w:highlight w:val="none"/>
                      <w:u w:val="none"/>
                      <w:vertAlign w:val="baseline"/>
                      <w:lang w:val="en-US" w:eastAsia="zh-CN" w:bidi="ar-SA"/>
                    </w:rPr>
                    <w:t>化学实验课</w:t>
                  </w:r>
                </w:p>
              </w:tc>
              <w:tc>
                <w:tcPr>
                  <w:tcW w:w="3746" w:type="pct"/>
                  <w:noWrap w:val="0"/>
                  <w:vAlign w:val="center"/>
                </w:tcPr>
                <w:p w14:paraId="2D2DEB6F">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21"/>
                      <w:szCs w:val="21"/>
                      <w:highlight w:val="none"/>
                      <w:u w:val="none"/>
                      <w:vertAlign w:val="baseline"/>
                      <w:lang w:val="en-US" w:eastAsia="zh-CN" w:bidi="ar-SA"/>
                    </w:rPr>
                  </w:pPr>
                  <w:r>
                    <w:rPr>
                      <w:rFonts w:hint="default" w:ascii="Times New Roman" w:hAnsi="Times New Roman" w:eastAsia="宋体" w:cs="Times New Roman"/>
                      <w:color w:val="auto"/>
                      <w:kern w:val="2"/>
                      <w:sz w:val="21"/>
                      <w:szCs w:val="21"/>
                      <w:highlight w:val="none"/>
                      <w:u w:val="none"/>
                      <w:vertAlign w:val="baseline"/>
                      <w:lang w:val="en-US" w:eastAsia="zh-CN" w:bidi="ar-SA"/>
                    </w:rPr>
                    <w:t>相对较简单的无机酸、碱中和实验，粗盐的提取，溶液的配置，金属与酸、碱的反应、金属的氧化反应、置换反应、焰色反应等。</w:t>
                  </w:r>
                </w:p>
              </w:tc>
            </w:tr>
            <w:tr w14:paraId="3A9405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454" w:hRule="atLeast"/>
                <w:jc w:val="center"/>
              </w:trPr>
              <w:tc>
                <w:tcPr>
                  <w:tcW w:w="417" w:type="pct"/>
                  <w:noWrap w:val="0"/>
                  <w:vAlign w:val="center"/>
                </w:tcPr>
                <w:p w14:paraId="0C6FA568">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21"/>
                      <w:szCs w:val="21"/>
                      <w:highlight w:val="none"/>
                      <w:u w:val="none"/>
                      <w:vertAlign w:val="baseline"/>
                      <w:lang w:val="en-US" w:eastAsia="zh-CN" w:bidi="ar-SA"/>
                    </w:rPr>
                  </w:pPr>
                  <w:r>
                    <w:rPr>
                      <w:rFonts w:hint="default" w:ascii="Times New Roman" w:hAnsi="Times New Roman" w:eastAsia="宋体" w:cs="Times New Roman"/>
                      <w:color w:val="auto"/>
                      <w:kern w:val="2"/>
                      <w:sz w:val="21"/>
                      <w:szCs w:val="21"/>
                      <w:highlight w:val="none"/>
                      <w:u w:val="none"/>
                      <w:vertAlign w:val="baseline"/>
                      <w:lang w:val="en-US" w:eastAsia="zh-CN" w:bidi="ar-SA"/>
                    </w:rPr>
                    <w:t>3</w:t>
                  </w:r>
                </w:p>
              </w:tc>
              <w:tc>
                <w:tcPr>
                  <w:tcW w:w="835" w:type="pct"/>
                  <w:noWrap w:val="0"/>
                  <w:vAlign w:val="center"/>
                </w:tcPr>
                <w:p w14:paraId="2CF8661B">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21"/>
                      <w:szCs w:val="21"/>
                      <w:highlight w:val="none"/>
                      <w:u w:val="none"/>
                      <w:vertAlign w:val="baseline"/>
                      <w:lang w:val="en-US" w:eastAsia="zh-CN" w:bidi="ar-SA"/>
                    </w:rPr>
                  </w:pPr>
                  <w:r>
                    <w:rPr>
                      <w:rFonts w:hint="default" w:ascii="Times New Roman" w:hAnsi="Times New Roman" w:eastAsia="宋体" w:cs="Times New Roman"/>
                      <w:color w:val="auto"/>
                      <w:kern w:val="2"/>
                      <w:sz w:val="21"/>
                      <w:szCs w:val="21"/>
                      <w:highlight w:val="none"/>
                      <w:u w:val="none"/>
                      <w:vertAlign w:val="baseline"/>
                      <w:lang w:val="en-US" w:eastAsia="zh-CN" w:bidi="ar-SA"/>
                    </w:rPr>
                    <w:t>生物实验课</w:t>
                  </w:r>
                </w:p>
              </w:tc>
              <w:tc>
                <w:tcPr>
                  <w:tcW w:w="3746" w:type="pct"/>
                  <w:noWrap w:val="0"/>
                  <w:vAlign w:val="center"/>
                </w:tcPr>
                <w:p w14:paraId="174A9051">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21"/>
                      <w:szCs w:val="21"/>
                      <w:highlight w:val="none"/>
                      <w:u w:val="none"/>
                      <w:vertAlign w:val="baseline"/>
                      <w:lang w:val="en-US" w:eastAsia="zh-CN" w:bidi="ar-SA"/>
                    </w:rPr>
                  </w:pPr>
                  <w:r>
                    <w:rPr>
                      <w:rFonts w:hint="default" w:ascii="Times New Roman" w:hAnsi="Times New Roman" w:eastAsia="宋体" w:cs="Times New Roman"/>
                      <w:color w:val="auto"/>
                      <w:kern w:val="2"/>
                      <w:sz w:val="21"/>
                      <w:szCs w:val="21"/>
                      <w:highlight w:val="none"/>
                      <w:u w:val="none"/>
                      <w:vertAlign w:val="baseline"/>
                      <w:lang w:val="en-US" w:eastAsia="zh-CN" w:bidi="ar-SA"/>
                    </w:rPr>
                    <w:t>显微镜观察细胞结构以及细胞中物质的分布等，实验过程中使用斐林试剂（使用氧化钠溶液及硫酸铜溶液配制），碘液等滴定标本贴片，无水乙醇提取叶绿素等。</w:t>
                  </w:r>
                </w:p>
              </w:tc>
            </w:tr>
          </w:tbl>
          <w:p w14:paraId="2347D0E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u w:val="none"/>
                <w:lang w:val="en-US" w:eastAsia="zh-CN"/>
              </w:rPr>
            </w:pPr>
            <w:r>
              <w:rPr>
                <w:rFonts w:hint="default" w:ascii="Times New Roman" w:hAnsi="Times New Roman" w:eastAsia="宋体" w:cs="Times New Roman"/>
                <w:color w:val="auto"/>
                <w:sz w:val="24"/>
                <w:szCs w:val="24"/>
                <w:highlight w:val="none"/>
                <w:u w:val="none"/>
                <w:lang w:val="en-US" w:eastAsia="zh-CN"/>
              </w:rPr>
              <w:t>本项目建成后开展物理、生物和化学实验：</w:t>
            </w:r>
          </w:p>
          <w:p w14:paraId="7E366C4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u w:val="none"/>
                <w:lang w:val="en-US" w:eastAsia="zh-CN"/>
              </w:rPr>
            </w:pPr>
            <w:r>
              <w:rPr>
                <w:rFonts w:hint="default" w:ascii="Times New Roman" w:hAnsi="Times New Roman" w:eastAsia="宋体" w:cs="Times New Roman"/>
                <w:color w:val="auto"/>
                <w:sz w:val="24"/>
                <w:szCs w:val="24"/>
                <w:highlight w:val="none"/>
                <w:u w:val="none"/>
                <w:lang w:val="en-US" w:eastAsia="zh-CN"/>
              </w:rPr>
              <w:t>物理实验室：物理实验不涉及化学品的使用，主要采用仪器进行实验，如机械能守恒实验、双缝干涉实验，万用表、电流电阻等物理实验等。</w:t>
            </w:r>
          </w:p>
          <w:p w14:paraId="6C48A7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u w:val="none"/>
                <w:lang w:val="en-US" w:eastAsia="zh-CN"/>
              </w:rPr>
            </w:pPr>
            <w:r>
              <w:rPr>
                <w:rFonts w:hint="default" w:ascii="Times New Roman" w:hAnsi="Times New Roman" w:eastAsia="宋体" w:cs="Times New Roman"/>
                <w:color w:val="auto"/>
                <w:sz w:val="24"/>
                <w:szCs w:val="24"/>
                <w:highlight w:val="none"/>
                <w:u w:val="none"/>
                <w:lang w:val="en-US" w:eastAsia="zh-CN"/>
              </w:rPr>
              <w:t>化学实验室：化学实验室主要为相对较简单的无机酸、碱中和实验，粗盐的提取，溶液的配置，金属与酸、碱的反应、金属的氧化反应、置换反应、焰色反应等。</w:t>
            </w:r>
          </w:p>
          <w:p w14:paraId="3FF1D62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u w:val="none"/>
                <w:lang w:val="en-US" w:eastAsia="zh-CN"/>
              </w:rPr>
            </w:pPr>
            <w:r>
              <w:rPr>
                <w:rFonts w:hint="default" w:ascii="Times New Roman" w:hAnsi="Times New Roman" w:eastAsia="宋体" w:cs="Times New Roman"/>
                <w:color w:val="auto"/>
                <w:sz w:val="24"/>
                <w:szCs w:val="24"/>
                <w:highlight w:val="none"/>
                <w:u w:val="none"/>
                <w:lang w:val="en-US" w:eastAsia="zh-CN"/>
              </w:rPr>
              <w:t>生物实验室：生物实验主要是使用显微镜观察细胞结构以及细胞中物质的分布等，实验过程中使用斐林试剂（使用氢氧化钠溶液及硫酸铜溶液配制）碘液等滴定标本贴片，无水乙醇提取叶绿素等。</w:t>
            </w:r>
          </w:p>
          <w:p w14:paraId="0E1CB7A3">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highlight w:val="none"/>
                <w:u w:val="none"/>
                <w:lang w:val="en-US" w:eastAsia="zh-CN"/>
              </w:rPr>
              <w:t>本项目</w:t>
            </w:r>
            <w:r>
              <w:rPr>
                <w:rFonts w:hint="default" w:ascii="Times New Roman" w:hAnsi="Times New Roman" w:eastAsia="宋体" w:cs="Times New Roman"/>
                <w:color w:val="auto"/>
                <w:sz w:val="24"/>
                <w:highlight w:val="none"/>
              </w:rPr>
              <w:t>学校实验主要分为演示实验和分组实验。演示实验，主要为教师授课演示操作，由学生观看学习</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分组实验为学生具体操作实践。</w:t>
            </w:r>
            <w:r>
              <w:rPr>
                <w:rFonts w:hint="default" w:ascii="Times New Roman" w:hAnsi="Times New Roman" w:eastAsia="宋体" w:cs="Times New Roman"/>
                <w:color w:val="auto"/>
                <w:sz w:val="24"/>
                <w:szCs w:val="24"/>
                <w:highlight w:val="none"/>
                <w:u w:val="none"/>
                <w:lang w:val="en-US" w:eastAsia="zh-CN"/>
              </w:rPr>
              <w:t>本项目运营期实验课程设置见下表。</w:t>
            </w:r>
          </w:p>
          <w:p w14:paraId="59C4FEDF">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zh-CN" w:eastAsia="zh-CN"/>
              </w:rPr>
            </w:pPr>
            <w:r>
              <w:rPr>
                <w:rFonts w:hint="eastAsia"/>
                <w:color w:val="auto"/>
                <w:sz w:val="21"/>
                <w:szCs w:val="21"/>
                <w:highlight w:val="none"/>
                <w:lang w:eastAsia="zh-CN"/>
              </w:rPr>
              <w:t>表</w:t>
            </w:r>
            <w:r>
              <w:rPr>
                <w:color w:val="auto"/>
                <w:sz w:val="21"/>
                <w:szCs w:val="21"/>
                <w:highlight w:val="none"/>
              </w:rPr>
              <w:fldChar w:fldCharType="begin"/>
            </w:r>
            <w:r>
              <w:rPr>
                <w:color w:val="auto"/>
                <w:sz w:val="21"/>
                <w:szCs w:val="21"/>
                <w:highlight w:val="none"/>
              </w:rPr>
              <w:instrText xml:space="preserve"> STYLEREF 1 \s </w:instrText>
            </w:r>
            <w:r>
              <w:rPr>
                <w:color w:val="auto"/>
                <w:sz w:val="21"/>
                <w:szCs w:val="21"/>
                <w:highlight w:val="none"/>
              </w:rPr>
              <w:fldChar w:fldCharType="separate"/>
            </w:r>
            <w:r>
              <w:rPr>
                <w:color w:val="auto"/>
                <w:sz w:val="21"/>
                <w:szCs w:val="21"/>
                <w:highlight w:val="none"/>
              </w:rPr>
              <w:t>2</w:t>
            </w:r>
            <w:r>
              <w:rPr>
                <w:color w:val="auto"/>
                <w:sz w:val="21"/>
                <w:szCs w:val="21"/>
                <w:highlight w:val="none"/>
              </w:rPr>
              <w:fldChar w:fldCharType="end"/>
            </w:r>
            <w:r>
              <w:rPr>
                <w:rFonts w:hint="eastAsia"/>
                <w:color w:val="auto"/>
                <w:sz w:val="21"/>
                <w:szCs w:val="21"/>
                <w:highlight w:val="none"/>
                <w:lang w:eastAsia="zh-CN"/>
              </w:rPr>
              <w:t>-</w:t>
            </w:r>
            <w:r>
              <w:rPr>
                <w:color w:val="auto"/>
                <w:sz w:val="21"/>
                <w:szCs w:val="21"/>
                <w:highlight w:val="none"/>
              </w:rPr>
              <w:fldChar w:fldCharType="begin"/>
            </w:r>
            <w:r>
              <w:rPr>
                <w:color w:val="auto"/>
                <w:sz w:val="21"/>
                <w:szCs w:val="21"/>
                <w:highlight w:val="none"/>
              </w:rPr>
              <w:instrText xml:space="preserve"> SEQ 表 \* ARABIC \s 1 </w:instrText>
            </w:r>
            <w:r>
              <w:rPr>
                <w:color w:val="auto"/>
                <w:sz w:val="21"/>
                <w:szCs w:val="21"/>
                <w:highlight w:val="none"/>
              </w:rPr>
              <w:fldChar w:fldCharType="separate"/>
            </w:r>
            <w:r>
              <w:rPr>
                <w:color w:val="auto"/>
                <w:sz w:val="21"/>
                <w:szCs w:val="21"/>
                <w:highlight w:val="none"/>
              </w:rPr>
              <w:t>6</w:t>
            </w:r>
            <w:r>
              <w:rPr>
                <w:color w:val="auto"/>
                <w:sz w:val="21"/>
                <w:szCs w:val="21"/>
                <w:highlight w:val="none"/>
              </w:rPr>
              <w:fldChar w:fldCharType="end"/>
            </w:r>
            <w:r>
              <w:rPr>
                <w:rFonts w:hint="eastAsia"/>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本项目实验课程设置</w:t>
            </w:r>
            <w:r>
              <w:rPr>
                <w:rFonts w:hint="default" w:ascii="Times New Roman" w:hAnsi="Times New Roman" w:eastAsia="宋体" w:cs="Times New Roman"/>
                <w:color w:val="auto"/>
                <w:sz w:val="21"/>
                <w:szCs w:val="21"/>
                <w:highlight w:val="none"/>
                <w:lang w:val="zh-CN" w:eastAsia="zh-CN"/>
              </w:rPr>
              <w:t>一览表</w:t>
            </w:r>
          </w:p>
          <w:tbl>
            <w:tblPr>
              <w:tblStyle w:val="33"/>
              <w:tblW w:w="4997"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15" w:type="dxa"/>
                <w:left w:w="15" w:type="dxa"/>
                <w:bottom w:w="15" w:type="dxa"/>
                <w:right w:w="15" w:type="dxa"/>
              </w:tblCellMar>
            </w:tblPr>
            <w:tblGrid>
              <w:gridCol w:w="557"/>
              <w:gridCol w:w="974"/>
              <w:gridCol w:w="2150"/>
              <w:gridCol w:w="635"/>
              <w:gridCol w:w="1331"/>
              <w:gridCol w:w="1303"/>
              <w:gridCol w:w="1440"/>
            </w:tblGrid>
            <w:tr w14:paraId="6D8016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426" w:hRule="atLeast"/>
                <w:tblHeader/>
                <w:jc w:val="center"/>
              </w:trPr>
              <w:tc>
                <w:tcPr>
                  <w:tcW w:w="332" w:type="pct"/>
                  <w:vMerge w:val="restart"/>
                  <w:noWrap w:val="0"/>
                  <w:vAlign w:val="center"/>
                </w:tcPr>
                <w:p w14:paraId="2AB33B50">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rPr>
                  </w:pPr>
                  <w:r>
                    <w:rPr>
                      <w:rFonts w:hint="default" w:ascii="Times New Roman" w:hAnsi="Times New Roman" w:eastAsia="宋体" w:cs="Times New Roman"/>
                      <w:b/>
                      <w:color w:val="auto"/>
                      <w:kern w:val="0"/>
                      <w:sz w:val="21"/>
                      <w:szCs w:val="21"/>
                      <w:highlight w:val="none"/>
                      <w:u w:val="none"/>
                      <w:vertAlign w:val="baseline"/>
                      <w:lang w:bidi="ar"/>
                    </w:rPr>
                    <w:t>序号</w:t>
                  </w:r>
                </w:p>
              </w:tc>
              <w:tc>
                <w:tcPr>
                  <w:tcW w:w="580" w:type="pct"/>
                  <w:vMerge w:val="restart"/>
                  <w:noWrap w:val="0"/>
                  <w:vAlign w:val="center"/>
                </w:tcPr>
                <w:p w14:paraId="17007BED">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lang w:val="en-US" w:eastAsia="zh-CN"/>
                    </w:rPr>
                  </w:pPr>
                  <w:r>
                    <w:rPr>
                      <w:rFonts w:hint="default" w:ascii="Times New Roman" w:hAnsi="Times New Roman" w:eastAsia="宋体" w:cs="Times New Roman"/>
                      <w:b/>
                      <w:color w:val="auto"/>
                      <w:sz w:val="21"/>
                      <w:szCs w:val="21"/>
                      <w:highlight w:val="none"/>
                      <w:u w:val="none"/>
                      <w:vertAlign w:val="baseline"/>
                      <w:lang w:val="en-US" w:eastAsia="zh-CN"/>
                    </w:rPr>
                    <w:t>实验课程</w:t>
                  </w:r>
                </w:p>
              </w:tc>
              <w:tc>
                <w:tcPr>
                  <w:tcW w:w="1281" w:type="pct"/>
                  <w:vMerge w:val="restart"/>
                  <w:noWrap w:val="0"/>
                  <w:vAlign w:val="center"/>
                </w:tcPr>
                <w:p w14:paraId="20ABD549">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lang w:val="en-US" w:eastAsia="zh-CN"/>
                    </w:rPr>
                  </w:pPr>
                  <w:r>
                    <w:rPr>
                      <w:rFonts w:hint="default" w:ascii="Times New Roman" w:hAnsi="Times New Roman" w:eastAsia="宋体" w:cs="Times New Roman"/>
                      <w:b/>
                      <w:color w:val="auto"/>
                      <w:sz w:val="21"/>
                      <w:szCs w:val="21"/>
                      <w:highlight w:val="none"/>
                      <w:u w:val="none"/>
                      <w:vertAlign w:val="baseline"/>
                      <w:lang w:val="en-US" w:eastAsia="zh-CN"/>
                    </w:rPr>
                    <w:t>实验课程设置</w:t>
                  </w:r>
                </w:p>
              </w:tc>
              <w:tc>
                <w:tcPr>
                  <w:tcW w:w="378" w:type="pct"/>
                  <w:vMerge w:val="restart"/>
                  <w:noWrap w:val="0"/>
                  <w:vAlign w:val="center"/>
                </w:tcPr>
                <w:p w14:paraId="3DE2B218">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lang w:val="en-US" w:eastAsia="zh-CN"/>
                    </w:rPr>
                  </w:pPr>
                  <w:r>
                    <w:rPr>
                      <w:rFonts w:hint="default" w:ascii="Times New Roman" w:hAnsi="Times New Roman" w:eastAsia="宋体" w:cs="Times New Roman"/>
                      <w:b/>
                      <w:color w:val="auto"/>
                      <w:sz w:val="21"/>
                      <w:szCs w:val="21"/>
                      <w:highlight w:val="none"/>
                      <w:u w:val="none"/>
                      <w:vertAlign w:val="baseline"/>
                      <w:lang w:val="en-US" w:eastAsia="zh-CN"/>
                    </w:rPr>
                    <w:t>班级数量</w:t>
                  </w:r>
                </w:p>
              </w:tc>
              <w:tc>
                <w:tcPr>
                  <w:tcW w:w="1569" w:type="pct"/>
                  <w:gridSpan w:val="2"/>
                  <w:tcBorders>
                    <w:bottom w:val="single" w:color="auto" w:sz="4" w:space="0"/>
                  </w:tcBorders>
                  <w:noWrap w:val="0"/>
                  <w:vAlign w:val="center"/>
                </w:tcPr>
                <w:p w14:paraId="78E88CBB">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lang w:val="en-US" w:eastAsia="zh-CN"/>
                    </w:rPr>
                  </w:pPr>
                  <w:r>
                    <w:rPr>
                      <w:rFonts w:hint="default" w:ascii="Times New Roman" w:hAnsi="Times New Roman" w:eastAsia="宋体" w:cs="Times New Roman"/>
                      <w:b/>
                      <w:color w:val="auto"/>
                      <w:sz w:val="21"/>
                      <w:szCs w:val="21"/>
                      <w:highlight w:val="none"/>
                      <w:u w:val="none"/>
                      <w:vertAlign w:val="baseline"/>
                      <w:lang w:val="en-US" w:eastAsia="zh-CN"/>
                    </w:rPr>
                    <w:t>课时数量</w:t>
                  </w:r>
                </w:p>
              </w:tc>
              <w:tc>
                <w:tcPr>
                  <w:tcW w:w="858" w:type="pct"/>
                  <w:vMerge w:val="restart"/>
                  <w:noWrap w:val="0"/>
                  <w:vAlign w:val="center"/>
                </w:tcPr>
                <w:p w14:paraId="1AF3C434">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lang w:val="en-US" w:eastAsia="zh-CN"/>
                    </w:rPr>
                  </w:pPr>
                  <w:r>
                    <w:rPr>
                      <w:rFonts w:hint="default" w:ascii="Times New Roman" w:hAnsi="Times New Roman" w:eastAsia="宋体" w:cs="Times New Roman"/>
                      <w:b/>
                      <w:color w:val="auto"/>
                      <w:sz w:val="21"/>
                      <w:szCs w:val="21"/>
                      <w:highlight w:val="none"/>
                      <w:u w:val="none"/>
                      <w:vertAlign w:val="baseline"/>
                      <w:lang w:val="en-US" w:eastAsia="zh-CN"/>
                    </w:rPr>
                    <w:t>每周参加实验课程的学生数量</w:t>
                  </w:r>
                </w:p>
              </w:tc>
            </w:tr>
            <w:tr w14:paraId="3E4AE5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163" w:hRule="atLeast"/>
                <w:tblHeader/>
                <w:jc w:val="center"/>
              </w:trPr>
              <w:tc>
                <w:tcPr>
                  <w:tcW w:w="332" w:type="pct"/>
                  <w:vMerge w:val="continue"/>
                  <w:noWrap w:val="0"/>
                  <w:vAlign w:val="center"/>
                </w:tcPr>
                <w:p w14:paraId="3EFD7BDE">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kern w:val="0"/>
                      <w:sz w:val="21"/>
                      <w:szCs w:val="21"/>
                      <w:highlight w:val="none"/>
                      <w:u w:val="none"/>
                      <w:vertAlign w:val="baseline"/>
                      <w:lang w:bidi="ar"/>
                    </w:rPr>
                  </w:pPr>
                </w:p>
              </w:tc>
              <w:tc>
                <w:tcPr>
                  <w:tcW w:w="580" w:type="pct"/>
                  <w:vMerge w:val="continue"/>
                  <w:noWrap w:val="0"/>
                  <w:vAlign w:val="center"/>
                </w:tcPr>
                <w:p w14:paraId="33DA0752">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lang w:val="en-US" w:eastAsia="zh-CN"/>
                    </w:rPr>
                  </w:pPr>
                </w:p>
              </w:tc>
              <w:tc>
                <w:tcPr>
                  <w:tcW w:w="1281" w:type="pct"/>
                  <w:vMerge w:val="continue"/>
                  <w:noWrap w:val="0"/>
                  <w:vAlign w:val="center"/>
                </w:tcPr>
                <w:p w14:paraId="5FA0039F">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lang w:val="en-US" w:eastAsia="zh-CN"/>
                    </w:rPr>
                  </w:pPr>
                </w:p>
              </w:tc>
              <w:tc>
                <w:tcPr>
                  <w:tcW w:w="378" w:type="pct"/>
                  <w:vMerge w:val="continue"/>
                  <w:noWrap w:val="0"/>
                  <w:vAlign w:val="center"/>
                </w:tcPr>
                <w:p w14:paraId="42E1EBB5">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lang w:val="en-US" w:eastAsia="zh-CN"/>
                    </w:rPr>
                  </w:pPr>
                </w:p>
              </w:tc>
              <w:tc>
                <w:tcPr>
                  <w:tcW w:w="793" w:type="pct"/>
                  <w:tcBorders>
                    <w:top w:val="single" w:color="auto" w:sz="4" w:space="0"/>
                    <w:right w:val="single" w:color="auto" w:sz="4" w:space="0"/>
                  </w:tcBorders>
                  <w:noWrap w:val="0"/>
                  <w:vAlign w:val="center"/>
                </w:tcPr>
                <w:p w14:paraId="0E0F54C8">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lang w:val="en-US" w:eastAsia="zh-CN"/>
                    </w:rPr>
                  </w:pPr>
                  <w:r>
                    <w:rPr>
                      <w:rFonts w:hint="default" w:ascii="Times New Roman" w:hAnsi="Times New Roman" w:eastAsia="宋体" w:cs="Times New Roman"/>
                      <w:b/>
                      <w:color w:val="auto"/>
                      <w:sz w:val="21"/>
                      <w:szCs w:val="21"/>
                      <w:highlight w:val="none"/>
                      <w:u w:val="none"/>
                      <w:vertAlign w:val="baseline"/>
                      <w:lang w:val="en-US" w:eastAsia="zh-CN"/>
                    </w:rPr>
                    <w:t>演示实验</w:t>
                  </w:r>
                </w:p>
              </w:tc>
              <w:tc>
                <w:tcPr>
                  <w:tcW w:w="775" w:type="pct"/>
                  <w:tcBorders>
                    <w:top w:val="single" w:color="auto" w:sz="4" w:space="0"/>
                    <w:left w:val="single" w:color="auto" w:sz="4" w:space="0"/>
                  </w:tcBorders>
                  <w:noWrap w:val="0"/>
                  <w:vAlign w:val="center"/>
                </w:tcPr>
                <w:p w14:paraId="68DE5FD3">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lang w:val="en-US" w:eastAsia="zh-CN"/>
                    </w:rPr>
                  </w:pPr>
                  <w:r>
                    <w:rPr>
                      <w:rFonts w:hint="default" w:ascii="Times New Roman" w:hAnsi="Times New Roman" w:eastAsia="宋体" w:cs="Times New Roman"/>
                      <w:b/>
                      <w:color w:val="auto"/>
                      <w:sz w:val="21"/>
                      <w:szCs w:val="21"/>
                      <w:highlight w:val="none"/>
                      <w:u w:val="none"/>
                      <w:vertAlign w:val="baseline"/>
                      <w:lang w:val="en-US" w:eastAsia="zh-CN"/>
                    </w:rPr>
                    <w:t>学生实验</w:t>
                  </w:r>
                </w:p>
              </w:tc>
              <w:tc>
                <w:tcPr>
                  <w:tcW w:w="858" w:type="pct"/>
                  <w:vMerge w:val="continue"/>
                  <w:noWrap w:val="0"/>
                  <w:vAlign w:val="center"/>
                </w:tcPr>
                <w:p w14:paraId="07A306B1">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b/>
                      <w:color w:val="auto"/>
                      <w:sz w:val="21"/>
                      <w:szCs w:val="21"/>
                      <w:highlight w:val="none"/>
                      <w:u w:val="none"/>
                      <w:vertAlign w:val="baseline"/>
                      <w:lang w:val="en-US" w:eastAsia="zh-CN"/>
                    </w:rPr>
                  </w:pPr>
                </w:p>
              </w:tc>
            </w:tr>
            <w:tr w14:paraId="68E415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163" w:hRule="atLeast"/>
                <w:tblHeader/>
                <w:jc w:val="center"/>
              </w:trPr>
              <w:tc>
                <w:tcPr>
                  <w:tcW w:w="332" w:type="pct"/>
                  <w:noWrap w:val="0"/>
                  <w:vAlign w:val="center"/>
                </w:tcPr>
                <w:p w14:paraId="226C489B">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21"/>
                      <w:szCs w:val="21"/>
                      <w:highlight w:val="none"/>
                      <w:u w:val="none"/>
                      <w:vertAlign w:val="baseline"/>
                      <w:lang w:val="en-US" w:eastAsia="zh-CN" w:bidi="ar-SA"/>
                    </w:rPr>
                  </w:pPr>
                  <w:r>
                    <w:rPr>
                      <w:rFonts w:hint="default" w:ascii="Times New Roman" w:hAnsi="Times New Roman" w:eastAsia="宋体" w:cs="Times New Roman"/>
                      <w:color w:val="auto"/>
                      <w:kern w:val="2"/>
                      <w:sz w:val="21"/>
                      <w:szCs w:val="21"/>
                      <w:highlight w:val="none"/>
                      <w:u w:val="none"/>
                      <w:vertAlign w:val="baseline"/>
                      <w:lang w:val="en-US" w:eastAsia="zh-CN" w:bidi="ar-SA"/>
                    </w:rPr>
                    <w:t>1</w:t>
                  </w:r>
                </w:p>
              </w:tc>
              <w:tc>
                <w:tcPr>
                  <w:tcW w:w="580" w:type="pct"/>
                  <w:noWrap w:val="0"/>
                  <w:vAlign w:val="center"/>
                </w:tcPr>
                <w:p w14:paraId="7B4844C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高中物理实验课</w:t>
                  </w:r>
                </w:p>
              </w:tc>
              <w:tc>
                <w:tcPr>
                  <w:tcW w:w="1281" w:type="pct"/>
                  <w:noWrap w:val="0"/>
                  <w:vAlign w:val="center"/>
                </w:tcPr>
                <w:p w14:paraId="3FEA1F6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高中各年级每班平均40次物理实验课程</w:t>
                  </w:r>
                </w:p>
              </w:tc>
              <w:tc>
                <w:tcPr>
                  <w:tcW w:w="378" w:type="pct"/>
                  <w:noWrap w:val="0"/>
                  <w:vAlign w:val="center"/>
                </w:tcPr>
                <w:p w14:paraId="3F86122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0"/>
                      <w:sz w:val="21"/>
                      <w:szCs w:val="21"/>
                      <w:highlight w:val="none"/>
                      <w:u w:val="none"/>
                      <w:vertAlign w:val="baseline"/>
                      <w:lang w:val="en-US" w:eastAsia="zh-CN" w:bidi="ar"/>
                    </w:rPr>
                  </w:pPr>
                  <w:r>
                    <w:rPr>
                      <w:rFonts w:hint="eastAsia" w:ascii="Times New Roman" w:hAnsi="Times New Roman" w:eastAsia="宋体" w:cs="Times New Roman"/>
                      <w:b w:val="0"/>
                      <w:bCs/>
                      <w:color w:val="auto"/>
                      <w:kern w:val="0"/>
                      <w:sz w:val="21"/>
                      <w:szCs w:val="21"/>
                      <w:highlight w:val="none"/>
                      <w:u w:val="none"/>
                      <w:vertAlign w:val="baseline"/>
                      <w:lang w:val="en-US" w:eastAsia="zh-CN" w:bidi="ar"/>
                    </w:rPr>
                    <w:t>30</w:t>
                  </w:r>
                  <w:r>
                    <w:rPr>
                      <w:rFonts w:hint="default" w:ascii="Times New Roman" w:hAnsi="Times New Roman" w:eastAsia="宋体" w:cs="Times New Roman"/>
                      <w:b w:val="0"/>
                      <w:bCs/>
                      <w:color w:val="auto"/>
                      <w:kern w:val="0"/>
                      <w:sz w:val="21"/>
                      <w:szCs w:val="21"/>
                      <w:highlight w:val="none"/>
                      <w:u w:val="none"/>
                      <w:vertAlign w:val="baseline"/>
                      <w:lang w:val="en-US" w:eastAsia="zh-CN" w:bidi="ar"/>
                    </w:rPr>
                    <w:t>班</w:t>
                  </w:r>
                </w:p>
              </w:tc>
              <w:tc>
                <w:tcPr>
                  <w:tcW w:w="793" w:type="pct"/>
                  <w:tcBorders>
                    <w:top w:val="single" w:color="auto" w:sz="4" w:space="0"/>
                    <w:right w:val="single" w:color="auto" w:sz="4" w:space="0"/>
                  </w:tcBorders>
                  <w:noWrap w:val="0"/>
                  <w:vAlign w:val="center"/>
                </w:tcPr>
                <w:p w14:paraId="5E4CF53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color w:val="auto"/>
                      <w:kern w:val="0"/>
                      <w:sz w:val="21"/>
                      <w:szCs w:val="21"/>
                      <w:highlight w:val="none"/>
                      <w:u w:val="none"/>
                      <w:vertAlign w:val="baseline"/>
                      <w:lang w:val="en-US" w:eastAsia="zh-CN" w:bidi="ar"/>
                    </w:rPr>
                  </w:pPr>
                  <w:r>
                    <w:rPr>
                      <w:rFonts w:hint="default" w:ascii="Times New Roman" w:hAnsi="Times New Roman" w:eastAsia="宋体" w:cs="Times New Roman"/>
                      <w:b w:val="0"/>
                      <w:bCs/>
                      <w:color w:val="auto"/>
                      <w:kern w:val="0"/>
                      <w:sz w:val="21"/>
                      <w:szCs w:val="21"/>
                      <w:highlight w:val="none"/>
                      <w:u w:val="none"/>
                      <w:vertAlign w:val="baseline"/>
                      <w:lang w:val="en-US" w:eastAsia="zh-CN" w:bidi="ar"/>
                    </w:rPr>
                    <w:t>32</w:t>
                  </w:r>
                  <w:r>
                    <w:rPr>
                      <w:rFonts w:hint="default" w:ascii="Times New Roman" w:hAnsi="Times New Roman" w:eastAsia="宋体" w:cs="Times New Roman"/>
                      <w:color w:val="auto"/>
                      <w:kern w:val="0"/>
                      <w:sz w:val="21"/>
                      <w:szCs w:val="21"/>
                      <w:highlight w:val="none"/>
                      <w:lang w:val="en-US" w:eastAsia="zh-CN" w:bidi="ar"/>
                    </w:rPr>
                    <w:t>次/a·每班</w:t>
                  </w:r>
                </w:p>
              </w:tc>
              <w:tc>
                <w:tcPr>
                  <w:tcW w:w="775" w:type="pct"/>
                  <w:tcBorders>
                    <w:top w:val="single" w:color="auto" w:sz="4" w:space="0"/>
                    <w:left w:val="single" w:color="auto" w:sz="4" w:space="0"/>
                  </w:tcBorders>
                  <w:noWrap w:val="0"/>
                  <w:vAlign w:val="center"/>
                </w:tcPr>
                <w:p w14:paraId="557AD15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8次/a·每班</w:t>
                  </w:r>
                </w:p>
              </w:tc>
              <w:tc>
                <w:tcPr>
                  <w:tcW w:w="858" w:type="pct"/>
                  <w:noWrap w:val="0"/>
                  <w:vAlign w:val="center"/>
                </w:tcPr>
                <w:p w14:paraId="4F916A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0"/>
                      <w:sz w:val="21"/>
                      <w:szCs w:val="21"/>
                      <w:highlight w:val="none"/>
                      <w:u w:val="none"/>
                      <w:vertAlign w:val="baseline"/>
                      <w:lang w:val="en-US" w:eastAsia="zh-CN" w:bidi="ar"/>
                    </w:rPr>
                  </w:pPr>
                  <w:r>
                    <w:rPr>
                      <w:rFonts w:hint="default" w:ascii="Times New Roman" w:hAnsi="Times New Roman" w:eastAsia="宋体" w:cs="Times New Roman"/>
                      <w:b w:val="0"/>
                      <w:bCs/>
                      <w:color w:val="auto"/>
                      <w:kern w:val="0"/>
                      <w:sz w:val="21"/>
                      <w:szCs w:val="21"/>
                      <w:highlight w:val="none"/>
                      <w:u w:val="none"/>
                      <w:vertAlign w:val="baseline"/>
                      <w:lang w:val="en-US" w:eastAsia="zh-CN" w:bidi="ar"/>
                    </w:rPr>
                    <w:t>1</w:t>
                  </w:r>
                  <w:r>
                    <w:rPr>
                      <w:rFonts w:hint="eastAsia" w:ascii="Times New Roman" w:hAnsi="Times New Roman" w:eastAsia="宋体" w:cs="Times New Roman"/>
                      <w:b w:val="0"/>
                      <w:bCs/>
                      <w:color w:val="auto"/>
                      <w:kern w:val="0"/>
                      <w:sz w:val="21"/>
                      <w:szCs w:val="21"/>
                      <w:highlight w:val="none"/>
                      <w:u w:val="none"/>
                      <w:vertAlign w:val="baseline"/>
                      <w:lang w:val="en-US" w:eastAsia="zh-CN" w:bidi="ar"/>
                    </w:rPr>
                    <w:t>5</w:t>
                  </w:r>
                  <w:r>
                    <w:rPr>
                      <w:rFonts w:hint="default" w:ascii="Times New Roman" w:hAnsi="Times New Roman" w:eastAsia="宋体" w:cs="Times New Roman"/>
                      <w:b w:val="0"/>
                      <w:bCs/>
                      <w:color w:val="auto"/>
                      <w:kern w:val="0"/>
                      <w:sz w:val="21"/>
                      <w:szCs w:val="21"/>
                      <w:highlight w:val="none"/>
                      <w:u w:val="none"/>
                      <w:vertAlign w:val="baseline"/>
                      <w:lang w:val="en-US" w:eastAsia="zh-CN" w:bidi="ar"/>
                    </w:rPr>
                    <w:t>00人</w:t>
                  </w:r>
                </w:p>
              </w:tc>
            </w:tr>
            <w:tr w14:paraId="442CBB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868" w:hRule="atLeast"/>
                <w:jc w:val="center"/>
              </w:trPr>
              <w:tc>
                <w:tcPr>
                  <w:tcW w:w="332" w:type="pct"/>
                  <w:noWrap w:val="0"/>
                  <w:vAlign w:val="center"/>
                </w:tcPr>
                <w:p w14:paraId="41995CB0">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21"/>
                      <w:szCs w:val="21"/>
                      <w:highlight w:val="none"/>
                      <w:u w:val="none"/>
                      <w:vertAlign w:val="baseline"/>
                      <w:lang w:val="en-US" w:eastAsia="zh-CN" w:bidi="ar-SA"/>
                    </w:rPr>
                  </w:pPr>
                  <w:r>
                    <w:rPr>
                      <w:rFonts w:hint="default" w:ascii="Times New Roman" w:hAnsi="Times New Roman" w:eastAsia="宋体" w:cs="Times New Roman"/>
                      <w:color w:val="auto"/>
                      <w:kern w:val="2"/>
                      <w:sz w:val="21"/>
                      <w:szCs w:val="21"/>
                      <w:highlight w:val="none"/>
                      <w:u w:val="none"/>
                      <w:vertAlign w:val="baseline"/>
                      <w:lang w:val="en-US" w:eastAsia="zh-CN" w:bidi="ar-SA"/>
                    </w:rPr>
                    <w:t>2</w:t>
                  </w:r>
                </w:p>
              </w:tc>
              <w:tc>
                <w:tcPr>
                  <w:tcW w:w="580" w:type="pct"/>
                  <w:noWrap w:val="0"/>
                  <w:vAlign w:val="center"/>
                </w:tcPr>
                <w:p w14:paraId="0BF602E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color w:val="auto"/>
                      <w:kern w:val="0"/>
                      <w:sz w:val="21"/>
                      <w:szCs w:val="21"/>
                      <w:highlight w:val="none"/>
                      <w:u w:val="none"/>
                      <w:vertAlign w:val="baseline"/>
                      <w:lang w:val="en-US" w:eastAsia="zh-CN" w:bidi="ar"/>
                    </w:rPr>
                  </w:pPr>
                  <w:r>
                    <w:rPr>
                      <w:rFonts w:hint="default" w:ascii="Times New Roman" w:hAnsi="Times New Roman" w:eastAsia="宋体" w:cs="Times New Roman"/>
                      <w:color w:val="auto"/>
                      <w:kern w:val="0"/>
                      <w:sz w:val="21"/>
                      <w:szCs w:val="21"/>
                      <w:highlight w:val="none"/>
                      <w:lang w:val="en-US" w:eastAsia="zh-CN" w:bidi="ar"/>
                    </w:rPr>
                    <w:t>高中化学实验课</w:t>
                  </w:r>
                </w:p>
              </w:tc>
              <w:tc>
                <w:tcPr>
                  <w:tcW w:w="1281" w:type="pct"/>
                  <w:noWrap w:val="0"/>
                  <w:vAlign w:val="center"/>
                </w:tcPr>
                <w:p w14:paraId="64D7414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color w:val="auto"/>
                      <w:kern w:val="0"/>
                      <w:sz w:val="21"/>
                      <w:szCs w:val="21"/>
                      <w:highlight w:val="none"/>
                      <w:u w:val="none"/>
                      <w:vertAlign w:val="baseline"/>
                      <w:lang w:val="en-US" w:eastAsia="zh-CN" w:bidi="ar"/>
                    </w:rPr>
                  </w:pPr>
                  <w:r>
                    <w:rPr>
                      <w:rFonts w:hint="default" w:ascii="Times New Roman" w:hAnsi="Times New Roman" w:eastAsia="宋体" w:cs="Times New Roman"/>
                      <w:color w:val="auto"/>
                      <w:kern w:val="0"/>
                      <w:sz w:val="21"/>
                      <w:szCs w:val="21"/>
                      <w:highlight w:val="none"/>
                      <w:lang w:val="en-US" w:eastAsia="zh-CN" w:bidi="ar"/>
                    </w:rPr>
                    <w:t>高中各年级每班平均40次化学实验课程</w:t>
                  </w:r>
                </w:p>
              </w:tc>
              <w:tc>
                <w:tcPr>
                  <w:tcW w:w="378" w:type="pct"/>
                  <w:noWrap w:val="0"/>
                  <w:vAlign w:val="center"/>
                </w:tcPr>
                <w:p w14:paraId="5FD333F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0"/>
                      <w:sz w:val="21"/>
                      <w:szCs w:val="21"/>
                      <w:highlight w:val="none"/>
                      <w:u w:val="none"/>
                      <w:vertAlign w:val="baseline"/>
                      <w:lang w:val="en-US" w:eastAsia="zh-CN" w:bidi="ar"/>
                    </w:rPr>
                  </w:pPr>
                  <w:r>
                    <w:rPr>
                      <w:rFonts w:hint="eastAsia" w:ascii="Times New Roman" w:hAnsi="Times New Roman" w:eastAsia="宋体" w:cs="Times New Roman"/>
                      <w:b w:val="0"/>
                      <w:bCs/>
                      <w:color w:val="auto"/>
                      <w:kern w:val="0"/>
                      <w:sz w:val="21"/>
                      <w:szCs w:val="21"/>
                      <w:highlight w:val="none"/>
                      <w:u w:val="none"/>
                      <w:vertAlign w:val="baseline"/>
                      <w:lang w:val="en-US" w:eastAsia="zh-CN" w:bidi="ar"/>
                    </w:rPr>
                    <w:t>30</w:t>
                  </w:r>
                  <w:r>
                    <w:rPr>
                      <w:rFonts w:hint="default" w:ascii="Times New Roman" w:hAnsi="Times New Roman" w:eastAsia="宋体" w:cs="Times New Roman"/>
                      <w:b w:val="0"/>
                      <w:bCs/>
                      <w:color w:val="auto"/>
                      <w:kern w:val="0"/>
                      <w:sz w:val="21"/>
                      <w:szCs w:val="21"/>
                      <w:highlight w:val="none"/>
                      <w:u w:val="none"/>
                      <w:vertAlign w:val="baseline"/>
                      <w:lang w:val="en-US" w:eastAsia="zh-CN" w:bidi="ar"/>
                    </w:rPr>
                    <w:t>班</w:t>
                  </w:r>
                </w:p>
              </w:tc>
              <w:tc>
                <w:tcPr>
                  <w:tcW w:w="793" w:type="pct"/>
                  <w:tcBorders>
                    <w:right w:val="single" w:color="auto" w:sz="4" w:space="0"/>
                  </w:tcBorders>
                  <w:noWrap w:val="0"/>
                  <w:vAlign w:val="center"/>
                </w:tcPr>
                <w:p w14:paraId="531E09F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color w:val="auto"/>
                      <w:kern w:val="0"/>
                      <w:sz w:val="21"/>
                      <w:szCs w:val="21"/>
                      <w:highlight w:val="none"/>
                      <w:u w:val="none"/>
                      <w:vertAlign w:val="baseline"/>
                      <w:lang w:val="en-US" w:eastAsia="zh-CN" w:bidi="ar"/>
                    </w:rPr>
                  </w:pPr>
                  <w:r>
                    <w:rPr>
                      <w:rFonts w:hint="default" w:ascii="Times New Roman" w:hAnsi="Times New Roman" w:eastAsia="宋体" w:cs="Times New Roman"/>
                      <w:b w:val="0"/>
                      <w:bCs/>
                      <w:color w:val="auto"/>
                      <w:kern w:val="0"/>
                      <w:sz w:val="21"/>
                      <w:szCs w:val="21"/>
                      <w:highlight w:val="none"/>
                      <w:u w:val="none"/>
                      <w:vertAlign w:val="baseline"/>
                      <w:lang w:val="en-US" w:eastAsia="zh-CN" w:bidi="ar"/>
                    </w:rPr>
                    <w:t>24</w:t>
                  </w:r>
                  <w:r>
                    <w:rPr>
                      <w:rFonts w:hint="default" w:ascii="Times New Roman" w:hAnsi="Times New Roman" w:eastAsia="宋体" w:cs="Times New Roman"/>
                      <w:color w:val="auto"/>
                      <w:kern w:val="0"/>
                      <w:sz w:val="21"/>
                      <w:szCs w:val="21"/>
                      <w:highlight w:val="none"/>
                      <w:lang w:val="en-US" w:eastAsia="zh-CN" w:bidi="ar"/>
                    </w:rPr>
                    <w:t>次/a·每班</w:t>
                  </w:r>
                </w:p>
              </w:tc>
              <w:tc>
                <w:tcPr>
                  <w:tcW w:w="775" w:type="pct"/>
                  <w:tcBorders>
                    <w:left w:val="single" w:color="auto" w:sz="4" w:space="0"/>
                  </w:tcBorders>
                  <w:noWrap w:val="0"/>
                  <w:vAlign w:val="center"/>
                </w:tcPr>
                <w:p w14:paraId="71FAC3C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16次/a·每班</w:t>
                  </w:r>
                </w:p>
              </w:tc>
              <w:tc>
                <w:tcPr>
                  <w:tcW w:w="858" w:type="pct"/>
                  <w:noWrap w:val="0"/>
                  <w:vAlign w:val="center"/>
                </w:tcPr>
                <w:p w14:paraId="1C919F1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0"/>
                      <w:sz w:val="21"/>
                      <w:szCs w:val="21"/>
                      <w:highlight w:val="none"/>
                      <w:u w:val="none"/>
                      <w:vertAlign w:val="baseline"/>
                      <w:lang w:val="en-US" w:eastAsia="zh-CN" w:bidi="ar"/>
                    </w:rPr>
                  </w:pPr>
                  <w:r>
                    <w:rPr>
                      <w:rFonts w:hint="default" w:ascii="Times New Roman" w:hAnsi="Times New Roman" w:eastAsia="宋体" w:cs="Times New Roman"/>
                      <w:b w:val="0"/>
                      <w:bCs/>
                      <w:color w:val="auto"/>
                      <w:kern w:val="0"/>
                      <w:sz w:val="21"/>
                      <w:szCs w:val="21"/>
                      <w:highlight w:val="none"/>
                      <w:u w:val="none"/>
                      <w:vertAlign w:val="baseline"/>
                      <w:lang w:val="en-US" w:eastAsia="zh-CN" w:bidi="ar"/>
                    </w:rPr>
                    <w:t>1</w:t>
                  </w:r>
                  <w:r>
                    <w:rPr>
                      <w:rFonts w:hint="eastAsia" w:ascii="Times New Roman" w:hAnsi="Times New Roman" w:eastAsia="宋体" w:cs="Times New Roman"/>
                      <w:b w:val="0"/>
                      <w:bCs/>
                      <w:color w:val="auto"/>
                      <w:kern w:val="0"/>
                      <w:sz w:val="21"/>
                      <w:szCs w:val="21"/>
                      <w:highlight w:val="none"/>
                      <w:u w:val="none"/>
                      <w:vertAlign w:val="baseline"/>
                      <w:lang w:val="en-US" w:eastAsia="zh-CN" w:bidi="ar"/>
                    </w:rPr>
                    <w:t>5</w:t>
                  </w:r>
                  <w:r>
                    <w:rPr>
                      <w:rFonts w:hint="default" w:ascii="Times New Roman" w:hAnsi="Times New Roman" w:eastAsia="宋体" w:cs="Times New Roman"/>
                      <w:b w:val="0"/>
                      <w:bCs/>
                      <w:color w:val="auto"/>
                      <w:kern w:val="0"/>
                      <w:sz w:val="21"/>
                      <w:szCs w:val="21"/>
                      <w:highlight w:val="none"/>
                      <w:u w:val="none"/>
                      <w:vertAlign w:val="baseline"/>
                      <w:lang w:val="en-US" w:eastAsia="zh-CN" w:bidi="ar"/>
                    </w:rPr>
                    <w:t>00人</w:t>
                  </w:r>
                </w:p>
              </w:tc>
            </w:tr>
            <w:tr w14:paraId="4FB480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868" w:hRule="atLeast"/>
                <w:jc w:val="center"/>
              </w:trPr>
              <w:tc>
                <w:tcPr>
                  <w:tcW w:w="332" w:type="pct"/>
                  <w:noWrap w:val="0"/>
                  <w:vAlign w:val="center"/>
                </w:tcPr>
                <w:p w14:paraId="63A9CF6B">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21"/>
                      <w:szCs w:val="21"/>
                      <w:highlight w:val="none"/>
                      <w:u w:val="none"/>
                      <w:vertAlign w:val="baseline"/>
                      <w:lang w:val="en-US" w:eastAsia="zh-CN" w:bidi="ar-SA"/>
                    </w:rPr>
                  </w:pPr>
                  <w:r>
                    <w:rPr>
                      <w:rFonts w:hint="default" w:ascii="Times New Roman" w:hAnsi="Times New Roman" w:eastAsia="宋体" w:cs="Times New Roman"/>
                      <w:color w:val="auto"/>
                      <w:kern w:val="2"/>
                      <w:sz w:val="21"/>
                      <w:szCs w:val="21"/>
                      <w:highlight w:val="none"/>
                      <w:u w:val="none"/>
                      <w:vertAlign w:val="baseline"/>
                      <w:lang w:val="en-US" w:eastAsia="zh-CN" w:bidi="ar-SA"/>
                    </w:rPr>
                    <w:t>3</w:t>
                  </w:r>
                </w:p>
              </w:tc>
              <w:tc>
                <w:tcPr>
                  <w:tcW w:w="580" w:type="pct"/>
                  <w:noWrap w:val="0"/>
                  <w:vAlign w:val="center"/>
                </w:tcPr>
                <w:p w14:paraId="3CAF463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color w:val="auto"/>
                      <w:kern w:val="0"/>
                      <w:sz w:val="21"/>
                      <w:szCs w:val="21"/>
                      <w:highlight w:val="none"/>
                      <w:u w:val="none"/>
                      <w:vertAlign w:val="baseline"/>
                      <w:lang w:val="en-US" w:eastAsia="zh-CN" w:bidi="ar"/>
                    </w:rPr>
                  </w:pPr>
                  <w:r>
                    <w:rPr>
                      <w:rFonts w:hint="default" w:ascii="Times New Roman" w:hAnsi="Times New Roman" w:eastAsia="宋体" w:cs="Times New Roman"/>
                      <w:color w:val="auto"/>
                      <w:kern w:val="0"/>
                      <w:sz w:val="21"/>
                      <w:szCs w:val="21"/>
                      <w:highlight w:val="none"/>
                      <w:lang w:val="en-US" w:eastAsia="zh-CN" w:bidi="ar"/>
                    </w:rPr>
                    <w:t>高中生物实验课</w:t>
                  </w:r>
                </w:p>
              </w:tc>
              <w:tc>
                <w:tcPr>
                  <w:tcW w:w="1281" w:type="pct"/>
                  <w:noWrap w:val="0"/>
                  <w:vAlign w:val="center"/>
                </w:tcPr>
                <w:p w14:paraId="4F14BD7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color w:val="auto"/>
                      <w:kern w:val="0"/>
                      <w:sz w:val="21"/>
                      <w:szCs w:val="21"/>
                      <w:highlight w:val="none"/>
                      <w:u w:val="none"/>
                      <w:vertAlign w:val="baseline"/>
                      <w:lang w:val="en-US" w:eastAsia="zh-CN" w:bidi="ar"/>
                    </w:rPr>
                  </w:pPr>
                  <w:r>
                    <w:rPr>
                      <w:rFonts w:hint="default" w:ascii="Times New Roman" w:hAnsi="Times New Roman" w:eastAsia="宋体" w:cs="Times New Roman"/>
                      <w:color w:val="auto"/>
                      <w:kern w:val="0"/>
                      <w:sz w:val="21"/>
                      <w:szCs w:val="21"/>
                      <w:highlight w:val="none"/>
                      <w:lang w:val="en-US" w:eastAsia="zh-CN" w:bidi="ar"/>
                    </w:rPr>
                    <w:t>高中各年级每班平均40次生物实验课程</w:t>
                  </w:r>
                </w:p>
              </w:tc>
              <w:tc>
                <w:tcPr>
                  <w:tcW w:w="378" w:type="pct"/>
                  <w:noWrap w:val="0"/>
                  <w:vAlign w:val="center"/>
                </w:tcPr>
                <w:p w14:paraId="3867FD9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0"/>
                      <w:sz w:val="21"/>
                      <w:szCs w:val="21"/>
                      <w:highlight w:val="none"/>
                      <w:u w:val="none"/>
                      <w:vertAlign w:val="baseline"/>
                      <w:lang w:val="en-US" w:eastAsia="zh-CN" w:bidi="ar"/>
                    </w:rPr>
                  </w:pPr>
                  <w:r>
                    <w:rPr>
                      <w:rFonts w:hint="eastAsia" w:ascii="Times New Roman" w:hAnsi="Times New Roman" w:eastAsia="宋体" w:cs="Times New Roman"/>
                      <w:b w:val="0"/>
                      <w:bCs/>
                      <w:color w:val="auto"/>
                      <w:kern w:val="0"/>
                      <w:sz w:val="21"/>
                      <w:szCs w:val="21"/>
                      <w:highlight w:val="none"/>
                      <w:u w:val="none"/>
                      <w:vertAlign w:val="baseline"/>
                      <w:lang w:val="en-US" w:eastAsia="zh-CN" w:bidi="ar"/>
                    </w:rPr>
                    <w:t>30</w:t>
                  </w:r>
                  <w:r>
                    <w:rPr>
                      <w:rFonts w:hint="default" w:ascii="Times New Roman" w:hAnsi="Times New Roman" w:eastAsia="宋体" w:cs="Times New Roman"/>
                      <w:b w:val="0"/>
                      <w:bCs/>
                      <w:color w:val="auto"/>
                      <w:kern w:val="0"/>
                      <w:sz w:val="21"/>
                      <w:szCs w:val="21"/>
                      <w:highlight w:val="none"/>
                      <w:u w:val="none"/>
                      <w:vertAlign w:val="baseline"/>
                      <w:lang w:val="en-US" w:eastAsia="zh-CN" w:bidi="ar"/>
                    </w:rPr>
                    <w:t>班</w:t>
                  </w:r>
                </w:p>
              </w:tc>
              <w:tc>
                <w:tcPr>
                  <w:tcW w:w="793" w:type="pct"/>
                  <w:tcBorders>
                    <w:right w:val="single" w:color="auto" w:sz="4" w:space="0"/>
                  </w:tcBorders>
                  <w:noWrap w:val="0"/>
                  <w:vAlign w:val="center"/>
                </w:tcPr>
                <w:p w14:paraId="1BB8D3D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color w:val="auto"/>
                      <w:kern w:val="0"/>
                      <w:sz w:val="21"/>
                      <w:szCs w:val="21"/>
                      <w:highlight w:val="none"/>
                      <w:u w:val="none"/>
                      <w:vertAlign w:val="baseline"/>
                      <w:lang w:val="en-US" w:eastAsia="zh-CN" w:bidi="ar"/>
                    </w:rPr>
                  </w:pPr>
                  <w:r>
                    <w:rPr>
                      <w:rFonts w:hint="default" w:ascii="Times New Roman" w:hAnsi="Times New Roman" w:eastAsia="宋体" w:cs="Times New Roman"/>
                      <w:b w:val="0"/>
                      <w:bCs/>
                      <w:color w:val="auto"/>
                      <w:kern w:val="0"/>
                      <w:sz w:val="21"/>
                      <w:szCs w:val="21"/>
                      <w:highlight w:val="none"/>
                      <w:u w:val="none"/>
                      <w:vertAlign w:val="baseline"/>
                      <w:lang w:val="en-US" w:eastAsia="zh-CN" w:bidi="ar"/>
                    </w:rPr>
                    <w:t>30</w:t>
                  </w:r>
                  <w:r>
                    <w:rPr>
                      <w:rFonts w:hint="default" w:ascii="Times New Roman" w:hAnsi="Times New Roman" w:eastAsia="宋体" w:cs="Times New Roman"/>
                      <w:color w:val="auto"/>
                      <w:kern w:val="0"/>
                      <w:sz w:val="21"/>
                      <w:szCs w:val="21"/>
                      <w:highlight w:val="none"/>
                      <w:lang w:val="en-US" w:eastAsia="zh-CN" w:bidi="ar"/>
                    </w:rPr>
                    <w:t>次/a·每班</w:t>
                  </w:r>
                </w:p>
              </w:tc>
              <w:tc>
                <w:tcPr>
                  <w:tcW w:w="775" w:type="pct"/>
                  <w:tcBorders>
                    <w:left w:val="single" w:color="auto" w:sz="4" w:space="0"/>
                  </w:tcBorders>
                  <w:noWrap w:val="0"/>
                  <w:vAlign w:val="center"/>
                </w:tcPr>
                <w:p w14:paraId="2C128FF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10次/a·每班</w:t>
                  </w:r>
                </w:p>
              </w:tc>
              <w:tc>
                <w:tcPr>
                  <w:tcW w:w="858" w:type="pct"/>
                  <w:noWrap w:val="0"/>
                  <w:vAlign w:val="center"/>
                </w:tcPr>
                <w:p w14:paraId="41FC36D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0"/>
                      <w:sz w:val="21"/>
                      <w:szCs w:val="21"/>
                      <w:highlight w:val="none"/>
                      <w:u w:val="none"/>
                      <w:vertAlign w:val="baseline"/>
                      <w:lang w:val="en-US" w:eastAsia="zh-CN" w:bidi="ar"/>
                    </w:rPr>
                  </w:pPr>
                  <w:r>
                    <w:rPr>
                      <w:rFonts w:hint="default" w:ascii="Times New Roman" w:hAnsi="Times New Roman" w:eastAsia="宋体" w:cs="Times New Roman"/>
                      <w:b w:val="0"/>
                      <w:bCs/>
                      <w:color w:val="auto"/>
                      <w:kern w:val="0"/>
                      <w:sz w:val="21"/>
                      <w:szCs w:val="21"/>
                      <w:highlight w:val="none"/>
                      <w:u w:val="none"/>
                      <w:vertAlign w:val="baseline"/>
                      <w:lang w:val="en-US" w:eastAsia="zh-CN" w:bidi="ar"/>
                    </w:rPr>
                    <w:t>1</w:t>
                  </w:r>
                  <w:r>
                    <w:rPr>
                      <w:rFonts w:hint="eastAsia" w:ascii="Times New Roman" w:hAnsi="Times New Roman" w:eastAsia="宋体" w:cs="Times New Roman"/>
                      <w:b w:val="0"/>
                      <w:bCs/>
                      <w:color w:val="auto"/>
                      <w:kern w:val="0"/>
                      <w:sz w:val="21"/>
                      <w:szCs w:val="21"/>
                      <w:highlight w:val="none"/>
                      <w:u w:val="none"/>
                      <w:vertAlign w:val="baseline"/>
                      <w:lang w:val="en-US" w:eastAsia="zh-CN" w:bidi="ar"/>
                    </w:rPr>
                    <w:t>5</w:t>
                  </w:r>
                  <w:r>
                    <w:rPr>
                      <w:rFonts w:hint="default" w:ascii="Times New Roman" w:hAnsi="Times New Roman" w:eastAsia="宋体" w:cs="Times New Roman"/>
                      <w:b w:val="0"/>
                      <w:bCs/>
                      <w:color w:val="auto"/>
                      <w:kern w:val="0"/>
                      <w:sz w:val="21"/>
                      <w:szCs w:val="21"/>
                      <w:highlight w:val="none"/>
                      <w:u w:val="none"/>
                      <w:vertAlign w:val="baseline"/>
                      <w:lang w:val="en-US" w:eastAsia="zh-CN" w:bidi="ar"/>
                    </w:rPr>
                    <w:t>00人</w:t>
                  </w:r>
                </w:p>
              </w:tc>
            </w:tr>
          </w:tbl>
          <w:p w14:paraId="49B8B79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bCs/>
                <w:color w:val="auto"/>
                <w:kern w:val="0"/>
                <w:szCs w:val="21"/>
                <w:highlight w:val="none"/>
                <w:lang w:val="zh-CN" w:eastAsia="zh-CN"/>
              </w:rPr>
            </w:pPr>
            <w:r>
              <w:rPr>
                <w:rFonts w:hint="default" w:ascii="Times New Roman" w:hAnsi="Times New Roman" w:eastAsia="宋体" w:cs="Times New Roman"/>
                <w:color w:val="auto"/>
                <w:kern w:val="0"/>
                <w:sz w:val="24"/>
                <w:szCs w:val="24"/>
                <w:highlight w:val="none"/>
                <w:lang w:val="en-US" w:eastAsia="zh-CN" w:bidi="ar"/>
              </w:rPr>
              <w:t>本项目实验室主要设备见下表。</w:t>
            </w:r>
          </w:p>
          <w:p w14:paraId="503F2B10">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zh-CN" w:eastAsia="zh-CN"/>
              </w:rPr>
            </w:pPr>
            <w:r>
              <w:rPr>
                <w:rFonts w:hint="eastAsia"/>
                <w:color w:val="auto"/>
                <w:sz w:val="21"/>
                <w:szCs w:val="21"/>
                <w:highlight w:val="none"/>
                <w:lang w:eastAsia="zh-CN"/>
              </w:rPr>
              <w:t>表</w:t>
            </w:r>
            <w:r>
              <w:rPr>
                <w:color w:val="auto"/>
                <w:sz w:val="21"/>
                <w:szCs w:val="21"/>
                <w:highlight w:val="none"/>
              </w:rPr>
              <w:fldChar w:fldCharType="begin"/>
            </w:r>
            <w:r>
              <w:rPr>
                <w:color w:val="auto"/>
                <w:sz w:val="21"/>
                <w:szCs w:val="21"/>
                <w:highlight w:val="none"/>
              </w:rPr>
              <w:instrText xml:space="preserve"> STYLEREF 1 \s </w:instrText>
            </w:r>
            <w:r>
              <w:rPr>
                <w:color w:val="auto"/>
                <w:sz w:val="21"/>
                <w:szCs w:val="21"/>
                <w:highlight w:val="none"/>
              </w:rPr>
              <w:fldChar w:fldCharType="separate"/>
            </w:r>
            <w:r>
              <w:rPr>
                <w:color w:val="auto"/>
                <w:sz w:val="21"/>
                <w:szCs w:val="21"/>
                <w:highlight w:val="none"/>
              </w:rPr>
              <w:t>2</w:t>
            </w:r>
            <w:r>
              <w:rPr>
                <w:color w:val="auto"/>
                <w:sz w:val="21"/>
                <w:szCs w:val="21"/>
                <w:highlight w:val="none"/>
              </w:rPr>
              <w:fldChar w:fldCharType="end"/>
            </w:r>
            <w:r>
              <w:rPr>
                <w:rFonts w:hint="eastAsia"/>
                <w:color w:val="auto"/>
                <w:sz w:val="21"/>
                <w:szCs w:val="21"/>
                <w:highlight w:val="none"/>
                <w:lang w:eastAsia="zh-CN"/>
              </w:rPr>
              <w:t>-</w:t>
            </w:r>
            <w:r>
              <w:rPr>
                <w:color w:val="auto"/>
                <w:sz w:val="21"/>
                <w:szCs w:val="21"/>
                <w:highlight w:val="none"/>
              </w:rPr>
              <w:fldChar w:fldCharType="begin"/>
            </w:r>
            <w:r>
              <w:rPr>
                <w:color w:val="auto"/>
                <w:sz w:val="21"/>
                <w:szCs w:val="21"/>
                <w:highlight w:val="none"/>
              </w:rPr>
              <w:instrText xml:space="preserve"> SEQ 表 \* ARABIC \s 1 </w:instrText>
            </w:r>
            <w:r>
              <w:rPr>
                <w:color w:val="auto"/>
                <w:sz w:val="21"/>
                <w:szCs w:val="21"/>
                <w:highlight w:val="none"/>
              </w:rPr>
              <w:fldChar w:fldCharType="separate"/>
            </w:r>
            <w:r>
              <w:rPr>
                <w:color w:val="auto"/>
                <w:sz w:val="21"/>
                <w:szCs w:val="21"/>
                <w:highlight w:val="none"/>
              </w:rPr>
              <w:t>7</w:t>
            </w:r>
            <w:r>
              <w:rPr>
                <w:color w:val="auto"/>
                <w:sz w:val="21"/>
                <w:szCs w:val="21"/>
                <w:highlight w:val="none"/>
              </w:rPr>
              <w:fldChar w:fldCharType="end"/>
            </w:r>
            <w:r>
              <w:rPr>
                <w:rFonts w:hint="eastAsia"/>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本项目实验室主要设备</w:t>
            </w:r>
            <w:r>
              <w:rPr>
                <w:rFonts w:hint="default" w:ascii="Times New Roman" w:hAnsi="Times New Roman" w:eastAsia="宋体" w:cs="Times New Roman"/>
                <w:color w:val="auto"/>
                <w:sz w:val="21"/>
                <w:szCs w:val="21"/>
                <w:highlight w:val="none"/>
                <w:lang w:val="zh-CN" w:eastAsia="zh-CN"/>
              </w:rPr>
              <w:t>一览表</w:t>
            </w:r>
          </w:p>
          <w:tbl>
            <w:tblPr>
              <w:tblStyle w:val="33"/>
              <w:tblW w:w="4995"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85" w:type="dxa"/>
                <w:left w:w="108" w:type="dxa"/>
                <w:bottom w:w="85" w:type="dxa"/>
                <w:right w:w="108" w:type="dxa"/>
              </w:tblCellMar>
            </w:tblPr>
            <w:tblGrid>
              <w:gridCol w:w="777"/>
              <w:gridCol w:w="1649"/>
              <w:gridCol w:w="2948"/>
              <w:gridCol w:w="1178"/>
              <w:gridCol w:w="1835"/>
            </w:tblGrid>
            <w:tr w14:paraId="7228FD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0FC3F72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u w:val="none"/>
                      <w:lang w:val="en-US" w:eastAsia="zh-CN"/>
                    </w:rPr>
                  </w:pPr>
                  <w:r>
                    <w:rPr>
                      <w:rFonts w:hint="default" w:ascii="Times New Roman" w:hAnsi="Times New Roman" w:cs="Times New Roman"/>
                      <w:b/>
                      <w:color w:val="auto"/>
                      <w:sz w:val="21"/>
                      <w:szCs w:val="21"/>
                      <w:highlight w:val="none"/>
                      <w:u w:val="none"/>
                      <w:lang w:val="en-US" w:eastAsia="zh-CN"/>
                    </w:rPr>
                    <w:t>序号</w:t>
                  </w:r>
                </w:p>
              </w:tc>
              <w:tc>
                <w:tcPr>
                  <w:tcW w:w="983" w:type="pct"/>
                  <w:tcBorders>
                    <w:tl2br w:val="nil"/>
                    <w:tr2bl w:val="nil"/>
                  </w:tcBorders>
                  <w:noWrap w:val="0"/>
                  <w:vAlign w:val="center"/>
                </w:tcPr>
                <w:p w14:paraId="217732B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u w:val="none"/>
                      <w:lang w:val="en-US" w:eastAsia="zh-CN"/>
                    </w:rPr>
                  </w:pPr>
                  <w:r>
                    <w:rPr>
                      <w:rFonts w:hint="default" w:ascii="Times New Roman" w:hAnsi="Times New Roman" w:cs="Times New Roman"/>
                      <w:b/>
                      <w:color w:val="auto"/>
                      <w:sz w:val="21"/>
                      <w:szCs w:val="21"/>
                      <w:highlight w:val="none"/>
                      <w:u w:val="none"/>
                      <w:lang w:val="en-US" w:eastAsia="zh-CN"/>
                    </w:rPr>
                    <w:t>设备名称</w:t>
                  </w:r>
                </w:p>
              </w:tc>
              <w:tc>
                <w:tcPr>
                  <w:tcW w:w="1757" w:type="pct"/>
                  <w:tcBorders>
                    <w:tl2br w:val="nil"/>
                    <w:tr2bl w:val="nil"/>
                  </w:tcBorders>
                  <w:noWrap w:val="0"/>
                  <w:vAlign w:val="center"/>
                </w:tcPr>
                <w:p w14:paraId="4225E2B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u w:val="none"/>
                      <w:lang w:val="en-US" w:eastAsia="zh-CN"/>
                    </w:rPr>
                  </w:pPr>
                  <w:r>
                    <w:rPr>
                      <w:rFonts w:hint="default" w:ascii="Times New Roman" w:hAnsi="Times New Roman" w:eastAsia="宋体" w:cs="Times New Roman"/>
                      <w:b/>
                      <w:color w:val="auto"/>
                      <w:sz w:val="21"/>
                      <w:szCs w:val="21"/>
                      <w:highlight w:val="none"/>
                      <w:u w:val="none"/>
                      <w:lang w:val="en-US" w:eastAsia="zh-CN"/>
                    </w:rPr>
                    <w:t>规格</w:t>
                  </w:r>
                </w:p>
              </w:tc>
              <w:tc>
                <w:tcPr>
                  <w:tcW w:w="702" w:type="pct"/>
                  <w:tcBorders>
                    <w:tl2br w:val="nil"/>
                    <w:tr2bl w:val="nil"/>
                  </w:tcBorders>
                  <w:noWrap w:val="0"/>
                  <w:vAlign w:val="center"/>
                </w:tcPr>
                <w:p w14:paraId="71AC830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u w:val="none"/>
                      <w:lang w:val="en-US" w:eastAsia="zh-CN"/>
                    </w:rPr>
                  </w:pPr>
                  <w:r>
                    <w:rPr>
                      <w:rFonts w:hint="default" w:ascii="Times New Roman" w:hAnsi="Times New Roman" w:eastAsia="宋体" w:cs="Times New Roman"/>
                      <w:b/>
                      <w:color w:val="auto"/>
                      <w:sz w:val="21"/>
                      <w:szCs w:val="21"/>
                      <w:highlight w:val="none"/>
                      <w:u w:val="none"/>
                      <w:lang w:val="en-US" w:eastAsia="zh-CN"/>
                    </w:rPr>
                    <w:t>数量（台/套/个）</w:t>
                  </w:r>
                </w:p>
              </w:tc>
              <w:tc>
                <w:tcPr>
                  <w:tcW w:w="1093" w:type="pct"/>
                  <w:tcBorders>
                    <w:tl2br w:val="nil"/>
                    <w:tr2bl w:val="nil"/>
                  </w:tcBorders>
                  <w:noWrap w:val="0"/>
                  <w:vAlign w:val="center"/>
                </w:tcPr>
                <w:p w14:paraId="6B5C3F8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u w:val="none"/>
                      <w:lang w:val="en-US" w:eastAsia="zh-CN"/>
                    </w:rPr>
                  </w:pPr>
                  <w:r>
                    <w:rPr>
                      <w:rFonts w:hint="default" w:ascii="Times New Roman" w:hAnsi="Times New Roman" w:cs="Times New Roman"/>
                      <w:b/>
                      <w:color w:val="auto"/>
                      <w:sz w:val="21"/>
                      <w:szCs w:val="21"/>
                      <w:highlight w:val="none"/>
                      <w:u w:val="none"/>
                      <w:lang w:val="en-US" w:eastAsia="zh-CN"/>
                    </w:rPr>
                    <w:t>存放位置</w:t>
                  </w:r>
                </w:p>
              </w:tc>
            </w:tr>
            <w:tr w14:paraId="515D73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4C72E3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1</w:t>
                  </w:r>
                </w:p>
              </w:tc>
              <w:tc>
                <w:tcPr>
                  <w:tcW w:w="983" w:type="pct"/>
                  <w:tcBorders>
                    <w:tl2br w:val="nil"/>
                    <w:tr2bl w:val="nil"/>
                  </w:tcBorders>
                  <w:noWrap w:val="0"/>
                  <w:vAlign w:val="center"/>
                </w:tcPr>
                <w:p w14:paraId="564D29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组合式智慧演示台</w:t>
                  </w:r>
                </w:p>
              </w:tc>
              <w:tc>
                <w:tcPr>
                  <w:tcW w:w="1757" w:type="pct"/>
                  <w:tcBorders>
                    <w:tl2br w:val="nil"/>
                    <w:tr2bl w:val="nil"/>
                  </w:tcBorders>
                  <w:noWrap w:val="0"/>
                  <w:vAlign w:val="center"/>
                </w:tcPr>
                <w:p w14:paraId="28F964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2650*750*850mm</w:t>
                  </w:r>
                </w:p>
              </w:tc>
              <w:tc>
                <w:tcPr>
                  <w:tcW w:w="702" w:type="pct"/>
                  <w:tcBorders>
                    <w:tl2br w:val="nil"/>
                    <w:tr2bl w:val="nil"/>
                  </w:tcBorders>
                  <w:noWrap w:val="0"/>
                  <w:vAlign w:val="center"/>
                </w:tcPr>
                <w:p w14:paraId="4F0B40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6</w:t>
                  </w:r>
                </w:p>
              </w:tc>
              <w:tc>
                <w:tcPr>
                  <w:tcW w:w="1093" w:type="pct"/>
                  <w:tcBorders>
                    <w:tl2br w:val="nil"/>
                    <w:tr2bl w:val="nil"/>
                  </w:tcBorders>
                  <w:noWrap w:val="0"/>
                  <w:vAlign w:val="center"/>
                </w:tcPr>
                <w:p w14:paraId="3B3786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物理/化学/生物仪器室</w:t>
                  </w:r>
                </w:p>
              </w:tc>
            </w:tr>
            <w:tr w14:paraId="183E2D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0B1EFB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2</w:t>
                  </w:r>
                </w:p>
              </w:tc>
              <w:tc>
                <w:tcPr>
                  <w:tcW w:w="983" w:type="pct"/>
                  <w:tcBorders>
                    <w:tl2br w:val="nil"/>
                    <w:tr2bl w:val="nil"/>
                  </w:tcBorders>
                  <w:noWrap w:val="0"/>
                  <w:vAlign w:val="center"/>
                </w:tcPr>
                <w:p w14:paraId="5C0A39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学生实验台</w:t>
                  </w:r>
                </w:p>
              </w:tc>
              <w:tc>
                <w:tcPr>
                  <w:tcW w:w="1757" w:type="pct"/>
                  <w:tcBorders>
                    <w:tl2br w:val="nil"/>
                    <w:tr2bl w:val="nil"/>
                  </w:tcBorders>
                  <w:noWrap w:val="0"/>
                  <w:vAlign w:val="center"/>
                </w:tcPr>
                <w:p w14:paraId="153D91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1200*600*780mm</w:t>
                  </w:r>
                </w:p>
              </w:tc>
              <w:tc>
                <w:tcPr>
                  <w:tcW w:w="702" w:type="pct"/>
                  <w:tcBorders>
                    <w:tl2br w:val="nil"/>
                    <w:tr2bl w:val="nil"/>
                  </w:tcBorders>
                  <w:noWrap w:val="0"/>
                  <w:vAlign w:val="center"/>
                </w:tcPr>
                <w:p w14:paraId="7A97BF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156</w:t>
                  </w:r>
                </w:p>
              </w:tc>
              <w:tc>
                <w:tcPr>
                  <w:tcW w:w="1093" w:type="pct"/>
                  <w:tcBorders>
                    <w:tl2br w:val="nil"/>
                    <w:tr2bl w:val="nil"/>
                  </w:tcBorders>
                  <w:noWrap w:val="0"/>
                  <w:vAlign w:val="center"/>
                </w:tcPr>
                <w:p w14:paraId="42C46B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物理/化学/生物实验室</w:t>
                  </w:r>
                </w:p>
              </w:tc>
            </w:tr>
            <w:tr w14:paraId="0BE2CB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5A5F51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3</w:t>
                  </w:r>
                </w:p>
              </w:tc>
              <w:tc>
                <w:tcPr>
                  <w:tcW w:w="983" w:type="pct"/>
                  <w:tcBorders>
                    <w:tl2br w:val="nil"/>
                    <w:tr2bl w:val="nil"/>
                  </w:tcBorders>
                  <w:noWrap w:val="0"/>
                  <w:vAlign w:val="center"/>
                </w:tcPr>
                <w:p w14:paraId="7848EF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酒精灯</w:t>
                  </w:r>
                </w:p>
              </w:tc>
              <w:tc>
                <w:tcPr>
                  <w:tcW w:w="1757" w:type="pct"/>
                  <w:tcBorders>
                    <w:tl2br w:val="nil"/>
                    <w:tr2bl w:val="nil"/>
                  </w:tcBorders>
                  <w:noWrap w:val="0"/>
                  <w:vAlign w:val="center"/>
                </w:tcPr>
                <w:p w14:paraId="6314CC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250mL</w:t>
                  </w:r>
                </w:p>
              </w:tc>
              <w:tc>
                <w:tcPr>
                  <w:tcW w:w="702" w:type="pct"/>
                  <w:tcBorders>
                    <w:tl2br w:val="nil"/>
                    <w:tr2bl w:val="nil"/>
                  </w:tcBorders>
                  <w:noWrap w:val="0"/>
                  <w:vAlign w:val="center"/>
                </w:tcPr>
                <w:p w14:paraId="31AF7E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262977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物理/化学仪器室</w:t>
                  </w:r>
                </w:p>
              </w:tc>
            </w:tr>
            <w:tr w14:paraId="5791B2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63F610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4</w:t>
                  </w:r>
                </w:p>
              </w:tc>
              <w:tc>
                <w:tcPr>
                  <w:tcW w:w="983" w:type="pct"/>
                  <w:tcBorders>
                    <w:tl2br w:val="nil"/>
                    <w:tr2bl w:val="nil"/>
                  </w:tcBorders>
                  <w:noWrap w:val="0"/>
                  <w:vAlign w:val="center"/>
                </w:tcPr>
                <w:p w14:paraId="1B87B8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托盘天平</w:t>
                  </w:r>
                </w:p>
              </w:tc>
              <w:tc>
                <w:tcPr>
                  <w:tcW w:w="1757" w:type="pct"/>
                  <w:tcBorders>
                    <w:tl2br w:val="nil"/>
                    <w:tr2bl w:val="nil"/>
                  </w:tcBorders>
                  <w:noWrap w:val="0"/>
                  <w:vAlign w:val="center"/>
                </w:tcPr>
                <w:p w14:paraId="7F437C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100g</w:t>
                  </w:r>
                </w:p>
              </w:tc>
              <w:tc>
                <w:tcPr>
                  <w:tcW w:w="702" w:type="pct"/>
                  <w:tcBorders>
                    <w:tl2br w:val="nil"/>
                    <w:tr2bl w:val="nil"/>
                  </w:tcBorders>
                  <w:noWrap w:val="0"/>
                  <w:vAlign w:val="center"/>
                </w:tcPr>
                <w:p w14:paraId="54B72A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8</w:t>
                  </w:r>
                </w:p>
              </w:tc>
              <w:tc>
                <w:tcPr>
                  <w:tcW w:w="1093" w:type="pct"/>
                  <w:tcBorders>
                    <w:tl2br w:val="nil"/>
                    <w:tr2bl w:val="nil"/>
                  </w:tcBorders>
                  <w:noWrap w:val="0"/>
                  <w:vAlign w:val="center"/>
                </w:tcPr>
                <w:p w14:paraId="2BF97A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物理/化学仪器室</w:t>
                  </w:r>
                </w:p>
              </w:tc>
            </w:tr>
            <w:tr w14:paraId="6B2583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53A800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5</w:t>
                  </w:r>
                </w:p>
              </w:tc>
              <w:tc>
                <w:tcPr>
                  <w:tcW w:w="983" w:type="pct"/>
                  <w:tcBorders>
                    <w:tl2br w:val="nil"/>
                    <w:tr2bl w:val="nil"/>
                  </w:tcBorders>
                  <w:noWrap w:val="0"/>
                  <w:vAlign w:val="center"/>
                </w:tcPr>
                <w:p w14:paraId="016E7C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量筒</w:t>
                  </w:r>
                </w:p>
              </w:tc>
              <w:tc>
                <w:tcPr>
                  <w:tcW w:w="1757" w:type="pct"/>
                  <w:tcBorders>
                    <w:tl2br w:val="nil"/>
                    <w:tr2bl w:val="nil"/>
                  </w:tcBorders>
                  <w:noWrap w:val="0"/>
                  <w:vAlign w:val="center"/>
                </w:tcPr>
                <w:p w14:paraId="439FE2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10mL、25mL、50mL、100mL</w:t>
                  </w:r>
                </w:p>
              </w:tc>
              <w:tc>
                <w:tcPr>
                  <w:tcW w:w="702" w:type="pct"/>
                  <w:tcBorders>
                    <w:tl2br w:val="nil"/>
                    <w:tr2bl w:val="nil"/>
                  </w:tcBorders>
                  <w:noWrap w:val="0"/>
                  <w:vAlign w:val="center"/>
                </w:tcPr>
                <w:p w14:paraId="3338BA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564951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292CCA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69BE54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6</w:t>
                  </w:r>
                </w:p>
              </w:tc>
              <w:tc>
                <w:tcPr>
                  <w:tcW w:w="983" w:type="pct"/>
                  <w:tcBorders>
                    <w:tl2br w:val="nil"/>
                    <w:tr2bl w:val="nil"/>
                  </w:tcBorders>
                  <w:noWrap w:val="0"/>
                  <w:vAlign w:val="center"/>
                </w:tcPr>
                <w:p w14:paraId="28AD57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药匙</w:t>
                  </w:r>
                </w:p>
              </w:tc>
              <w:tc>
                <w:tcPr>
                  <w:tcW w:w="1757" w:type="pct"/>
                  <w:tcBorders>
                    <w:tl2br w:val="nil"/>
                    <w:tr2bl w:val="nil"/>
                  </w:tcBorders>
                  <w:noWrap w:val="0"/>
                  <w:vAlign w:val="center"/>
                </w:tcPr>
                <w:p w14:paraId="15738D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2B2AF7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100</w:t>
                  </w:r>
                </w:p>
              </w:tc>
              <w:tc>
                <w:tcPr>
                  <w:tcW w:w="1093" w:type="pct"/>
                  <w:tcBorders>
                    <w:tl2br w:val="nil"/>
                    <w:tr2bl w:val="nil"/>
                  </w:tcBorders>
                  <w:noWrap w:val="0"/>
                  <w:vAlign w:val="center"/>
                </w:tcPr>
                <w:p w14:paraId="3BA7FC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1EA91B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2A3E92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7</w:t>
                  </w:r>
                </w:p>
              </w:tc>
              <w:tc>
                <w:tcPr>
                  <w:tcW w:w="983" w:type="pct"/>
                  <w:tcBorders>
                    <w:tl2br w:val="nil"/>
                    <w:tr2bl w:val="nil"/>
                  </w:tcBorders>
                  <w:noWrap w:val="0"/>
                  <w:vAlign w:val="center"/>
                </w:tcPr>
                <w:p w14:paraId="54848F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试管</w:t>
                  </w:r>
                </w:p>
              </w:tc>
              <w:tc>
                <w:tcPr>
                  <w:tcW w:w="1757" w:type="pct"/>
                  <w:tcBorders>
                    <w:tl2br w:val="nil"/>
                    <w:tr2bl w:val="nil"/>
                  </w:tcBorders>
                  <w:noWrap w:val="0"/>
                  <w:vAlign w:val="center"/>
                </w:tcPr>
                <w:p w14:paraId="2DDD53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vertAlign w:val="baseline"/>
                      <w:lang w:val="en-US" w:eastAsia="zh-CN"/>
                    </w:rPr>
                    <w:t>5ml、10ml、15ml、20ml、25ml、50ml</w:t>
                  </w:r>
                </w:p>
              </w:tc>
              <w:tc>
                <w:tcPr>
                  <w:tcW w:w="702" w:type="pct"/>
                  <w:tcBorders>
                    <w:tl2br w:val="nil"/>
                    <w:tr2bl w:val="nil"/>
                  </w:tcBorders>
                  <w:noWrap w:val="0"/>
                  <w:vAlign w:val="center"/>
                </w:tcPr>
                <w:p w14:paraId="147106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100</w:t>
                  </w:r>
                </w:p>
              </w:tc>
              <w:tc>
                <w:tcPr>
                  <w:tcW w:w="1093" w:type="pct"/>
                  <w:tcBorders>
                    <w:tl2br w:val="nil"/>
                    <w:tr2bl w:val="nil"/>
                  </w:tcBorders>
                  <w:noWrap w:val="0"/>
                  <w:vAlign w:val="center"/>
                </w:tcPr>
                <w:p w14:paraId="0B3407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1392F7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62D899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8</w:t>
                  </w:r>
                </w:p>
              </w:tc>
              <w:tc>
                <w:tcPr>
                  <w:tcW w:w="983" w:type="pct"/>
                  <w:tcBorders>
                    <w:tl2br w:val="nil"/>
                    <w:tr2bl w:val="nil"/>
                  </w:tcBorders>
                  <w:noWrap w:val="0"/>
                  <w:vAlign w:val="center"/>
                </w:tcPr>
                <w:p w14:paraId="5E2EA4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试管夹</w:t>
                  </w:r>
                </w:p>
              </w:tc>
              <w:tc>
                <w:tcPr>
                  <w:tcW w:w="1757" w:type="pct"/>
                  <w:tcBorders>
                    <w:tl2br w:val="nil"/>
                    <w:tr2bl w:val="nil"/>
                  </w:tcBorders>
                  <w:noWrap w:val="0"/>
                  <w:vAlign w:val="center"/>
                </w:tcPr>
                <w:p w14:paraId="7A0BF2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46B80A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21C155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4DA032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1CA4B8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9</w:t>
                  </w:r>
                </w:p>
              </w:tc>
              <w:tc>
                <w:tcPr>
                  <w:tcW w:w="983" w:type="pct"/>
                  <w:tcBorders>
                    <w:tl2br w:val="nil"/>
                    <w:tr2bl w:val="nil"/>
                  </w:tcBorders>
                  <w:noWrap w:val="0"/>
                  <w:vAlign w:val="center"/>
                </w:tcPr>
                <w:p w14:paraId="77A0BD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滴管</w:t>
                  </w:r>
                </w:p>
              </w:tc>
              <w:tc>
                <w:tcPr>
                  <w:tcW w:w="1757" w:type="pct"/>
                  <w:tcBorders>
                    <w:tl2br w:val="nil"/>
                    <w:tr2bl w:val="nil"/>
                  </w:tcBorders>
                  <w:noWrap w:val="0"/>
                  <w:vAlign w:val="center"/>
                </w:tcPr>
                <w:p w14:paraId="57F04F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8*150mm</w:t>
                  </w:r>
                </w:p>
              </w:tc>
              <w:tc>
                <w:tcPr>
                  <w:tcW w:w="702" w:type="pct"/>
                  <w:tcBorders>
                    <w:tl2br w:val="nil"/>
                    <w:tr2bl w:val="nil"/>
                  </w:tcBorders>
                  <w:noWrap w:val="0"/>
                  <w:vAlign w:val="center"/>
                </w:tcPr>
                <w:p w14:paraId="6AAD2B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7F8384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化学/生物仪器室</w:t>
                  </w:r>
                </w:p>
              </w:tc>
            </w:tr>
            <w:tr w14:paraId="0B4B1B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68EA7A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10</w:t>
                  </w:r>
                </w:p>
              </w:tc>
              <w:tc>
                <w:tcPr>
                  <w:tcW w:w="983" w:type="pct"/>
                  <w:tcBorders>
                    <w:tl2br w:val="nil"/>
                    <w:tr2bl w:val="nil"/>
                  </w:tcBorders>
                  <w:noWrap w:val="0"/>
                  <w:vAlign w:val="center"/>
                </w:tcPr>
                <w:p w14:paraId="2AAEF5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显微镜</w:t>
                  </w:r>
                </w:p>
              </w:tc>
              <w:tc>
                <w:tcPr>
                  <w:tcW w:w="1757" w:type="pct"/>
                  <w:tcBorders>
                    <w:tl2br w:val="nil"/>
                    <w:tr2bl w:val="nil"/>
                  </w:tcBorders>
                  <w:noWrap w:val="0"/>
                  <w:vAlign w:val="center"/>
                </w:tcPr>
                <w:p w14:paraId="456BAE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500倍</w:t>
                  </w:r>
                </w:p>
              </w:tc>
              <w:tc>
                <w:tcPr>
                  <w:tcW w:w="702" w:type="pct"/>
                  <w:tcBorders>
                    <w:tl2br w:val="nil"/>
                    <w:tr2bl w:val="nil"/>
                  </w:tcBorders>
                  <w:noWrap w:val="0"/>
                  <w:vAlign w:val="center"/>
                </w:tcPr>
                <w:p w14:paraId="068274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065950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1AD190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67A6F2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11</w:t>
                  </w:r>
                </w:p>
              </w:tc>
              <w:tc>
                <w:tcPr>
                  <w:tcW w:w="983" w:type="pct"/>
                  <w:tcBorders>
                    <w:tl2br w:val="nil"/>
                    <w:tr2bl w:val="nil"/>
                  </w:tcBorders>
                  <w:noWrap w:val="0"/>
                  <w:vAlign w:val="center"/>
                </w:tcPr>
                <w:p w14:paraId="769425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多用试管架</w:t>
                  </w:r>
                </w:p>
              </w:tc>
              <w:tc>
                <w:tcPr>
                  <w:tcW w:w="1757" w:type="pct"/>
                  <w:tcBorders>
                    <w:tl2br w:val="nil"/>
                    <w:tr2bl w:val="nil"/>
                  </w:tcBorders>
                  <w:noWrap w:val="0"/>
                  <w:vAlign w:val="center"/>
                </w:tcPr>
                <w:p w14:paraId="4E9AC5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01933D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40914A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1F50F0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2EE111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12</w:t>
                  </w:r>
                </w:p>
              </w:tc>
              <w:tc>
                <w:tcPr>
                  <w:tcW w:w="983" w:type="pct"/>
                  <w:tcBorders>
                    <w:tl2br w:val="nil"/>
                    <w:tr2bl w:val="nil"/>
                  </w:tcBorders>
                  <w:noWrap w:val="0"/>
                  <w:vAlign w:val="center"/>
                </w:tcPr>
                <w:p w14:paraId="12C95F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分液漏斗</w:t>
                  </w:r>
                </w:p>
              </w:tc>
              <w:tc>
                <w:tcPr>
                  <w:tcW w:w="1757" w:type="pct"/>
                  <w:tcBorders>
                    <w:tl2br w:val="nil"/>
                    <w:tr2bl w:val="nil"/>
                  </w:tcBorders>
                  <w:noWrap w:val="0"/>
                  <w:vAlign w:val="center"/>
                </w:tcPr>
                <w:p w14:paraId="0636A8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34E76F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711754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6F4483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73D0E6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13</w:t>
                  </w:r>
                </w:p>
              </w:tc>
              <w:tc>
                <w:tcPr>
                  <w:tcW w:w="983" w:type="pct"/>
                  <w:tcBorders>
                    <w:tl2br w:val="nil"/>
                    <w:tr2bl w:val="nil"/>
                  </w:tcBorders>
                  <w:noWrap w:val="0"/>
                  <w:vAlign w:val="center"/>
                </w:tcPr>
                <w:p w14:paraId="264280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温度计</w:t>
                  </w:r>
                </w:p>
              </w:tc>
              <w:tc>
                <w:tcPr>
                  <w:tcW w:w="1757" w:type="pct"/>
                  <w:tcBorders>
                    <w:tl2br w:val="nil"/>
                    <w:tr2bl w:val="nil"/>
                  </w:tcBorders>
                  <w:noWrap w:val="0"/>
                  <w:vAlign w:val="center"/>
                </w:tcPr>
                <w:p w14:paraId="5C8E0C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48C0DD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7167C2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0EB599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0D6DA9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14</w:t>
                  </w:r>
                </w:p>
              </w:tc>
              <w:tc>
                <w:tcPr>
                  <w:tcW w:w="983" w:type="pct"/>
                  <w:tcBorders>
                    <w:tl2br w:val="nil"/>
                    <w:tr2bl w:val="nil"/>
                  </w:tcBorders>
                  <w:noWrap w:val="0"/>
                  <w:vAlign w:val="center"/>
                </w:tcPr>
                <w:p w14:paraId="457176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玻璃管</w:t>
                  </w:r>
                </w:p>
              </w:tc>
              <w:tc>
                <w:tcPr>
                  <w:tcW w:w="1757" w:type="pct"/>
                  <w:tcBorders>
                    <w:tl2br w:val="nil"/>
                    <w:tr2bl w:val="nil"/>
                  </w:tcBorders>
                  <w:noWrap w:val="0"/>
                  <w:vAlign w:val="center"/>
                </w:tcPr>
                <w:p w14:paraId="70530F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2C0F18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0336AC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276E53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444882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15</w:t>
                  </w:r>
                </w:p>
              </w:tc>
              <w:tc>
                <w:tcPr>
                  <w:tcW w:w="983" w:type="pct"/>
                  <w:tcBorders>
                    <w:tl2br w:val="nil"/>
                    <w:tr2bl w:val="nil"/>
                  </w:tcBorders>
                  <w:noWrap w:val="0"/>
                  <w:vAlign w:val="center"/>
                </w:tcPr>
                <w:p w14:paraId="50FBE5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乳胶管</w:t>
                  </w:r>
                </w:p>
              </w:tc>
              <w:tc>
                <w:tcPr>
                  <w:tcW w:w="1757" w:type="pct"/>
                  <w:tcBorders>
                    <w:tl2br w:val="nil"/>
                    <w:tr2bl w:val="nil"/>
                  </w:tcBorders>
                  <w:noWrap w:val="0"/>
                  <w:vAlign w:val="center"/>
                </w:tcPr>
                <w:p w14:paraId="614B87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41D618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737F88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6586CE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75B255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16</w:t>
                  </w:r>
                </w:p>
              </w:tc>
              <w:tc>
                <w:tcPr>
                  <w:tcW w:w="983" w:type="pct"/>
                  <w:tcBorders>
                    <w:tl2br w:val="nil"/>
                    <w:tr2bl w:val="nil"/>
                  </w:tcBorders>
                  <w:noWrap w:val="0"/>
                  <w:vAlign w:val="center"/>
                </w:tcPr>
                <w:p w14:paraId="4E0E68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牛角管</w:t>
                  </w:r>
                </w:p>
              </w:tc>
              <w:tc>
                <w:tcPr>
                  <w:tcW w:w="1757" w:type="pct"/>
                  <w:tcBorders>
                    <w:tl2br w:val="nil"/>
                    <w:tr2bl w:val="nil"/>
                  </w:tcBorders>
                  <w:noWrap w:val="0"/>
                  <w:vAlign w:val="center"/>
                </w:tcPr>
                <w:p w14:paraId="2517A6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710AAD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5FF7B1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2EA1A3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2C112B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17</w:t>
                  </w:r>
                </w:p>
              </w:tc>
              <w:tc>
                <w:tcPr>
                  <w:tcW w:w="983" w:type="pct"/>
                  <w:tcBorders>
                    <w:tl2br w:val="nil"/>
                    <w:tr2bl w:val="nil"/>
                  </w:tcBorders>
                  <w:noWrap w:val="0"/>
                  <w:vAlign w:val="center"/>
                </w:tcPr>
                <w:p w14:paraId="6C3E98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集气管</w:t>
                  </w:r>
                </w:p>
              </w:tc>
              <w:tc>
                <w:tcPr>
                  <w:tcW w:w="1757" w:type="pct"/>
                  <w:tcBorders>
                    <w:tl2br w:val="nil"/>
                    <w:tr2bl w:val="nil"/>
                  </w:tcBorders>
                  <w:noWrap w:val="0"/>
                  <w:vAlign w:val="center"/>
                </w:tcPr>
                <w:p w14:paraId="5C3F6E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5820EC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5E99F9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272A92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66D01E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18</w:t>
                  </w:r>
                </w:p>
              </w:tc>
              <w:tc>
                <w:tcPr>
                  <w:tcW w:w="983" w:type="pct"/>
                  <w:tcBorders>
                    <w:tl2br w:val="nil"/>
                    <w:tr2bl w:val="nil"/>
                  </w:tcBorders>
                  <w:noWrap w:val="0"/>
                  <w:vAlign w:val="center"/>
                </w:tcPr>
                <w:p w14:paraId="1322B3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石棉网</w:t>
                  </w:r>
                </w:p>
              </w:tc>
              <w:tc>
                <w:tcPr>
                  <w:tcW w:w="1757" w:type="pct"/>
                  <w:tcBorders>
                    <w:tl2br w:val="nil"/>
                    <w:tr2bl w:val="nil"/>
                  </w:tcBorders>
                  <w:noWrap w:val="0"/>
                  <w:vAlign w:val="center"/>
                </w:tcPr>
                <w:p w14:paraId="68AC12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510D8F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3EA37B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6150D4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139512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19</w:t>
                  </w:r>
                </w:p>
              </w:tc>
              <w:tc>
                <w:tcPr>
                  <w:tcW w:w="983" w:type="pct"/>
                  <w:tcBorders>
                    <w:tl2br w:val="nil"/>
                    <w:tr2bl w:val="nil"/>
                  </w:tcBorders>
                  <w:noWrap w:val="0"/>
                  <w:vAlign w:val="center"/>
                </w:tcPr>
                <w:p w14:paraId="40EFD0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三脚架</w:t>
                  </w:r>
                </w:p>
              </w:tc>
              <w:tc>
                <w:tcPr>
                  <w:tcW w:w="1757" w:type="pct"/>
                  <w:tcBorders>
                    <w:tl2br w:val="nil"/>
                    <w:tr2bl w:val="nil"/>
                  </w:tcBorders>
                  <w:noWrap w:val="0"/>
                  <w:vAlign w:val="center"/>
                </w:tcPr>
                <w:p w14:paraId="0EDE05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64E6BF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4D65A2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618F14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3BF02F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20</w:t>
                  </w:r>
                </w:p>
              </w:tc>
              <w:tc>
                <w:tcPr>
                  <w:tcW w:w="983" w:type="pct"/>
                  <w:tcBorders>
                    <w:tl2br w:val="nil"/>
                    <w:tr2bl w:val="nil"/>
                  </w:tcBorders>
                  <w:noWrap w:val="0"/>
                  <w:vAlign w:val="center"/>
                </w:tcPr>
                <w:p w14:paraId="52149F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塑料多用滴管</w:t>
                  </w:r>
                </w:p>
              </w:tc>
              <w:tc>
                <w:tcPr>
                  <w:tcW w:w="1757" w:type="pct"/>
                  <w:tcBorders>
                    <w:tl2br w:val="nil"/>
                    <w:tr2bl w:val="nil"/>
                  </w:tcBorders>
                  <w:noWrap w:val="0"/>
                  <w:vAlign w:val="center"/>
                </w:tcPr>
                <w:p w14:paraId="722720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362DC6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100</w:t>
                  </w:r>
                </w:p>
              </w:tc>
              <w:tc>
                <w:tcPr>
                  <w:tcW w:w="1093" w:type="pct"/>
                  <w:tcBorders>
                    <w:tl2br w:val="nil"/>
                    <w:tr2bl w:val="nil"/>
                  </w:tcBorders>
                  <w:noWrap w:val="0"/>
                  <w:vAlign w:val="center"/>
                </w:tcPr>
                <w:p w14:paraId="481DE5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47057B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2AA7FC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21</w:t>
                  </w:r>
                </w:p>
              </w:tc>
              <w:tc>
                <w:tcPr>
                  <w:tcW w:w="983" w:type="pct"/>
                  <w:tcBorders>
                    <w:tl2br w:val="nil"/>
                    <w:tr2bl w:val="nil"/>
                  </w:tcBorders>
                  <w:noWrap w:val="0"/>
                  <w:vAlign w:val="center"/>
                </w:tcPr>
                <w:p w14:paraId="6CC4F8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坩埚</w:t>
                  </w:r>
                </w:p>
              </w:tc>
              <w:tc>
                <w:tcPr>
                  <w:tcW w:w="1757" w:type="pct"/>
                  <w:tcBorders>
                    <w:tl2br w:val="nil"/>
                    <w:tr2bl w:val="nil"/>
                  </w:tcBorders>
                  <w:noWrap w:val="0"/>
                  <w:vAlign w:val="center"/>
                </w:tcPr>
                <w:p w14:paraId="1CD649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30mL</w:t>
                  </w:r>
                </w:p>
              </w:tc>
              <w:tc>
                <w:tcPr>
                  <w:tcW w:w="702" w:type="pct"/>
                  <w:tcBorders>
                    <w:tl2br w:val="nil"/>
                    <w:tr2bl w:val="nil"/>
                  </w:tcBorders>
                  <w:noWrap w:val="0"/>
                  <w:vAlign w:val="center"/>
                </w:tcPr>
                <w:p w14:paraId="50D241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525818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17BCFA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47AF48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22</w:t>
                  </w:r>
                </w:p>
              </w:tc>
              <w:tc>
                <w:tcPr>
                  <w:tcW w:w="983" w:type="pct"/>
                  <w:tcBorders>
                    <w:tl2br w:val="nil"/>
                    <w:tr2bl w:val="nil"/>
                  </w:tcBorders>
                  <w:noWrap w:val="0"/>
                  <w:vAlign w:val="center"/>
                </w:tcPr>
                <w:p w14:paraId="241497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坩埚钳</w:t>
                  </w:r>
                </w:p>
              </w:tc>
              <w:tc>
                <w:tcPr>
                  <w:tcW w:w="1757" w:type="pct"/>
                  <w:tcBorders>
                    <w:tl2br w:val="nil"/>
                    <w:tr2bl w:val="nil"/>
                  </w:tcBorders>
                  <w:noWrap w:val="0"/>
                  <w:vAlign w:val="center"/>
                </w:tcPr>
                <w:p w14:paraId="55FE13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200mm</w:t>
                  </w:r>
                </w:p>
              </w:tc>
              <w:tc>
                <w:tcPr>
                  <w:tcW w:w="702" w:type="pct"/>
                  <w:tcBorders>
                    <w:tl2br w:val="nil"/>
                    <w:tr2bl w:val="nil"/>
                  </w:tcBorders>
                  <w:noWrap w:val="0"/>
                  <w:vAlign w:val="center"/>
                </w:tcPr>
                <w:p w14:paraId="34798C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0108B4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6AE805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711BED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23</w:t>
                  </w:r>
                </w:p>
              </w:tc>
              <w:tc>
                <w:tcPr>
                  <w:tcW w:w="983" w:type="pct"/>
                  <w:tcBorders>
                    <w:tl2br w:val="nil"/>
                    <w:tr2bl w:val="nil"/>
                  </w:tcBorders>
                  <w:noWrap w:val="0"/>
                  <w:vAlign w:val="center"/>
                </w:tcPr>
                <w:p w14:paraId="61D674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广口瓶</w:t>
                  </w:r>
                </w:p>
              </w:tc>
              <w:tc>
                <w:tcPr>
                  <w:tcW w:w="1757" w:type="pct"/>
                  <w:tcBorders>
                    <w:tl2br w:val="nil"/>
                    <w:tr2bl w:val="nil"/>
                  </w:tcBorders>
                  <w:noWrap w:val="0"/>
                  <w:vAlign w:val="center"/>
                </w:tcPr>
                <w:p w14:paraId="0612F5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2C933F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3B64E6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224720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00F282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24</w:t>
                  </w:r>
                </w:p>
              </w:tc>
              <w:tc>
                <w:tcPr>
                  <w:tcW w:w="983" w:type="pct"/>
                  <w:tcBorders>
                    <w:tl2br w:val="nil"/>
                    <w:tr2bl w:val="nil"/>
                  </w:tcBorders>
                  <w:noWrap w:val="0"/>
                  <w:vAlign w:val="center"/>
                </w:tcPr>
                <w:p w14:paraId="357C4A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止水夹</w:t>
                  </w:r>
                </w:p>
              </w:tc>
              <w:tc>
                <w:tcPr>
                  <w:tcW w:w="1757" w:type="pct"/>
                  <w:tcBorders>
                    <w:tl2br w:val="nil"/>
                    <w:tr2bl w:val="nil"/>
                  </w:tcBorders>
                  <w:noWrap w:val="0"/>
                  <w:vAlign w:val="center"/>
                </w:tcPr>
                <w:p w14:paraId="03C444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w:t>
                  </w:r>
                </w:p>
              </w:tc>
              <w:tc>
                <w:tcPr>
                  <w:tcW w:w="702" w:type="pct"/>
                  <w:tcBorders>
                    <w:tl2br w:val="nil"/>
                    <w:tr2bl w:val="nil"/>
                  </w:tcBorders>
                  <w:noWrap w:val="0"/>
                  <w:vAlign w:val="center"/>
                </w:tcPr>
                <w:p w14:paraId="75C8F6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50</w:t>
                  </w:r>
                </w:p>
              </w:tc>
              <w:tc>
                <w:tcPr>
                  <w:tcW w:w="1093" w:type="pct"/>
                  <w:tcBorders>
                    <w:tl2br w:val="nil"/>
                    <w:tr2bl w:val="nil"/>
                  </w:tcBorders>
                  <w:noWrap w:val="0"/>
                  <w:vAlign w:val="center"/>
                </w:tcPr>
                <w:p w14:paraId="758713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化学仪器室</w:t>
                  </w:r>
                </w:p>
              </w:tc>
            </w:tr>
            <w:tr w14:paraId="13F024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6B0224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25</w:t>
                  </w:r>
                </w:p>
              </w:tc>
              <w:tc>
                <w:tcPr>
                  <w:tcW w:w="983" w:type="pct"/>
                  <w:tcBorders>
                    <w:tl2br w:val="nil"/>
                    <w:tr2bl w:val="nil"/>
                  </w:tcBorders>
                  <w:noWrap w:val="0"/>
                  <w:vAlign w:val="center"/>
                </w:tcPr>
                <w:p w14:paraId="73EC37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镊子</w:t>
                  </w:r>
                </w:p>
              </w:tc>
              <w:tc>
                <w:tcPr>
                  <w:tcW w:w="1757" w:type="pct"/>
                  <w:tcBorders>
                    <w:tl2br w:val="nil"/>
                    <w:tr2bl w:val="nil"/>
                  </w:tcBorders>
                  <w:noWrap w:val="0"/>
                  <w:vAlign w:val="center"/>
                </w:tcPr>
                <w:p w14:paraId="4E052A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不锈钢</w:t>
                  </w:r>
                </w:p>
              </w:tc>
              <w:tc>
                <w:tcPr>
                  <w:tcW w:w="702" w:type="pct"/>
                  <w:tcBorders>
                    <w:tl2br w:val="nil"/>
                    <w:tr2bl w:val="nil"/>
                  </w:tcBorders>
                  <w:noWrap w:val="0"/>
                  <w:vAlign w:val="center"/>
                </w:tcPr>
                <w:p w14:paraId="6A0967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100</w:t>
                  </w:r>
                </w:p>
              </w:tc>
              <w:tc>
                <w:tcPr>
                  <w:tcW w:w="1093" w:type="pct"/>
                  <w:tcBorders>
                    <w:tl2br w:val="nil"/>
                    <w:tr2bl w:val="nil"/>
                  </w:tcBorders>
                  <w:noWrap w:val="0"/>
                  <w:vAlign w:val="center"/>
                </w:tcPr>
                <w:p w14:paraId="047588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化学/生物仪器室</w:t>
                  </w:r>
                </w:p>
              </w:tc>
            </w:tr>
            <w:tr w14:paraId="41AC48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3CB448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26</w:t>
                  </w:r>
                </w:p>
              </w:tc>
              <w:tc>
                <w:tcPr>
                  <w:tcW w:w="983" w:type="pct"/>
                  <w:tcBorders>
                    <w:tl2br w:val="nil"/>
                    <w:tr2bl w:val="nil"/>
                  </w:tcBorders>
                  <w:noWrap w:val="0"/>
                  <w:vAlign w:val="center"/>
                </w:tcPr>
                <w:p w14:paraId="33D872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载玻片</w:t>
                  </w:r>
                </w:p>
              </w:tc>
              <w:tc>
                <w:tcPr>
                  <w:tcW w:w="1757" w:type="pct"/>
                  <w:tcBorders>
                    <w:tl2br w:val="nil"/>
                    <w:tr2bl w:val="nil"/>
                  </w:tcBorders>
                  <w:noWrap w:val="0"/>
                  <w:vAlign w:val="center"/>
                </w:tcPr>
                <w:p w14:paraId="1F689B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75*25*2mm</w:t>
                  </w:r>
                </w:p>
              </w:tc>
              <w:tc>
                <w:tcPr>
                  <w:tcW w:w="702" w:type="pct"/>
                  <w:tcBorders>
                    <w:tl2br w:val="nil"/>
                    <w:tr2bl w:val="nil"/>
                  </w:tcBorders>
                  <w:noWrap w:val="0"/>
                  <w:vAlign w:val="center"/>
                </w:tcPr>
                <w:p w14:paraId="7DDAA6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100</w:t>
                  </w:r>
                </w:p>
              </w:tc>
              <w:tc>
                <w:tcPr>
                  <w:tcW w:w="1093" w:type="pct"/>
                  <w:tcBorders>
                    <w:tl2br w:val="nil"/>
                    <w:tr2bl w:val="nil"/>
                  </w:tcBorders>
                  <w:noWrap w:val="0"/>
                  <w:vAlign w:val="center"/>
                </w:tcPr>
                <w:p w14:paraId="537CA4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生物仪器室</w:t>
                  </w:r>
                </w:p>
              </w:tc>
            </w:tr>
            <w:tr w14:paraId="5B6543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20C3B0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27</w:t>
                  </w:r>
                </w:p>
              </w:tc>
              <w:tc>
                <w:tcPr>
                  <w:tcW w:w="983" w:type="pct"/>
                  <w:tcBorders>
                    <w:tl2br w:val="nil"/>
                    <w:tr2bl w:val="nil"/>
                  </w:tcBorders>
                  <w:noWrap w:val="0"/>
                  <w:vAlign w:val="center"/>
                </w:tcPr>
                <w:p w14:paraId="4BEE6F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盖玻片</w:t>
                  </w:r>
                </w:p>
              </w:tc>
              <w:tc>
                <w:tcPr>
                  <w:tcW w:w="1757" w:type="pct"/>
                  <w:tcBorders>
                    <w:tl2br w:val="nil"/>
                    <w:tr2bl w:val="nil"/>
                  </w:tcBorders>
                  <w:noWrap w:val="0"/>
                  <w:vAlign w:val="center"/>
                </w:tcPr>
                <w:p w14:paraId="6FBD04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18*18mm</w:t>
                  </w:r>
                </w:p>
              </w:tc>
              <w:tc>
                <w:tcPr>
                  <w:tcW w:w="702" w:type="pct"/>
                  <w:tcBorders>
                    <w:tl2br w:val="nil"/>
                    <w:tr2bl w:val="nil"/>
                  </w:tcBorders>
                  <w:noWrap w:val="0"/>
                  <w:vAlign w:val="center"/>
                </w:tcPr>
                <w:p w14:paraId="7EAA45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100</w:t>
                  </w:r>
                </w:p>
              </w:tc>
              <w:tc>
                <w:tcPr>
                  <w:tcW w:w="1093" w:type="pct"/>
                  <w:tcBorders>
                    <w:tl2br w:val="nil"/>
                    <w:tr2bl w:val="nil"/>
                  </w:tcBorders>
                  <w:noWrap w:val="0"/>
                  <w:vAlign w:val="center"/>
                </w:tcPr>
                <w:p w14:paraId="50A895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生物仪器室</w:t>
                  </w:r>
                </w:p>
              </w:tc>
            </w:tr>
            <w:tr w14:paraId="066568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3A0929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28</w:t>
                  </w:r>
                </w:p>
              </w:tc>
              <w:tc>
                <w:tcPr>
                  <w:tcW w:w="983" w:type="pct"/>
                  <w:tcBorders>
                    <w:tl2br w:val="nil"/>
                    <w:tr2bl w:val="nil"/>
                  </w:tcBorders>
                  <w:noWrap w:val="0"/>
                  <w:vAlign w:val="center"/>
                </w:tcPr>
                <w:p w14:paraId="38D7C6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通风橱</w:t>
                  </w:r>
                </w:p>
              </w:tc>
              <w:tc>
                <w:tcPr>
                  <w:tcW w:w="1757" w:type="pct"/>
                  <w:tcBorders>
                    <w:tl2br w:val="nil"/>
                    <w:tr2bl w:val="nil"/>
                  </w:tcBorders>
                  <w:noWrap w:val="0"/>
                  <w:vAlign w:val="center"/>
                </w:tcPr>
                <w:p w14:paraId="419371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b w:val="0"/>
                      <w:bCs w:val="0"/>
                      <w:color w:val="auto"/>
                      <w:spacing w:val="4"/>
                      <w:sz w:val="21"/>
                      <w:szCs w:val="21"/>
                      <w:highlight w:val="none"/>
                      <w:u w:val="none" w:color="auto"/>
                      <w:lang w:val="en-US" w:eastAsia="zh-CN"/>
                    </w:rPr>
                    <w:t>宽</w:t>
                  </w:r>
                  <w:r>
                    <w:rPr>
                      <w:rFonts w:hint="default" w:ascii="Times New Roman" w:hAnsi="Times New Roman" w:eastAsia="宋体" w:cs="Times New Roman"/>
                      <w:b w:val="0"/>
                      <w:bCs w:val="0"/>
                      <w:color w:val="auto"/>
                      <w:spacing w:val="4"/>
                      <w:sz w:val="21"/>
                      <w:szCs w:val="21"/>
                      <w:highlight w:val="none"/>
                      <w:u w:val="none" w:color="auto"/>
                    </w:rPr>
                    <w:t>1.</w:t>
                  </w:r>
                  <w:r>
                    <w:rPr>
                      <w:rFonts w:hint="default" w:ascii="Times New Roman" w:hAnsi="Times New Roman" w:eastAsia="宋体" w:cs="Times New Roman"/>
                      <w:b w:val="0"/>
                      <w:bCs w:val="0"/>
                      <w:color w:val="auto"/>
                      <w:spacing w:val="4"/>
                      <w:sz w:val="21"/>
                      <w:szCs w:val="21"/>
                      <w:highlight w:val="none"/>
                      <w:u w:val="none" w:color="auto"/>
                      <w:lang w:val="en-US" w:eastAsia="zh-CN"/>
                    </w:rPr>
                    <w:t>2</w:t>
                  </w:r>
                  <w:r>
                    <w:rPr>
                      <w:rFonts w:hint="default" w:ascii="Times New Roman" w:hAnsi="Times New Roman" w:eastAsia="宋体" w:cs="Times New Roman"/>
                      <w:b w:val="0"/>
                      <w:bCs w:val="0"/>
                      <w:color w:val="auto"/>
                      <w:spacing w:val="4"/>
                      <w:sz w:val="21"/>
                      <w:szCs w:val="21"/>
                      <w:highlight w:val="none"/>
                      <w:u w:val="none" w:color="auto"/>
                    </w:rPr>
                    <w:t>m×</w:t>
                  </w:r>
                  <w:r>
                    <w:rPr>
                      <w:rFonts w:hint="default" w:ascii="Times New Roman" w:hAnsi="Times New Roman" w:eastAsia="宋体" w:cs="Times New Roman"/>
                      <w:b w:val="0"/>
                      <w:bCs w:val="0"/>
                      <w:color w:val="auto"/>
                      <w:spacing w:val="4"/>
                      <w:sz w:val="21"/>
                      <w:szCs w:val="21"/>
                      <w:highlight w:val="none"/>
                      <w:u w:val="none" w:color="auto"/>
                      <w:lang w:val="en-US" w:eastAsia="zh-CN"/>
                    </w:rPr>
                    <w:t>深0.</w:t>
                  </w:r>
                  <w:r>
                    <w:rPr>
                      <w:rFonts w:hint="default" w:ascii="Times New Roman" w:hAnsi="Times New Roman" w:cs="Times New Roman"/>
                      <w:b w:val="0"/>
                      <w:bCs w:val="0"/>
                      <w:color w:val="auto"/>
                      <w:spacing w:val="4"/>
                      <w:sz w:val="21"/>
                      <w:szCs w:val="21"/>
                      <w:highlight w:val="none"/>
                      <w:u w:val="none" w:color="auto"/>
                      <w:lang w:val="en-US" w:eastAsia="zh-CN"/>
                    </w:rPr>
                    <w:t>75</w:t>
                  </w:r>
                  <w:r>
                    <w:rPr>
                      <w:rFonts w:hint="default" w:ascii="Times New Roman" w:hAnsi="Times New Roman" w:eastAsia="宋体" w:cs="Times New Roman"/>
                      <w:b w:val="0"/>
                      <w:bCs w:val="0"/>
                      <w:color w:val="auto"/>
                      <w:spacing w:val="4"/>
                      <w:sz w:val="21"/>
                      <w:szCs w:val="21"/>
                      <w:highlight w:val="none"/>
                      <w:u w:val="none" w:color="auto"/>
                    </w:rPr>
                    <w:t>m×</w:t>
                  </w:r>
                  <w:r>
                    <w:rPr>
                      <w:rFonts w:hint="default" w:ascii="Times New Roman" w:hAnsi="Times New Roman" w:eastAsia="宋体" w:cs="Times New Roman"/>
                      <w:b w:val="0"/>
                      <w:bCs w:val="0"/>
                      <w:color w:val="auto"/>
                      <w:spacing w:val="4"/>
                      <w:sz w:val="21"/>
                      <w:szCs w:val="21"/>
                      <w:highlight w:val="none"/>
                      <w:u w:val="none" w:color="auto"/>
                      <w:lang w:val="en-US" w:eastAsia="zh-CN"/>
                    </w:rPr>
                    <w:t>高2m</w:t>
                  </w:r>
                </w:p>
              </w:tc>
              <w:tc>
                <w:tcPr>
                  <w:tcW w:w="702" w:type="pct"/>
                  <w:tcBorders>
                    <w:tl2br w:val="nil"/>
                    <w:tr2bl w:val="nil"/>
                  </w:tcBorders>
                  <w:noWrap w:val="0"/>
                  <w:vAlign w:val="center"/>
                </w:tcPr>
                <w:p w14:paraId="3D362D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4</w:t>
                  </w:r>
                </w:p>
              </w:tc>
              <w:tc>
                <w:tcPr>
                  <w:tcW w:w="1093" w:type="pct"/>
                  <w:tcBorders>
                    <w:tl2br w:val="nil"/>
                    <w:tr2bl w:val="nil"/>
                  </w:tcBorders>
                  <w:noWrap w:val="0"/>
                  <w:vAlign w:val="center"/>
                </w:tcPr>
                <w:p w14:paraId="4253D8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化学/生物准备室、实验室</w:t>
                  </w:r>
                </w:p>
              </w:tc>
            </w:tr>
            <w:tr w14:paraId="2F75AD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463" w:type="pct"/>
                  <w:tcBorders>
                    <w:tl2br w:val="nil"/>
                    <w:tr2bl w:val="nil"/>
                  </w:tcBorders>
                  <w:noWrap w:val="0"/>
                  <w:vAlign w:val="center"/>
                </w:tcPr>
                <w:p w14:paraId="5FFC22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29</w:t>
                  </w:r>
                </w:p>
              </w:tc>
              <w:tc>
                <w:tcPr>
                  <w:tcW w:w="983" w:type="pct"/>
                  <w:tcBorders>
                    <w:tl2br w:val="nil"/>
                    <w:tr2bl w:val="nil"/>
                  </w:tcBorders>
                  <w:noWrap w:val="0"/>
                  <w:vAlign w:val="center"/>
                </w:tcPr>
                <w:p w14:paraId="068049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吸风罩</w:t>
                  </w:r>
                </w:p>
              </w:tc>
              <w:tc>
                <w:tcPr>
                  <w:tcW w:w="1757" w:type="pct"/>
                  <w:tcBorders>
                    <w:tl2br w:val="nil"/>
                    <w:tr2bl w:val="nil"/>
                  </w:tcBorders>
                  <w:noWrap w:val="0"/>
                  <w:vAlign w:val="center"/>
                </w:tcPr>
                <w:p w14:paraId="7BAAC7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b w:val="0"/>
                      <w:bCs w:val="0"/>
                      <w:color w:val="auto"/>
                      <w:spacing w:val="3"/>
                      <w:sz w:val="21"/>
                      <w:szCs w:val="21"/>
                      <w:highlight w:val="none"/>
                      <w:u w:val="none" w:color="auto"/>
                      <w:lang w:val="en-US" w:eastAsia="zh-CN"/>
                    </w:rPr>
                    <w:t>内径0.2</w:t>
                  </w:r>
                  <w:r>
                    <w:rPr>
                      <w:rFonts w:hint="default" w:ascii="Times New Roman" w:hAnsi="Times New Roman" w:eastAsia="宋体" w:cs="Times New Roman"/>
                      <w:b w:val="0"/>
                      <w:bCs w:val="0"/>
                      <w:color w:val="auto"/>
                      <w:spacing w:val="3"/>
                      <w:sz w:val="21"/>
                      <w:szCs w:val="21"/>
                      <w:highlight w:val="none"/>
                      <w:u w:val="none" w:color="auto"/>
                    </w:rPr>
                    <w:t>m</w:t>
                  </w:r>
                </w:p>
              </w:tc>
              <w:tc>
                <w:tcPr>
                  <w:tcW w:w="702" w:type="pct"/>
                  <w:tcBorders>
                    <w:tl2br w:val="nil"/>
                    <w:tr2bl w:val="nil"/>
                  </w:tcBorders>
                  <w:noWrap w:val="0"/>
                  <w:vAlign w:val="center"/>
                </w:tcPr>
                <w:p w14:paraId="05D979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104</w:t>
                  </w:r>
                </w:p>
              </w:tc>
              <w:tc>
                <w:tcPr>
                  <w:tcW w:w="1093" w:type="pct"/>
                  <w:tcBorders>
                    <w:tl2br w:val="nil"/>
                    <w:tr2bl w:val="nil"/>
                  </w:tcBorders>
                  <w:noWrap w:val="0"/>
                  <w:vAlign w:val="center"/>
                </w:tcPr>
                <w:p w14:paraId="2A1B68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化学/生物实验室</w:t>
                  </w:r>
                </w:p>
              </w:tc>
            </w:tr>
          </w:tbl>
          <w:p w14:paraId="443E03C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color w:val="auto"/>
                <w:sz w:val="24"/>
                <w:szCs w:val="24"/>
                <w:highlight w:val="none"/>
                <w:u w:val="none"/>
                <w:lang w:val="en-US" w:eastAsia="zh-CN"/>
              </w:rPr>
            </w:pPr>
            <w:r>
              <w:rPr>
                <w:rFonts w:hint="default" w:ascii="Times New Roman" w:hAnsi="Times New Roman" w:eastAsia="宋体" w:cs="Times New Roman"/>
                <w:color w:val="auto"/>
                <w:sz w:val="24"/>
                <w:szCs w:val="24"/>
                <w:highlight w:val="none"/>
                <w:u w:val="none"/>
                <w:lang w:val="en-US" w:eastAsia="zh-CN"/>
              </w:rPr>
              <w:t>考虑到高中物理实验课程主要为演示类实验，不涉及化学试剂的使用，根据中学实验课程特点，本次评价主要分析学校运营期的高中化学、生物实验课程涉及到的化学试剂。</w:t>
            </w:r>
            <w:r>
              <w:rPr>
                <w:rFonts w:hint="default" w:ascii="Times New Roman" w:hAnsi="Times New Roman" w:cs="Times New Roman"/>
                <w:color w:val="auto"/>
                <w:sz w:val="24"/>
                <w:highlight w:val="none"/>
              </w:rPr>
              <w:t>本项目化学、生物实验</w:t>
            </w:r>
            <w:r>
              <w:rPr>
                <w:rFonts w:hint="default" w:ascii="Times New Roman" w:hAnsi="Times New Roman" w:cs="Times New Roman"/>
                <w:color w:val="auto"/>
                <w:sz w:val="24"/>
                <w:highlight w:val="none"/>
                <w:lang w:eastAsia="zh-CN"/>
              </w:rPr>
              <w:t>用水均为蒸馏水，不进行纯水制备，</w:t>
            </w:r>
            <w:r>
              <w:rPr>
                <w:rFonts w:hint="default" w:ascii="Times New Roman" w:hAnsi="Times New Roman" w:eastAsia="宋体" w:cs="Times New Roman"/>
                <w:color w:val="auto"/>
                <w:sz w:val="24"/>
                <w:szCs w:val="24"/>
                <w:highlight w:val="none"/>
                <w:u w:val="none"/>
                <w:lang w:val="en-US" w:eastAsia="zh-CN"/>
              </w:rPr>
              <w:t>本项目化学、生物实验主要实验药品消耗量见</w:t>
            </w:r>
            <w:r>
              <w:rPr>
                <w:rFonts w:hint="default" w:ascii="Times New Roman" w:hAnsi="Times New Roman" w:eastAsia="宋体" w:cs="Times New Roman"/>
                <w:color w:val="auto"/>
                <w:sz w:val="24"/>
                <w:szCs w:val="24"/>
                <w:highlight w:val="none"/>
                <w:u w:val="none"/>
                <w:lang w:val="en-US" w:eastAsia="zh-CN"/>
              </w:rPr>
              <w:fldChar w:fldCharType="begin"/>
            </w:r>
            <w:r>
              <w:rPr>
                <w:rFonts w:hint="default" w:ascii="Times New Roman" w:hAnsi="Times New Roman" w:eastAsia="宋体" w:cs="Times New Roman"/>
                <w:color w:val="auto"/>
                <w:sz w:val="24"/>
                <w:szCs w:val="24"/>
                <w:highlight w:val="none"/>
                <w:u w:val="none"/>
                <w:lang w:val="en-US" w:eastAsia="zh-CN"/>
              </w:rPr>
              <w:instrText xml:space="preserve"> REF _Ref30124 \h </w:instrText>
            </w:r>
            <w:r>
              <w:rPr>
                <w:rFonts w:hint="default" w:ascii="Times New Roman" w:hAnsi="Times New Roman" w:eastAsia="宋体" w:cs="Times New Roman"/>
                <w:color w:val="auto"/>
                <w:sz w:val="24"/>
                <w:szCs w:val="24"/>
                <w:highlight w:val="none"/>
                <w:u w:val="none"/>
                <w:lang w:val="en-US" w:eastAsia="zh-CN"/>
              </w:rPr>
              <w:fldChar w:fldCharType="separate"/>
            </w:r>
            <w:r>
              <w:rPr>
                <w:rFonts w:hint="eastAsia"/>
                <w:color w:val="auto"/>
                <w:sz w:val="24"/>
                <w:szCs w:val="24"/>
                <w:highlight w:val="none"/>
                <w:lang w:eastAsia="zh-CN"/>
              </w:rPr>
              <w:t>表</w:t>
            </w:r>
            <w:r>
              <w:rPr>
                <w:color w:val="auto"/>
                <w:sz w:val="24"/>
                <w:szCs w:val="24"/>
                <w:highlight w:val="none"/>
              </w:rPr>
              <w:fldChar w:fldCharType="begin"/>
            </w:r>
            <w:r>
              <w:rPr>
                <w:color w:val="auto"/>
                <w:sz w:val="24"/>
                <w:szCs w:val="24"/>
                <w:highlight w:val="none"/>
              </w:rPr>
              <w:instrText xml:space="preserve"> STYLEREF 1 \s </w:instrText>
            </w:r>
            <w:r>
              <w:rPr>
                <w:color w:val="auto"/>
                <w:sz w:val="24"/>
                <w:szCs w:val="24"/>
                <w:highlight w:val="none"/>
              </w:rPr>
              <w:fldChar w:fldCharType="separate"/>
            </w:r>
            <w:r>
              <w:rPr>
                <w:color w:val="auto"/>
                <w:sz w:val="24"/>
                <w:szCs w:val="24"/>
                <w:highlight w:val="none"/>
              </w:rPr>
              <w:t>2</w:t>
            </w:r>
            <w:r>
              <w:rPr>
                <w:color w:val="auto"/>
                <w:sz w:val="24"/>
                <w:szCs w:val="24"/>
                <w:highlight w:val="none"/>
              </w:rPr>
              <w:fldChar w:fldCharType="end"/>
            </w:r>
            <w:r>
              <w:rPr>
                <w:rFonts w:hint="eastAsia"/>
                <w:color w:val="auto"/>
                <w:sz w:val="24"/>
                <w:szCs w:val="24"/>
                <w:highlight w:val="none"/>
                <w:lang w:eastAsia="zh-CN"/>
              </w:rPr>
              <w:t>-</w:t>
            </w:r>
            <w:r>
              <w:rPr>
                <w:color w:val="auto"/>
                <w:sz w:val="24"/>
                <w:szCs w:val="24"/>
                <w:highlight w:val="none"/>
              </w:rPr>
              <w:t>8</w:t>
            </w:r>
            <w:r>
              <w:rPr>
                <w:rFonts w:hint="default" w:ascii="Times New Roman" w:hAnsi="Times New Roman" w:eastAsia="宋体" w:cs="Times New Roman"/>
                <w:color w:val="auto"/>
                <w:sz w:val="24"/>
                <w:szCs w:val="24"/>
                <w:highlight w:val="none"/>
                <w:u w:val="none"/>
                <w:lang w:val="en-US" w:eastAsia="zh-CN"/>
              </w:rPr>
              <w:fldChar w:fldCharType="end"/>
            </w:r>
            <w:r>
              <w:rPr>
                <w:rFonts w:hint="default" w:ascii="Times New Roman" w:hAnsi="Times New Roman" w:eastAsia="宋体" w:cs="Times New Roman"/>
                <w:color w:val="auto"/>
                <w:sz w:val="24"/>
                <w:szCs w:val="24"/>
                <w:highlight w:val="none"/>
                <w:u w:val="none"/>
                <w:lang w:val="en-US" w:eastAsia="zh-CN"/>
              </w:rPr>
              <w:t>，主要实验药品理化性质见</w:t>
            </w:r>
            <w:r>
              <w:rPr>
                <w:rFonts w:hint="default" w:ascii="Times New Roman" w:hAnsi="Times New Roman" w:eastAsia="宋体" w:cs="Times New Roman"/>
                <w:color w:val="auto"/>
                <w:sz w:val="24"/>
                <w:szCs w:val="24"/>
                <w:highlight w:val="none"/>
                <w:u w:val="none"/>
                <w:lang w:val="en-US" w:eastAsia="zh-CN"/>
              </w:rPr>
              <w:fldChar w:fldCharType="begin"/>
            </w:r>
            <w:r>
              <w:rPr>
                <w:rFonts w:hint="default" w:ascii="Times New Roman" w:hAnsi="Times New Roman" w:eastAsia="宋体" w:cs="Times New Roman"/>
                <w:color w:val="auto"/>
                <w:sz w:val="24"/>
                <w:szCs w:val="24"/>
                <w:highlight w:val="none"/>
                <w:u w:val="none"/>
                <w:lang w:val="en-US" w:eastAsia="zh-CN"/>
              </w:rPr>
              <w:instrText xml:space="preserve"> REF _Ref867 \h </w:instrText>
            </w:r>
            <w:r>
              <w:rPr>
                <w:rFonts w:hint="default" w:ascii="Times New Roman" w:hAnsi="Times New Roman" w:eastAsia="宋体" w:cs="Times New Roman"/>
                <w:color w:val="auto"/>
                <w:sz w:val="24"/>
                <w:szCs w:val="24"/>
                <w:highlight w:val="none"/>
                <w:u w:val="none"/>
                <w:lang w:val="en-US" w:eastAsia="zh-CN"/>
              </w:rPr>
              <w:fldChar w:fldCharType="separate"/>
            </w:r>
            <w:r>
              <w:rPr>
                <w:rFonts w:hint="eastAsia"/>
                <w:color w:val="auto"/>
                <w:sz w:val="24"/>
                <w:szCs w:val="24"/>
                <w:highlight w:val="none"/>
                <w:lang w:eastAsia="zh-CN"/>
              </w:rPr>
              <w:t>表</w:t>
            </w:r>
            <w:r>
              <w:rPr>
                <w:color w:val="auto"/>
                <w:sz w:val="24"/>
                <w:szCs w:val="24"/>
                <w:highlight w:val="none"/>
              </w:rPr>
              <w:fldChar w:fldCharType="begin"/>
            </w:r>
            <w:r>
              <w:rPr>
                <w:color w:val="auto"/>
                <w:sz w:val="24"/>
                <w:szCs w:val="24"/>
                <w:highlight w:val="none"/>
              </w:rPr>
              <w:instrText xml:space="preserve"> STYLEREF 1 \s </w:instrText>
            </w:r>
            <w:r>
              <w:rPr>
                <w:color w:val="auto"/>
                <w:sz w:val="24"/>
                <w:szCs w:val="24"/>
                <w:highlight w:val="none"/>
              </w:rPr>
              <w:fldChar w:fldCharType="separate"/>
            </w:r>
            <w:r>
              <w:rPr>
                <w:color w:val="auto"/>
                <w:sz w:val="24"/>
                <w:szCs w:val="24"/>
                <w:highlight w:val="none"/>
              </w:rPr>
              <w:t>2</w:t>
            </w:r>
            <w:r>
              <w:rPr>
                <w:color w:val="auto"/>
                <w:sz w:val="24"/>
                <w:szCs w:val="24"/>
                <w:highlight w:val="none"/>
              </w:rPr>
              <w:fldChar w:fldCharType="end"/>
            </w:r>
            <w:r>
              <w:rPr>
                <w:rFonts w:hint="eastAsia"/>
                <w:color w:val="auto"/>
                <w:sz w:val="24"/>
                <w:szCs w:val="24"/>
                <w:highlight w:val="none"/>
                <w:lang w:eastAsia="zh-CN"/>
              </w:rPr>
              <w:t>-</w:t>
            </w:r>
            <w:r>
              <w:rPr>
                <w:color w:val="auto"/>
                <w:sz w:val="24"/>
                <w:szCs w:val="24"/>
                <w:highlight w:val="none"/>
              </w:rPr>
              <w:t>9</w:t>
            </w:r>
            <w:r>
              <w:rPr>
                <w:rFonts w:hint="default" w:ascii="Times New Roman" w:hAnsi="Times New Roman" w:eastAsia="宋体" w:cs="Times New Roman"/>
                <w:color w:val="auto"/>
                <w:sz w:val="24"/>
                <w:szCs w:val="24"/>
                <w:highlight w:val="none"/>
                <w:u w:val="none"/>
                <w:lang w:val="en-US" w:eastAsia="zh-CN"/>
              </w:rPr>
              <w:fldChar w:fldCharType="end"/>
            </w:r>
            <w:r>
              <w:rPr>
                <w:rFonts w:hint="default" w:ascii="Times New Roman" w:hAnsi="Times New Roman" w:eastAsia="宋体" w:cs="Times New Roman"/>
                <w:color w:val="auto"/>
                <w:sz w:val="24"/>
                <w:szCs w:val="24"/>
                <w:highlight w:val="none"/>
                <w:u w:val="none"/>
                <w:lang w:val="en-US" w:eastAsia="zh-CN"/>
              </w:rPr>
              <w:t>。</w:t>
            </w:r>
          </w:p>
          <w:p w14:paraId="24DC0368">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zh-CN" w:eastAsia="zh-CN"/>
              </w:rPr>
            </w:pPr>
            <w:bookmarkStart w:id="10" w:name="_Ref30124"/>
            <w:r>
              <w:rPr>
                <w:rFonts w:hint="eastAsia"/>
                <w:color w:val="auto"/>
                <w:sz w:val="21"/>
                <w:szCs w:val="21"/>
                <w:highlight w:val="none"/>
                <w:lang w:eastAsia="zh-CN"/>
              </w:rPr>
              <w:t>表</w:t>
            </w:r>
            <w:r>
              <w:rPr>
                <w:color w:val="auto"/>
                <w:sz w:val="21"/>
                <w:szCs w:val="21"/>
                <w:highlight w:val="none"/>
              </w:rPr>
              <w:fldChar w:fldCharType="begin"/>
            </w:r>
            <w:r>
              <w:rPr>
                <w:color w:val="auto"/>
                <w:sz w:val="21"/>
                <w:szCs w:val="21"/>
                <w:highlight w:val="none"/>
              </w:rPr>
              <w:instrText xml:space="preserve"> STYLEREF 1 \s </w:instrText>
            </w:r>
            <w:r>
              <w:rPr>
                <w:color w:val="auto"/>
                <w:sz w:val="21"/>
                <w:szCs w:val="21"/>
                <w:highlight w:val="none"/>
              </w:rPr>
              <w:fldChar w:fldCharType="separate"/>
            </w:r>
            <w:r>
              <w:rPr>
                <w:color w:val="auto"/>
                <w:sz w:val="21"/>
                <w:szCs w:val="21"/>
                <w:highlight w:val="none"/>
              </w:rPr>
              <w:t>2</w:t>
            </w:r>
            <w:r>
              <w:rPr>
                <w:color w:val="auto"/>
                <w:sz w:val="21"/>
                <w:szCs w:val="21"/>
                <w:highlight w:val="none"/>
              </w:rPr>
              <w:fldChar w:fldCharType="end"/>
            </w:r>
            <w:r>
              <w:rPr>
                <w:rFonts w:hint="eastAsia"/>
                <w:color w:val="auto"/>
                <w:sz w:val="21"/>
                <w:szCs w:val="21"/>
                <w:highlight w:val="none"/>
                <w:lang w:eastAsia="zh-CN"/>
              </w:rPr>
              <w:t>-</w:t>
            </w:r>
            <w:r>
              <w:rPr>
                <w:color w:val="auto"/>
                <w:sz w:val="21"/>
                <w:szCs w:val="21"/>
                <w:highlight w:val="none"/>
              </w:rPr>
              <w:fldChar w:fldCharType="begin"/>
            </w:r>
            <w:r>
              <w:rPr>
                <w:color w:val="auto"/>
                <w:sz w:val="21"/>
                <w:szCs w:val="21"/>
                <w:highlight w:val="none"/>
              </w:rPr>
              <w:instrText xml:space="preserve"> SEQ 表 \* ARABIC \s 1 </w:instrText>
            </w:r>
            <w:r>
              <w:rPr>
                <w:color w:val="auto"/>
                <w:sz w:val="21"/>
                <w:szCs w:val="21"/>
                <w:highlight w:val="none"/>
              </w:rPr>
              <w:fldChar w:fldCharType="separate"/>
            </w:r>
            <w:r>
              <w:rPr>
                <w:color w:val="auto"/>
                <w:sz w:val="21"/>
                <w:szCs w:val="21"/>
                <w:highlight w:val="none"/>
              </w:rPr>
              <w:t>8</w:t>
            </w:r>
            <w:r>
              <w:rPr>
                <w:color w:val="auto"/>
                <w:sz w:val="21"/>
                <w:szCs w:val="21"/>
                <w:highlight w:val="none"/>
              </w:rPr>
              <w:fldChar w:fldCharType="end"/>
            </w:r>
            <w:bookmarkEnd w:id="10"/>
            <w:r>
              <w:rPr>
                <w:rFonts w:hint="eastAsia"/>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本项目实验室化学品消耗量</w:t>
            </w:r>
            <w:r>
              <w:rPr>
                <w:rFonts w:hint="default" w:ascii="Times New Roman" w:hAnsi="Times New Roman" w:eastAsia="宋体" w:cs="Times New Roman"/>
                <w:color w:val="auto"/>
                <w:sz w:val="21"/>
                <w:szCs w:val="21"/>
                <w:highlight w:val="none"/>
                <w:lang w:val="zh-CN" w:eastAsia="zh-CN"/>
              </w:rPr>
              <w:t>一览表</w:t>
            </w:r>
          </w:p>
          <w:tbl>
            <w:tblPr>
              <w:tblStyle w:val="33"/>
              <w:tblW w:w="4998"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15" w:type="dxa"/>
                <w:left w:w="15" w:type="dxa"/>
                <w:bottom w:w="15" w:type="dxa"/>
                <w:right w:w="15" w:type="dxa"/>
              </w:tblCellMar>
            </w:tblPr>
            <w:tblGrid>
              <w:gridCol w:w="693"/>
              <w:gridCol w:w="1491"/>
              <w:gridCol w:w="1879"/>
              <w:gridCol w:w="1499"/>
              <w:gridCol w:w="1249"/>
              <w:gridCol w:w="1581"/>
            </w:tblGrid>
            <w:tr w14:paraId="42EA10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tblHeader/>
                <w:jc w:val="center"/>
              </w:trPr>
              <w:tc>
                <w:tcPr>
                  <w:tcW w:w="413" w:type="pct"/>
                  <w:noWrap w:val="0"/>
                  <w:vAlign w:val="center"/>
                </w:tcPr>
                <w:p w14:paraId="67424BF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888" w:type="pct"/>
                  <w:noWrap w:val="0"/>
                  <w:vAlign w:val="center"/>
                </w:tcPr>
                <w:p w14:paraId="0E9033D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实验室类型</w:t>
                  </w:r>
                </w:p>
              </w:tc>
              <w:tc>
                <w:tcPr>
                  <w:tcW w:w="1119" w:type="pct"/>
                  <w:noWrap w:val="0"/>
                  <w:vAlign w:val="center"/>
                </w:tcPr>
                <w:p w14:paraId="7CED35B4">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化学品名称</w:t>
                  </w:r>
                </w:p>
              </w:tc>
              <w:tc>
                <w:tcPr>
                  <w:tcW w:w="893" w:type="pct"/>
                  <w:noWrap w:val="0"/>
                  <w:vAlign w:val="center"/>
                </w:tcPr>
                <w:p w14:paraId="248BE07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规格</w:t>
                  </w:r>
                </w:p>
              </w:tc>
              <w:tc>
                <w:tcPr>
                  <w:tcW w:w="744" w:type="pct"/>
                  <w:noWrap w:val="0"/>
                  <w:vAlign w:val="center"/>
                </w:tcPr>
                <w:p w14:paraId="7F6B126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年用量</w:t>
                  </w:r>
                </w:p>
              </w:tc>
              <w:tc>
                <w:tcPr>
                  <w:tcW w:w="941" w:type="pct"/>
                  <w:noWrap w:val="0"/>
                  <w:vAlign w:val="center"/>
                </w:tcPr>
                <w:p w14:paraId="0F3E2A7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最大储存量</w:t>
                  </w:r>
                </w:p>
              </w:tc>
            </w:tr>
            <w:tr w14:paraId="792912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77B5DBE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w:t>
                  </w:r>
                </w:p>
              </w:tc>
              <w:tc>
                <w:tcPr>
                  <w:tcW w:w="888" w:type="pct"/>
                  <w:vMerge w:val="restart"/>
                  <w:noWrap w:val="0"/>
                  <w:vAlign w:val="center"/>
                </w:tcPr>
                <w:p w14:paraId="7D0CD11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化学实验室用品</w:t>
                  </w:r>
                </w:p>
              </w:tc>
              <w:tc>
                <w:tcPr>
                  <w:tcW w:w="1119" w:type="pct"/>
                  <w:noWrap w:val="0"/>
                  <w:vAlign w:val="center"/>
                </w:tcPr>
                <w:p w14:paraId="6AEEF6D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稀盐酸</w:t>
                  </w:r>
                </w:p>
              </w:tc>
              <w:tc>
                <w:tcPr>
                  <w:tcW w:w="893" w:type="pct"/>
                  <w:noWrap w:val="0"/>
                  <w:vAlign w:val="center"/>
                </w:tcPr>
                <w:p w14:paraId="429664B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1C93A5A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02D3084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2瓶</w:t>
                  </w:r>
                </w:p>
              </w:tc>
            </w:tr>
            <w:tr w14:paraId="007E60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237C81F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w:t>
                  </w:r>
                </w:p>
              </w:tc>
              <w:tc>
                <w:tcPr>
                  <w:tcW w:w="888" w:type="pct"/>
                  <w:vMerge w:val="continue"/>
                  <w:noWrap w:val="0"/>
                  <w:vAlign w:val="center"/>
                </w:tcPr>
                <w:p w14:paraId="0F748603">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0E7410C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硫酸</w:t>
                  </w:r>
                </w:p>
              </w:tc>
              <w:tc>
                <w:tcPr>
                  <w:tcW w:w="893" w:type="pct"/>
                  <w:noWrap w:val="0"/>
                  <w:vAlign w:val="center"/>
                </w:tcPr>
                <w:p w14:paraId="1E01DE74">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73B3A4C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596AD90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404359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3848519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888" w:type="pct"/>
                  <w:vMerge w:val="continue"/>
                  <w:noWrap w:val="0"/>
                  <w:vAlign w:val="center"/>
                </w:tcPr>
                <w:p w14:paraId="4E0EEAD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049B811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氢氧化钠</w:t>
                  </w:r>
                </w:p>
              </w:tc>
              <w:tc>
                <w:tcPr>
                  <w:tcW w:w="893" w:type="pct"/>
                  <w:noWrap w:val="0"/>
                  <w:vAlign w:val="center"/>
                </w:tcPr>
                <w:p w14:paraId="3559A64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500g/瓶</w:t>
                  </w:r>
                </w:p>
              </w:tc>
              <w:tc>
                <w:tcPr>
                  <w:tcW w:w="1291" w:type="dxa"/>
                  <w:noWrap w:val="0"/>
                  <w:vAlign w:val="center"/>
                </w:tcPr>
                <w:p w14:paraId="1FBE734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6714892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13A79C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6C64769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4</w:t>
                  </w:r>
                </w:p>
              </w:tc>
              <w:tc>
                <w:tcPr>
                  <w:tcW w:w="888" w:type="pct"/>
                  <w:vMerge w:val="continue"/>
                  <w:noWrap w:val="0"/>
                  <w:vAlign w:val="center"/>
                </w:tcPr>
                <w:p w14:paraId="44DEE1A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17CDDA70">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氢氧化钙</w:t>
                  </w:r>
                </w:p>
              </w:tc>
              <w:tc>
                <w:tcPr>
                  <w:tcW w:w="893" w:type="pct"/>
                  <w:noWrap w:val="0"/>
                  <w:vAlign w:val="center"/>
                </w:tcPr>
                <w:p w14:paraId="61A1B7E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500g/瓶</w:t>
                  </w:r>
                </w:p>
              </w:tc>
              <w:tc>
                <w:tcPr>
                  <w:tcW w:w="1291" w:type="dxa"/>
                  <w:noWrap w:val="0"/>
                  <w:vAlign w:val="center"/>
                </w:tcPr>
                <w:p w14:paraId="3ED675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55C6700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6B7CEF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20038D4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w:t>
                  </w:r>
                </w:p>
              </w:tc>
              <w:tc>
                <w:tcPr>
                  <w:tcW w:w="888" w:type="pct"/>
                  <w:vMerge w:val="continue"/>
                  <w:noWrap w:val="0"/>
                  <w:vAlign w:val="center"/>
                </w:tcPr>
                <w:p w14:paraId="658B8E9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338BB3C4">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稀硝酸</w:t>
                  </w:r>
                </w:p>
              </w:tc>
              <w:tc>
                <w:tcPr>
                  <w:tcW w:w="893" w:type="pct"/>
                  <w:noWrap w:val="0"/>
                  <w:vAlign w:val="center"/>
                </w:tcPr>
                <w:p w14:paraId="26CE01E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7272651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67A4271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33DDAC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4C7ED00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w:t>
                  </w:r>
                </w:p>
              </w:tc>
              <w:tc>
                <w:tcPr>
                  <w:tcW w:w="888" w:type="pct"/>
                  <w:vMerge w:val="continue"/>
                  <w:noWrap w:val="0"/>
                  <w:vAlign w:val="center"/>
                </w:tcPr>
                <w:p w14:paraId="0BDBD173">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22F432D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碘水</w:t>
                  </w:r>
                </w:p>
              </w:tc>
              <w:tc>
                <w:tcPr>
                  <w:tcW w:w="893" w:type="pct"/>
                  <w:noWrap w:val="0"/>
                  <w:vAlign w:val="center"/>
                </w:tcPr>
                <w:p w14:paraId="308B541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12EC92B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5F2589E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0FA223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48FAF29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7</w:t>
                  </w:r>
                </w:p>
              </w:tc>
              <w:tc>
                <w:tcPr>
                  <w:tcW w:w="888" w:type="pct"/>
                  <w:vMerge w:val="continue"/>
                  <w:noWrap w:val="0"/>
                  <w:vAlign w:val="center"/>
                </w:tcPr>
                <w:p w14:paraId="102DA80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24C1BCA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氯化钠</w:t>
                  </w:r>
                </w:p>
              </w:tc>
              <w:tc>
                <w:tcPr>
                  <w:tcW w:w="893" w:type="pct"/>
                  <w:noWrap w:val="0"/>
                  <w:vAlign w:val="center"/>
                </w:tcPr>
                <w:p w14:paraId="404F91C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500g/瓶</w:t>
                  </w:r>
                </w:p>
              </w:tc>
              <w:tc>
                <w:tcPr>
                  <w:tcW w:w="1291" w:type="dxa"/>
                  <w:noWrap w:val="0"/>
                  <w:vAlign w:val="center"/>
                </w:tcPr>
                <w:p w14:paraId="33FC248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1037740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4瓶</w:t>
                  </w:r>
                </w:p>
              </w:tc>
            </w:tr>
            <w:tr w14:paraId="29539B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6A1FC20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8</w:t>
                  </w:r>
                </w:p>
              </w:tc>
              <w:tc>
                <w:tcPr>
                  <w:tcW w:w="888" w:type="pct"/>
                  <w:vMerge w:val="continue"/>
                  <w:noWrap w:val="0"/>
                  <w:vAlign w:val="center"/>
                </w:tcPr>
                <w:p w14:paraId="569B8230">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384FB82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氯化铁</w:t>
                  </w:r>
                </w:p>
              </w:tc>
              <w:tc>
                <w:tcPr>
                  <w:tcW w:w="893" w:type="pct"/>
                  <w:noWrap w:val="0"/>
                  <w:vAlign w:val="center"/>
                </w:tcPr>
                <w:p w14:paraId="4EE3E9A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500g/瓶</w:t>
                  </w:r>
                </w:p>
              </w:tc>
              <w:tc>
                <w:tcPr>
                  <w:tcW w:w="1291" w:type="dxa"/>
                  <w:noWrap w:val="0"/>
                  <w:vAlign w:val="center"/>
                </w:tcPr>
                <w:p w14:paraId="0C4D653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6598BA8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08791B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4B094183">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9</w:t>
                  </w:r>
                </w:p>
              </w:tc>
              <w:tc>
                <w:tcPr>
                  <w:tcW w:w="888" w:type="pct"/>
                  <w:vMerge w:val="continue"/>
                  <w:noWrap w:val="0"/>
                  <w:vAlign w:val="center"/>
                </w:tcPr>
                <w:p w14:paraId="55C1F06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4419D584">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硫酸铜</w:t>
                  </w:r>
                </w:p>
              </w:tc>
              <w:tc>
                <w:tcPr>
                  <w:tcW w:w="893" w:type="pct"/>
                  <w:noWrap w:val="0"/>
                  <w:vAlign w:val="center"/>
                </w:tcPr>
                <w:p w14:paraId="21E3D99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500g/瓶</w:t>
                  </w:r>
                </w:p>
              </w:tc>
              <w:tc>
                <w:tcPr>
                  <w:tcW w:w="1291" w:type="dxa"/>
                  <w:noWrap w:val="0"/>
                  <w:vAlign w:val="center"/>
                </w:tcPr>
                <w:p w14:paraId="157EDDC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4D28AC1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1瓶</w:t>
                  </w:r>
                </w:p>
              </w:tc>
            </w:tr>
            <w:tr w14:paraId="4A9310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41AB34D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10</w:t>
                  </w:r>
                </w:p>
              </w:tc>
              <w:tc>
                <w:tcPr>
                  <w:tcW w:w="888" w:type="pct"/>
                  <w:vMerge w:val="continue"/>
                  <w:noWrap w:val="0"/>
                  <w:vAlign w:val="center"/>
                </w:tcPr>
                <w:p w14:paraId="1D3059C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10E0DD5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酚酞</w:t>
                  </w:r>
                </w:p>
              </w:tc>
              <w:tc>
                <w:tcPr>
                  <w:tcW w:w="893" w:type="pct"/>
                  <w:noWrap w:val="0"/>
                  <w:vAlign w:val="center"/>
                </w:tcPr>
                <w:p w14:paraId="41C3EB73">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25g/瓶</w:t>
                  </w:r>
                </w:p>
              </w:tc>
              <w:tc>
                <w:tcPr>
                  <w:tcW w:w="1291" w:type="dxa"/>
                  <w:noWrap w:val="0"/>
                  <w:vAlign w:val="center"/>
                </w:tcPr>
                <w:p w14:paraId="74DD98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00C5AB0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1瓶</w:t>
                  </w:r>
                </w:p>
              </w:tc>
            </w:tr>
            <w:tr w14:paraId="78DB7D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476586C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11</w:t>
                  </w:r>
                </w:p>
              </w:tc>
              <w:tc>
                <w:tcPr>
                  <w:tcW w:w="888" w:type="pct"/>
                  <w:vMerge w:val="continue"/>
                  <w:noWrap w:val="0"/>
                  <w:vAlign w:val="center"/>
                </w:tcPr>
                <w:p w14:paraId="055082E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77191F03">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碳酸钠</w:t>
                  </w:r>
                </w:p>
              </w:tc>
              <w:tc>
                <w:tcPr>
                  <w:tcW w:w="893" w:type="pct"/>
                  <w:noWrap w:val="0"/>
                  <w:vAlign w:val="center"/>
                </w:tcPr>
                <w:p w14:paraId="528F8CE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500g/瓶</w:t>
                  </w:r>
                </w:p>
              </w:tc>
              <w:tc>
                <w:tcPr>
                  <w:tcW w:w="1291" w:type="dxa"/>
                  <w:noWrap w:val="0"/>
                  <w:vAlign w:val="center"/>
                </w:tcPr>
                <w:p w14:paraId="74AAA2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1DCEBAA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0E30E4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4E0CAD2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w:t>
                  </w:r>
                </w:p>
              </w:tc>
              <w:tc>
                <w:tcPr>
                  <w:tcW w:w="888" w:type="pct"/>
                  <w:vMerge w:val="continue"/>
                  <w:noWrap w:val="0"/>
                  <w:vAlign w:val="center"/>
                </w:tcPr>
                <w:p w14:paraId="537304B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3350C53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碳酸氢钠</w:t>
                  </w:r>
                </w:p>
              </w:tc>
              <w:tc>
                <w:tcPr>
                  <w:tcW w:w="893" w:type="pct"/>
                  <w:noWrap w:val="0"/>
                  <w:vAlign w:val="center"/>
                </w:tcPr>
                <w:p w14:paraId="2ED46B3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500g/瓶</w:t>
                  </w:r>
                </w:p>
              </w:tc>
              <w:tc>
                <w:tcPr>
                  <w:tcW w:w="1291" w:type="dxa"/>
                  <w:noWrap w:val="0"/>
                  <w:vAlign w:val="center"/>
                </w:tcPr>
                <w:p w14:paraId="2D0DA2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15648B9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1瓶</w:t>
                  </w:r>
                </w:p>
              </w:tc>
            </w:tr>
            <w:tr w14:paraId="6370B0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5DF9DA00">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13</w:t>
                  </w:r>
                </w:p>
              </w:tc>
              <w:tc>
                <w:tcPr>
                  <w:tcW w:w="888" w:type="pct"/>
                  <w:vMerge w:val="continue"/>
                  <w:noWrap w:val="0"/>
                  <w:vAlign w:val="center"/>
                </w:tcPr>
                <w:p w14:paraId="3B391B8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73652F3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氯化亚铁</w:t>
                  </w:r>
                </w:p>
              </w:tc>
              <w:tc>
                <w:tcPr>
                  <w:tcW w:w="893" w:type="pct"/>
                  <w:noWrap w:val="0"/>
                  <w:vAlign w:val="center"/>
                </w:tcPr>
                <w:p w14:paraId="30960F5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500g/瓶</w:t>
                  </w:r>
                </w:p>
              </w:tc>
              <w:tc>
                <w:tcPr>
                  <w:tcW w:w="1291" w:type="dxa"/>
                  <w:noWrap w:val="0"/>
                  <w:vAlign w:val="center"/>
                </w:tcPr>
                <w:p w14:paraId="50AAFF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1A07097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1瓶</w:t>
                  </w:r>
                </w:p>
              </w:tc>
            </w:tr>
            <w:tr w14:paraId="5C7156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27797BB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w:t>
                  </w:r>
                </w:p>
              </w:tc>
              <w:tc>
                <w:tcPr>
                  <w:tcW w:w="888" w:type="pct"/>
                  <w:vMerge w:val="continue"/>
                  <w:noWrap w:val="0"/>
                  <w:vAlign w:val="center"/>
                </w:tcPr>
                <w:p w14:paraId="6B82D2D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6B3D7D5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乙酸</w:t>
                  </w:r>
                </w:p>
              </w:tc>
              <w:tc>
                <w:tcPr>
                  <w:tcW w:w="893" w:type="pct"/>
                  <w:noWrap w:val="0"/>
                  <w:vAlign w:val="center"/>
                </w:tcPr>
                <w:p w14:paraId="117774D3">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14B22A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349BD02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6E6DAD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75FC211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w:t>
                  </w:r>
                </w:p>
              </w:tc>
              <w:tc>
                <w:tcPr>
                  <w:tcW w:w="888" w:type="pct"/>
                  <w:vMerge w:val="continue"/>
                  <w:noWrap w:val="0"/>
                  <w:vAlign w:val="center"/>
                </w:tcPr>
                <w:p w14:paraId="7C64658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46C81FA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无水乙醇</w:t>
                  </w:r>
                </w:p>
              </w:tc>
              <w:tc>
                <w:tcPr>
                  <w:tcW w:w="893" w:type="pct"/>
                  <w:noWrap w:val="0"/>
                  <w:vAlign w:val="center"/>
                </w:tcPr>
                <w:p w14:paraId="2F0B0D3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269C283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7D83F45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3瓶</w:t>
                  </w:r>
                </w:p>
              </w:tc>
            </w:tr>
            <w:tr w14:paraId="7E360F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6737E91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16</w:t>
                  </w:r>
                </w:p>
              </w:tc>
              <w:tc>
                <w:tcPr>
                  <w:tcW w:w="888" w:type="pct"/>
                  <w:vMerge w:val="continue"/>
                  <w:noWrap w:val="0"/>
                  <w:vAlign w:val="center"/>
                </w:tcPr>
                <w:p w14:paraId="49EEAF3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56DFCBA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铝片/铝丝</w:t>
                  </w:r>
                </w:p>
              </w:tc>
              <w:tc>
                <w:tcPr>
                  <w:tcW w:w="893" w:type="pct"/>
                  <w:noWrap w:val="0"/>
                  <w:vAlign w:val="center"/>
                </w:tcPr>
                <w:p w14:paraId="79CA014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291" w:type="dxa"/>
                  <w:noWrap w:val="0"/>
                  <w:vAlign w:val="center"/>
                </w:tcPr>
                <w:p w14:paraId="782FF4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1000g</w:t>
                  </w:r>
                </w:p>
              </w:tc>
              <w:tc>
                <w:tcPr>
                  <w:tcW w:w="941" w:type="pct"/>
                  <w:noWrap w:val="0"/>
                  <w:vAlign w:val="center"/>
                </w:tcPr>
                <w:p w14:paraId="3AFAB29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hAnsi="Times New Roman"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00g</w:t>
                  </w:r>
                </w:p>
              </w:tc>
            </w:tr>
            <w:tr w14:paraId="097AE4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67C897B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17</w:t>
                  </w:r>
                </w:p>
              </w:tc>
              <w:tc>
                <w:tcPr>
                  <w:tcW w:w="888" w:type="pct"/>
                  <w:vMerge w:val="continue"/>
                  <w:noWrap w:val="0"/>
                  <w:vAlign w:val="center"/>
                </w:tcPr>
                <w:p w14:paraId="65435B5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49ABF06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锌片</w:t>
                  </w:r>
                </w:p>
              </w:tc>
              <w:tc>
                <w:tcPr>
                  <w:tcW w:w="893" w:type="pct"/>
                  <w:noWrap w:val="0"/>
                  <w:vAlign w:val="center"/>
                </w:tcPr>
                <w:p w14:paraId="2BF3220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291" w:type="dxa"/>
                  <w:noWrap w:val="0"/>
                  <w:vAlign w:val="center"/>
                </w:tcPr>
                <w:p w14:paraId="6F8270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500g</w:t>
                  </w:r>
                </w:p>
              </w:tc>
              <w:tc>
                <w:tcPr>
                  <w:tcW w:w="941" w:type="pct"/>
                  <w:noWrap w:val="0"/>
                  <w:vAlign w:val="center"/>
                </w:tcPr>
                <w:p w14:paraId="12E1459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hAnsi="Times New Roman"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00g</w:t>
                  </w:r>
                </w:p>
              </w:tc>
            </w:tr>
            <w:tr w14:paraId="4C54F1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6740A63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18</w:t>
                  </w:r>
                </w:p>
              </w:tc>
              <w:tc>
                <w:tcPr>
                  <w:tcW w:w="888" w:type="pct"/>
                  <w:vMerge w:val="continue"/>
                  <w:noWrap w:val="0"/>
                  <w:vAlign w:val="center"/>
                </w:tcPr>
                <w:p w14:paraId="3D99C22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5758FC2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镁带</w:t>
                  </w:r>
                </w:p>
              </w:tc>
              <w:tc>
                <w:tcPr>
                  <w:tcW w:w="893" w:type="pct"/>
                  <w:noWrap w:val="0"/>
                  <w:vAlign w:val="center"/>
                </w:tcPr>
                <w:p w14:paraId="23FB5864">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291" w:type="dxa"/>
                  <w:noWrap w:val="0"/>
                  <w:vAlign w:val="center"/>
                </w:tcPr>
                <w:p w14:paraId="21A149C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500g</w:t>
                  </w:r>
                </w:p>
              </w:tc>
              <w:tc>
                <w:tcPr>
                  <w:tcW w:w="941" w:type="pct"/>
                  <w:noWrap w:val="0"/>
                  <w:vAlign w:val="center"/>
                </w:tcPr>
                <w:p w14:paraId="5CAB971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hAnsi="Times New Roman"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00g</w:t>
                  </w:r>
                </w:p>
              </w:tc>
            </w:tr>
            <w:tr w14:paraId="3E6387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7746AAC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19</w:t>
                  </w:r>
                </w:p>
              </w:tc>
              <w:tc>
                <w:tcPr>
                  <w:tcW w:w="888" w:type="pct"/>
                  <w:vMerge w:val="continue"/>
                  <w:noWrap w:val="0"/>
                  <w:vAlign w:val="center"/>
                </w:tcPr>
                <w:p w14:paraId="0F0CE4C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5C6B3B5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金属钠</w:t>
                  </w:r>
                </w:p>
              </w:tc>
              <w:tc>
                <w:tcPr>
                  <w:tcW w:w="893" w:type="pct"/>
                  <w:noWrap w:val="0"/>
                  <w:vAlign w:val="center"/>
                </w:tcPr>
                <w:p w14:paraId="430E0DA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291" w:type="dxa"/>
                  <w:noWrap w:val="0"/>
                  <w:vAlign w:val="center"/>
                </w:tcPr>
                <w:p w14:paraId="0D63DE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1000g</w:t>
                  </w:r>
                </w:p>
              </w:tc>
              <w:tc>
                <w:tcPr>
                  <w:tcW w:w="941" w:type="pct"/>
                  <w:noWrap w:val="0"/>
                  <w:vAlign w:val="center"/>
                </w:tcPr>
                <w:p w14:paraId="2BF438B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hAnsi="Times New Roman"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00g</w:t>
                  </w:r>
                </w:p>
              </w:tc>
            </w:tr>
            <w:tr w14:paraId="480E23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3EE8698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20</w:t>
                  </w:r>
                </w:p>
              </w:tc>
              <w:tc>
                <w:tcPr>
                  <w:tcW w:w="888" w:type="pct"/>
                  <w:vMerge w:val="continue"/>
                  <w:noWrap w:val="0"/>
                  <w:vAlign w:val="center"/>
                </w:tcPr>
                <w:p w14:paraId="28ABC50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highlight w:val="none"/>
                    </w:rPr>
                  </w:pPr>
                </w:p>
              </w:tc>
              <w:tc>
                <w:tcPr>
                  <w:tcW w:w="1119" w:type="pct"/>
                  <w:noWrap w:val="0"/>
                  <w:vAlign w:val="center"/>
                </w:tcPr>
                <w:p w14:paraId="0211A59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紫色石蕊溶液</w:t>
                  </w:r>
                </w:p>
              </w:tc>
              <w:tc>
                <w:tcPr>
                  <w:tcW w:w="893" w:type="pct"/>
                  <w:noWrap w:val="0"/>
                  <w:vAlign w:val="center"/>
                </w:tcPr>
                <w:p w14:paraId="299D196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2649C8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7068C40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2瓶</w:t>
                  </w:r>
                </w:p>
              </w:tc>
            </w:tr>
            <w:tr w14:paraId="15F48E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0A56164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21</w:t>
                  </w:r>
                </w:p>
              </w:tc>
              <w:tc>
                <w:tcPr>
                  <w:tcW w:w="888" w:type="pct"/>
                  <w:vMerge w:val="continue"/>
                  <w:noWrap w:val="0"/>
                  <w:vAlign w:val="center"/>
                </w:tcPr>
                <w:p w14:paraId="2837823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46C33CF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硫氰酸钾溶液</w:t>
                  </w:r>
                </w:p>
              </w:tc>
              <w:tc>
                <w:tcPr>
                  <w:tcW w:w="893" w:type="pct"/>
                  <w:noWrap w:val="0"/>
                  <w:vAlign w:val="center"/>
                </w:tcPr>
                <w:p w14:paraId="225BED4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1EDDD8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38762450">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4瓶</w:t>
                  </w:r>
                </w:p>
              </w:tc>
            </w:tr>
            <w:tr w14:paraId="7609AB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3A96DB9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22</w:t>
                  </w:r>
                </w:p>
              </w:tc>
              <w:tc>
                <w:tcPr>
                  <w:tcW w:w="888" w:type="pct"/>
                  <w:vMerge w:val="continue"/>
                  <w:noWrap w:val="0"/>
                  <w:vAlign w:val="center"/>
                </w:tcPr>
                <w:p w14:paraId="48BC4A1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34A9F44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铁氰酸钾溶液</w:t>
                  </w:r>
                </w:p>
              </w:tc>
              <w:tc>
                <w:tcPr>
                  <w:tcW w:w="893" w:type="pct"/>
                  <w:noWrap w:val="0"/>
                  <w:vAlign w:val="center"/>
                </w:tcPr>
                <w:p w14:paraId="4C9F1CB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25514F8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58BFE89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1瓶</w:t>
                  </w:r>
                </w:p>
              </w:tc>
            </w:tr>
            <w:tr w14:paraId="7141A7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3FAB03C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23</w:t>
                  </w:r>
                </w:p>
              </w:tc>
              <w:tc>
                <w:tcPr>
                  <w:tcW w:w="888" w:type="pct"/>
                  <w:vMerge w:val="continue"/>
                  <w:noWrap w:val="0"/>
                  <w:vAlign w:val="center"/>
                </w:tcPr>
                <w:p w14:paraId="341F48F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1119" w:type="pct"/>
                  <w:noWrap w:val="0"/>
                  <w:vAlign w:val="center"/>
                </w:tcPr>
                <w:p w14:paraId="4489ADF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双氧水</w:t>
                  </w:r>
                </w:p>
              </w:tc>
              <w:tc>
                <w:tcPr>
                  <w:tcW w:w="893" w:type="pct"/>
                  <w:noWrap w:val="0"/>
                  <w:vAlign w:val="center"/>
                </w:tcPr>
                <w:p w14:paraId="0925509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52984C2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71BF6F0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3瓶</w:t>
                  </w:r>
                </w:p>
              </w:tc>
            </w:tr>
            <w:tr w14:paraId="36B47D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25C8BAD0">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24</w:t>
                  </w:r>
                </w:p>
              </w:tc>
              <w:tc>
                <w:tcPr>
                  <w:tcW w:w="888" w:type="pct"/>
                  <w:vMerge w:val="continue"/>
                  <w:noWrap w:val="0"/>
                  <w:vAlign w:val="center"/>
                </w:tcPr>
                <w:p w14:paraId="7BAE2AF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1119" w:type="pct"/>
                  <w:noWrap w:val="0"/>
                  <w:vAlign w:val="center"/>
                </w:tcPr>
                <w:p w14:paraId="4C5AE8D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蒸馏水</w:t>
                  </w:r>
                </w:p>
              </w:tc>
              <w:tc>
                <w:tcPr>
                  <w:tcW w:w="893" w:type="pct"/>
                  <w:noWrap w:val="0"/>
                  <w:vAlign w:val="center"/>
                </w:tcPr>
                <w:p w14:paraId="21E72D1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10L/桶</w:t>
                  </w:r>
                </w:p>
              </w:tc>
              <w:tc>
                <w:tcPr>
                  <w:tcW w:w="1291" w:type="dxa"/>
                  <w:noWrap w:val="0"/>
                  <w:vAlign w:val="center"/>
                </w:tcPr>
                <w:p w14:paraId="011622B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9</w:t>
                  </w:r>
                  <w:r>
                    <w:rPr>
                      <w:rFonts w:hint="eastAsia" w:ascii="宋体" w:hAnsi="宋体" w:eastAsia="宋体" w:cs="宋体"/>
                      <w:i w:val="0"/>
                      <w:iCs w:val="0"/>
                      <w:color w:val="auto"/>
                      <w:kern w:val="0"/>
                      <w:sz w:val="21"/>
                      <w:szCs w:val="21"/>
                      <w:highlight w:val="none"/>
                      <w:u w:val="none"/>
                      <w:lang w:val="en-US" w:eastAsia="zh-CN" w:bidi="ar"/>
                    </w:rPr>
                    <w:t>桶</w:t>
                  </w:r>
                </w:p>
              </w:tc>
              <w:tc>
                <w:tcPr>
                  <w:tcW w:w="941" w:type="pct"/>
                  <w:noWrap w:val="0"/>
                  <w:vAlign w:val="center"/>
                </w:tcPr>
                <w:p w14:paraId="0A7CAF2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3桶</w:t>
                  </w:r>
                </w:p>
              </w:tc>
            </w:tr>
            <w:tr w14:paraId="58908D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20BBA29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25</w:t>
                  </w:r>
                </w:p>
              </w:tc>
              <w:tc>
                <w:tcPr>
                  <w:tcW w:w="888" w:type="pct"/>
                  <w:vMerge w:val="continue"/>
                  <w:noWrap w:val="0"/>
                  <w:vAlign w:val="center"/>
                </w:tcPr>
                <w:p w14:paraId="6EB85F4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highlight w:val="none"/>
                    </w:rPr>
                  </w:pPr>
                </w:p>
              </w:tc>
              <w:tc>
                <w:tcPr>
                  <w:tcW w:w="1119" w:type="pct"/>
                  <w:noWrap w:val="0"/>
                  <w:vAlign w:val="center"/>
                </w:tcPr>
                <w:p w14:paraId="3126D29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酸性高锰酸钾溶液</w:t>
                  </w:r>
                </w:p>
              </w:tc>
              <w:tc>
                <w:tcPr>
                  <w:tcW w:w="893" w:type="pct"/>
                  <w:noWrap w:val="0"/>
                  <w:vAlign w:val="center"/>
                </w:tcPr>
                <w:p w14:paraId="71F67AD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73D391A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7A6FFCB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2瓶</w:t>
                  </w:r>
                </w:p>
              </w:tc>
            </w:tr>
            <w:tr w14:paraId="159A01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355A460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0"/>
                      <w:highlight w:val="none"/>
                      <w:lang w:val="en-US" w:eastAsia="zh-CN" w:bidi="ar-SA"/>
                    </w:rPr>
                  </w:pPr>
                  <w:r>
                    <w:rPr>
                      <w:rFonts w:hint="default" w:ascii="Times New Roman" w:hAnsi="Times New Roman" w:cs="Times New Roman"/>
                      <w:color w:val="auto"/>
                      <w:highlight w:val="none"/>
                      <w:lang w:val="en-US" w:eastAsia="zh-CN"/>
                    </w:rPr>
                    <w:t>26</w:t>
                  </w:r>
                </w:p>
              </w:tc>
              <w:tc>
                <w:tcPr>
                  <w:tcW w:w="888" w:type="pct"/>
                  <w:vMerge w:val="continue"/>
                  <w:noWrap w:val="0"/>
                  <w:vAlign w:val="center"/>
                </w:tcPr>
                <w:p w14:paraId="3F1D7CA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3F4887D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二氧化锰粉末</w:t>
                  </w:r>
                </w:p>
              </w:tc>
              <w:tc>
                <w:tcPr>
                  <w:tcW w:w="893" w:type="pct"/>
                  <w:noWrap w:val="0"/>
                  <w:vAlign w:val="center"/>
                </w:tcPr>
                <w:p w14:paraId="75280EA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500g/瓶</w:t>
                  </w:r>
                </w:p>
              </w:tc>
              <w:tc>
                <w:tcPr>
                  <w:tcW w:w="1291" w:type="dxa"/>
                  <w:noWrap w:val="0"/>
                  <w:vAlign w:val="center"/>
                </w:tcPr>
                <w:p w14:paraId="1542853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0F4EB1A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瓶</w:t>
                  </w:r>
                </w:p>
              </w:tc>
            </w:tr>
            <w:tr w14:paraId="5339AD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2BB7870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27</w:t>
                  </w:r>
                </w:p>
              </w:tc>
              <w:tc>
                <w:tcPr>
                  <w:tcW w:w="888" w:type="pct"/>
                  <w:vMerge w:val="continue"/>
                  <w:noWrap w:val="0"/>
                  <w:vAlign w:val="center"/>
                </w:tcPr>
                <w:p w14:paraId="7155FDF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0EBE69C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硫粉</w:t>
                  </w:r>
                </w:p>
              </w:tc>
              <w:tc>
                <w:tcPr>
                  <w:tcW w:w="893" w:type="pct"/>
                  <w:noWrap w:val="0"/>
                  <w:vAlign w:val="center"/>
                </w:tcPr>
                <w:p w14:paraId="152B637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250g/瓶</w:t>
                  </w:r>
                </w:p>
              </w:tc>
              <w:tc>
                <w:tcPr>
                  <w:tcW w:w="1291" w:type="dxa"/>
                  <w:noWrap w:val="0"/>
                  <w:vAlign w:val="center"/>
                </w:tcPr>
                <w:p w14:paraId="146E740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79D4CB8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瓶</w:t>
                  </w:r>
                </w:p>
              </w:tc>
            </w:tr>
            <w:tr w14:paraId="0FFFF5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01C3BE6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28</w:t>
                  </w:r>
                </w:p>
              </w:tc>
              <w:tc>
                <w:tcPr>
                  <w:tcW w:w="888" w:type="pct"/>
                  <w:vMerge w:val="continue"/>
                  <w:noWrap w:val="0"/>
                  <w:vAlign w:val="center"/>
                </w:tcPr>
                <w:p w14:paraId="3F14E6A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highlight w:val="none"/>
                    </w:rPr>
                  </w:pPr>
                </w:p>
              </w:tc>
              <w:tc>
                <w:tcPr>
                  <w:tcW w:w="1119" w:type="pct"/>
                  <w:noWrap w:val="0"/>
                  <w:vAlign w:val="center"/>
                </w:tcPr>
                <w:p w14:paraId="6760EED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铁粉</w:t>
                  </w:r>
                </w:p>
              </w:tc>
              <w:tc>
                <w:tcPr>
                  <w:tcW w:w="893" w:type="pct"/>
                  <w:noWrap w:val="0"/>
                  <w:vAlign w:val="center"/>
                </w:tcPr>
                <w:p w14:paraId="4ADDF7D0">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500g/瓶</w:t>
                  </w:r>
                </w:p>
              </w:tc>
              <w:tc>
                <w:tcPr>
                  <w:tcW w:w="1291" w:type="dxa"/>
                  <w:noWrap w:val="0"/>
                  <w:vAlign w:val="center"/>
                </w:tcPr>
                <w:p w14:paraId="54B9846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490D07D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瓶</w:t>
                  </w:r>
                </w:p>
              </w:tc>
            </w:tr>
            <w:tr w14:paraId="035123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0ADE42E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0"/>
                      <w:highlight w:val="none"/>
                      <w:lang w:val="en-US" w:eastAsia="zh-CN" w:bidi="ar-SA"/>
                    </w:rPr>
                  </w:pPr>
                  <w:r>
                    <w:rPr>
                      <w:rFonts w:hint="default" w:ascii="Times New Roman" w:hAnsi="Times New Roman" w:cs="Times New Roman"/>
                      <w:color w:val="auto"/>
                      <w:highlight w:val="none"/>
                      <w:lang w:val="en-US" w:eastAsia="zh-CN"/>
                    </w:rPr>
                    <w:t>29</w:t>
                  </w:r>
                </w:p>
              </w:tc>
              <w:tc>
                <w:tcPr>
                  <w:tcW w:w="888" w:type="pct"/>
                  <w:vMerge w:val="continue"/>
                  <w:noWrap w:val="0"/>
                  <w:vAlign w:val="center"/>
                </w:tcPr>
                <w:p w14:paraId="2AF25E4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31A06EE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乙酸乙酯</w:t>
                  </w:r>
                </w:p>
              </w:tc>
              <w:tc>
                <w:tcPr>
                  <w:tcW w:w="893" w:type="pct"/>
                  <w:noWrap w:val="0"/>
                  <w:vAlign w:val="center"/>
                </w:tcPr>
                <w:p w14:paraId="1DC0ADE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0E4576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7CB7F43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2瓶</w:t>
                  </w:r>
                </w:p>
              </w:tc>
            </w:tr>
            <w:tr w14:paraId="6A4122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31A6483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30</w:t>
                  </w:r>
                </w:p>
              </w:tc>
              <w:tc>
                <w:tcPr>
                  <w:tcW w:w="888" w:type="pct"/>
                  <w:vMerge w:val="restart"/>
                  <w:noWrap w:val="0"/>
                  <w:vAlign w:val="center"/>
                </w:tcPr>
                <w:p w14:paraId="2E49D6E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生物实验室用品</w:t>
                  </w:r>
                </w:p>
              </w:tc>
              <w:tc>
                <w:tcPr>
                  <w:tcW w:w="1119" w:type="pct"/>
                  <w:noWrap w:val="0"/>
                  <w:vAlign w:val="center"/>
                </w:tcPr>
                <w:p w14:paraId="0C335CC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碘酒</w:t>
                  </w:r>
                </w:p>
              </w:tc>
              <w:tc>
                <w:tcPr>
                  <w:tcW w:w="893" w:type="pct"/>
                  <w:noWrap w:val="0"/>
                  <w:vAlign w:val="center"/>
                </w:tcPr>
                <w:p w14:paraId="6A732A4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6CF953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083144B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65894F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64D51DE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31</w:t>
                  </w:r>
                </w:p>
              </w:tc>
              <w:tc>
                <w:tcPr>
                  <w:tcW w:w="888" w:type="pct"/>
                  <w:vMerge w:val="continue"/>
                  <w:noWrap w:val="0"/>
                  <w:vAlign w:val="center"/>
                </w:tcPr>
                <w:p w14:paraId="0E30FB4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4DC8933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斐林试剂</w:t>
                  </w:r>
                </w:p>
              </w:tc>
              <w:tc>
                <w:tcPr>
                  <w:tcW w:w="893" w:type="pct"/>
                  <w:noWrap w:val="0"/>
                  <w:vAlign w:val="center"/>
                </w:tcPr>
                <w:p w14:paraId="1F651E9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0DFEF37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07BFD01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01E680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7F6497E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32</w:t>
                  </w:r>
                </w:p>
              </w:tc>
              <w:tc>
                <w:tcPr>
                  <w:tcW w:w="888" w:type="pct"/>
                  <w:vMerge w:val="continue"/>
                  <w:noWrap w:val="0"/>
                  <w:vAlign w:val="center"/>
                </w:tcPr>
                <w:p w14:paraId="3A7CDD7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4144739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双缩脲试剂</w:t>
                  </w:r>
                </w:p>
              </w:tc>
              <w:tc>
                <w:tcPr>
                  <w:tcW w:w="893" w:type="pct"/>
                  <w:noWrap w:val="0"/>
                  <w:vAlign w:val="center"/>
                </w:tcPr>
                <w:p w14:paraId="6EEC20F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3B6477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41E50413">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2E09E6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6D77130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33</w:t>
                  </w:r>
                </w:p>
              </w:tc>
              <w:tc>
                <w:tcPr>
                  <w:tcW w:w="888" w:type="pct"/>
                  <w:vMerge w:val="continue"/>
                  <w:noWrap w:val="0"/>
                  <w:vAlign w:val="center"/>
                </w:tcPr>
                <w:p w14:paraId="657A7E1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3732E74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乙酸</w:t>
                  </w:r>
                </w:p>
              </w:tc>
              <w:tc>
                <w:tcPr>
                  <w:tcW w:w="893" w:type="pct"/>
                  <w:noWrap w:val="0"/>
                  <w:vAlign w:val="center"/>
                </w:tcPr>
                <w:p w14:paraId="64D511A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1E5C07D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0BE3D3C4">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252B07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180E2823">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34</w:t>
                  </w:r>
                </w:p>
              </w:tc>
              <w:tc>
                <w:tcPr>
                  <w:tcW w:w="888" w:type="pct"/>
                  <w:vMerge w:val="continue"/>
                  <w:noWrap w:val="0"/>
                  <w:vAlign w:val="center"/>
                </w:tcPr>
                <w:p w14:paraId="586811E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4C95EF74">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盐酸</w:t>
                  </w:r>
                </w:p>
              </w:tc>
              <w:tc>
                <w:tcPr>
                  <w:tcW w:w="893" w:type="pct"/>
                  <w:noWrap w:val="0"/>
                  <w:vAlign w:val="center"/>
                </w:tcPr>
                <w:p w14:paraId="4D955BE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2E1E253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15</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3807F44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6瓶</w:t>
                  </w:r>
                </w:p>
              </w:tc>
            </w:tr>
            <w:tr w14:paraId="279E85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0C99068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35</w:t>
                  </w:r>
                </w:p>
              </w:tc>
              <w:tc>
                <w:tcPr>
                  <w:tcW w:w="888" w:type="pct"/>
                  <w:vMerge w:val="continue"/>
                  <w:noWrap w:val="0"/>
                  <w:vAlign w:val="center"/>
                </w:tcPr>
                <w:p w14:paraId="7AA2B48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087BC37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氯化钠溶液</w:t>
                  </w:r>
                </w:p>
              </w:tc>
              <w:tc>
                <w:tcPr>
                  <w:tcW w:w="893" w:type="pct"/>
                  <w:noWrap w:val="0"/>
                  <w:vAlign w:val="center"/>
                </w:tcPr>
                <w:p w14:paraId="0D3DA82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3DF402E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136F627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75692E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654BF73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36</w:t>
                  </w:r>
                </w:p>
              </w:tc>
              <w:tc>
                <w:tcPr>
                  <w:tcW w:w="888" w:type="pct"/>
                  <w:vMerge w:val="continue"/>
                  <w:noWrap w:val="0"/>
                  <w:vAlign w:val="center"/>
                </w:tcPr>
                <w:p w14:paraId="5DF5DCB4">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1EDDA8A0">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氢氧化钠</w:t>
                  </w:r>
                </w:p>
              </w:tc>
              <w:tc>
                <w:tcPr>
                  <w:tcW w:w="893" w:type="pct"/>
                  <w:noWrap w:val="0"/>
                  <w:vAlign w:val="center"/>
                </w:tcPr>
                <w:p w14:paraId="31FAD9E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6F2E247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0427929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0BFCE2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5BA29ED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37</w:t>
                  </w:r>
                </w:p>
              </w:tc>
              <w:tc>
                <w:tcPr>
                  <w:tcW w:w="888" w:type="pct"/>
                  <w:vMerge w:val="continue"/>
                  <w:noWrap w:val="0"/>
                  <w:vAlign w:val="center"/>
                </w:tcPr>
                <w:p w14:paraId="0903B9D3">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2EC3F5D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石油醚</w:t>
                  </w:r>
                </w:p>
              </w:tc>
              <w:tc>
                <w:tcPr>
                  <w:tcW w:w="893" w:type="pct"/>
                  <w:noWrap w:val="0"/>
                  <w:vAlign w:val="center"/>
                </w:tcPr>
                <w:p w14:paraId="2B8FE8E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5A4A355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15</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1B30E31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6瓶</w:t>
                  </w:r>
                </w:p>
              </w:tc>
            </w:tr>
            <w:tr w14:paraId="6A9B89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3989AEB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38</w:t>
                  </w:r>
                </w:p>
              </w:tc>
              <w:tc>
                <w:tcPr>
                  <w:tcW w:w="888" w:type="pct"/>
                  <w:vMerge w:val="continue"/>
                  <w:noWrap w:val="0"/>
                  <w:vAlign w:val="center"/>
                </w:tcPr>
                <w:p w14:paraId="52DF9AB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3676C51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无水乙醇</w:t>
                  </w:r>
                </w:p>
              </w:tc>
              <w:tc>
                <w:tcPr>
                  <w:tcW w:w="893" w:type="pct"/>
                  <w:noWrap w:val="0"/>
                  <w:vAlign w:val="center"/>
                </w:tcPr>
                <w:p w14:paraId="2C59A0A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18B6A9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16</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484BB1D0">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hAnsi="Times New Roman"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val="en-US" w:eastAsia="zh-CN"/>
                    </w:rPr>
                    <w:t>瓶</w:t>
                  </w:r>
                </w:p>
              </w:tc>
            </w:tr>
            <w:tr w14:paraId="37DCDA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3FB5220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39</w:t>
                  </w:r>
                </w:p>
              </w:tc>
              <w:tc>
                <w:tcPr>
                  <w:tcW w:w="888" w:type="pct"/>
                  <w:vMerge w:val="continue"/>
                  <w:noWrap w:val="0"/>
                  <w:vAlign w:val="center"/>
                </w:tcPr>
                <w:p w14:paraId="072863A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302515E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碳酸钙</w:t>
                  </w:r>
                </w:p>
              </w:tc>
              <w:tc>
                <w:tcPr>
                  <w:tcW w:w="893" w:type="pct"/>
                  <w:noWrap w:val="0"/>
                  <w:vAlign w:val="center"/>
                </w:tcPr>
                <w:p w14:paraId="179F5A5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500g/瓶</w:t>
                  </w:r>
                </w:p>
              </w:tc>
              <w:tc>
                <w:tcPr>
                  <w:tcW w:w="1291" w:type="dxa"/>
                  <w:noWrap w:val="0"/>
                  <w:vAlign w:val="center"/>
                </w:tcPr>
                <w:p w14:paraId="3372544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6820D31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1瓶</w:t>
                  </w:r>
                </w:p>
              </w:tc>
            </w:tr>
            <w:tr w14:paraId="5B9D0F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4F091D1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40</w:t>
                  </w:r>
                </w:p>
              </w:tc>
              <w:tc>
                <w:tcPr>
                  <w:tcW w:w="888" w:type="pct"/>
                  <w:vMerge w:val="continue"/>
                  <w:noWrap w:val="0"/>
                  <w:vAlign w:val="center"/>
                </w:tcPr>
                <w:p w14:paraId="20FD773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553E6FB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酚酞</w:t>
                  </w:r>
                </w:p>
              </w:tc>
              <w:tc>
                <w:tcPr>
                  <w:tcW w:w="893" w:type="pct"/>
                  <w:noWrap w:val="0"/>
                  <w:vAlign w:val="center"/>
                </w:tcPr>
                <w:p w14:paraId="4FDC53D4">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1591868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74ABA3F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4CF9FA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54B8D8C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41</w:t>
                  </w:r>
                </w:p>
              </w:tc>
              <w:tc>
                <w:tcPr>
                  <w:tcW w:w="888" w:type="pct"/>
                  <w:vMerge w:val="continue"/>
                  <w:noWrap w:val="0"/>
                  <w:vAlign w:val="center"/>
                </w:tcPr>
                <w:p w14:paraId="1260854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60518DD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龙胆紫</w:t>
                  </w:r>
                </w:p>
              </w:tc>
              <w:tc>
                <w:tcPr>
                  <w:tcW w:w="893" w:type="pct"/>
                  <w:noWrap w:val="0"/>
                  <w:vAlign w:val="center"/>
                </w:tcPr>
                <w:p w14:paraId="27F1458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500g/瓶</w:t>
                  </w:r>
                </w:p>
              </w:tc>
              <w:tc>
                <w:tcPr>
                  <w:tcW w:w="1291" w:type="dxa"/>
                  <w:noWrap w:val="0"/>
                  <w:vAlign w:val="center"/>
                </w:tcPr>
                <w:p w14:paraId="0664F4A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073BC3B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320A43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32DDA6D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42</w:t>
                  </w:r>
                </w:p>
              </w:tc>
              <w:tc>
                <w:tcPr>
                  <w:tcW w:w="888" w:type="pct"/>
                  <w:vMerge w:val="continue"/>
                  <w:noWrap w:val="0"/>
                  <w:vAlign w:val="center"/>
                </w:tcPr>
                <w:p w14:paraId="1F09ACD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4EDD2DD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醋酸洋红</w:t>
                  </w:r>
                </w:p>
              </w:tc>
              <w:tc>
                <w:tcPr>
                  <w:tcW w:w="893" w:type="pct"/>
                  <w:noWrap w:val="0"/>
                  <w:vAlign w:val="center"/>
                </w:tcPr>
                <w:p w14:paraId="7AEDAFE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10C6E4C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24731EC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54689D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5785009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43</w:t>
                  </w:r>
                </w:p>
              </w:tc>
              <w:tc>
                <w:tcPr>
                  <w:tcW w:w="888" w:type="pct"/>
                  <w:vMerge w:val="continue"/>
                  <w:noWrap w:val="0"/>
                  <w:vAlign w:val="center"/>
                </w:tcPr>
                <w:p w14:paraId="0C25EF5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0471AF0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卡诺氏液</w:t>
                  </w:r>
                </w:p>
              </w:tc>
              <w:tc>
                <w:tcPr>
                  <w:tcW w:w="893" w:type="pct"/>
                  <w:noWrap w:val="0"/>
                  <w:vAlign w:val="center"/>
                </w:tcPr>
                <w:p w14:paraId="134C961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5E38485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4587510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22B82D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6E7C98F3">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44</w:t>
                  </w:r>
                </w:p>
              </w:tc>
              <w:tc>
                <w:tcPr>
                  <w:tcW w:w="888" w:type="pct"/>
                  <w:vMerge w:val="continue"/>
                  <w:noWrap w:val="0"/>
                  <w:vAlign w:val="center"/>
                </w:tcPr>
                <w:p w14:paraId="6785BC9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7189205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生根粉</w:t>
                  </w:r>
                </w:p>
              </w:tc>
              <w:tc>
                <w:tcPr>
                  <w:tcW w:w="893" w:type="pct"/>
                  <w:noWrap w:val="0"/>
                  <w:vAlign w:val="center"/>
                </w:tcPr>
                <w:p w14:paraId="2F39928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200g/瓶</w:t>
                  </w:r>
                </w:p>
              </w:tc>
              <w:tc>
                <w:tcPr>
                  <w:tcW w:w="1291" w:type="dxa"/>
                  <w:noWrap w:val="0"/>
                  <w:vAlign w:val="center"/>
                </w:tcPr>
                <w:p w14:paraId="4A79A14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00308F7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537AAC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30A40BF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45</w:t>
                  </w:r>
                </w:p>
              </w:tc>
              <w:tc>
                <w:tcPr>
                  <w:tcW w:w="888" w:type="pct"/>
                  <w:vMerge w:val="continue"/>
                  <w:noWrap w:val="0"/>
                  <w:vAlign w:val="center"/>
                </w:tcPr>
                <w:p w14:paraId="668255B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52460FC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苏丹</w:t>
                  </w:r>
                  <w:r>
                    <w:rPr>
                      <w:rFonts w:hint="eastAsia" w:hAnsi="Times New Roman" w:cs="Times New Roman"/>
                      <w:color w:val="auto"/>
                      <w:sz w:val="21"/>
                      <w:szCs w:val="21"/>
                      <w:highlight w:val="none"/>
                      <w:lang w:val="en-US" w:eastAsia="zh-CN"/>
                    </w:rPr>
                    <w:t>Ⅲ</w:t>
                  </w:r>
                </w:p>
              </w:tc>
              <w:tc>
                <w:tcPr>
                  <w:tcW w:w="893" w:type="pct"/>
                  <w:noWrap w:val="0"/>
                  <w:vAlign w:val="center"/>
                </w:tcPr>
                <w:p w14:paraId="3B467D35">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45AB670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70C2CF3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2瓶</w:t>
                  </w:r>
                </w:p>
              </w:tc>
            </w:tr>
            <w:tr w14:paraId="1364E1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7A05272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46</w:t>
                  </w:r>
                </w:p>
              </w:tc>
              <w:tc>
                <w:tcPr>
                  <w:tcW w:w="888" w:type="pct"/>
                  <w:vMerge w:val="continue"/>
                  <w:noWrap w:val="0"/>
                  <w:vAlign w:val="center"/>
                </w:tcPr>
                <w:p w14:paraId="4B85C03D">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7BE7E148">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蔗糖液</w:t>
                  </w:r>
                </w:p>
              </w:tc>
              <w:tc>
                <w:tcPr>
                  <w:tcW w:w="893" w:type="pct"/>
                  <w:noWrap w:val="0"/>
                  <w:vAlign w:val="center"/>
                </w:tcPr>
                <w:p w14:paraId="1092D6D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3638B6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1113F2D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2瓶</w:t>
                  </w:r>
                </w:p>
              </w:tc>
            </w:tr>
            <w:tr w14:paraId="481C42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7999ACB4">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47</w:t>
                  </w:r>
                </w:p>
              </w:tc>
              <w:tc>
                <w:tcPr>
                  <w:tcW w:w="888" w:type="pct"/>
                  <w:vMerge w:val="continue"/>
                  <w:noWrap w:val="0"/>
                  <w:vAlign w:val="center"/>
                </w:tcPr>
                <w:p w14:paraId="0C0F6B26">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0DFC448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蒸馏水</w:t>
                  </w:r>
                </w:p>
              </w:tc>
              <w:tc>
                <w:tcPr>
                  <w:tcW w:w="893" w:type="pct"/>
                  <w:noWrap w:val="0"/>
                  <w:vAlign w:val="center"/>
                </w:tcPr>
                <w:p w14:paraId="40169C5E">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64C8C7B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340C831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hAnsi="Times New Roman"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瓶</w:t>
                  </w:r>
                </w:p>
              </w:tc>
            </w:tr>
            <w:tr w14:paraId="4555AD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2917F98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48</w:t>
                  </w:r>
                </w:p>
              </w:tc>
              <w:tc>
                <w:tcPr>
                  <w:tcW w:w="888" w:type="pct"/>
                  <w:vMerge w:val="continue"/>
                  <w:noWrap w:val="0"/>
                  <w:vAlign w:val="center"/>
                </w:tcPr>
                <w:p w14:paraId="0F546B6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4E9F416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甲紫</w:t>
                  </w:r>
                </w:p>
              </w:tc>
              <w:tc>
                <w:tcPr>
                  <w:tcW w:w="893" w:type="pct"/>
                  <w:noWrap w:val="0"/>
                  <w:vAlign w:val="center"/>
                </w:tcPr>
                <w:p w14:paraId="4F5E9A0F">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500ml/瓶</w:t>
                  </w:r>
                </w:p>
              </w:tc>
              <w:tc>
                <w:tcPr>
                  <w:tcW w:w="1291" w:type="dxa"/>
                  <w:noWrap w:val="0"/>
                  <w:vAlign w:val="center"/>
                </w:tcPr>
                <w:p w14:paraId="448EA05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499DD80C">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2瓶</w:t>
                  </w:r>
                </w:p>
              </w:tc>
            </w:tr>
            <w:tr w14:paraId="798A5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63E2D9C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49</w:t>
                  </w:r>
                </w:p>
              </w:tc>
              <w:tc>
                <w:tcPr>
                  <w:tcW w:w="888" w:type="pct"/>
                  <w:vMerge w:val="continue"/>
                  <w:noWrap w:val="0"/>
                  <w:vAlign w:val="center"/>
                </w:tcPr>
                <w:p w14:paraId="0DF92E1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77D83217">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淀粉</w:t>
                  </w:r>
                </w:p>
              </w:tc>
              <w:tc>
                <w:tcPr>
                  <w:tcW w:w="893" w:type="pct"/>
                  <w:noWrap w:val="0"/>
                  <w:vAlign w:val="center"/>
                </w:tcPr>
                <w:p w14:paraId="620E0B2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500g/袋</w:t>
                  </w:r>
                </w:p>
              </w:tc>
              <w:tc>
                <w:tcPr>
                  <w:tcW w:w="1291" w:type="dxa"/>
                  <w:noWrap w:val="0"/>
                  <w:vAlign w:val="center"/>
                </w:tcPr>
                <w:p w14:paraId="6C22692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eastAsia" w:ascii="宋体" w:hAnsi="宋体" w:eastAsia="宋体" w:cs="宋体"/>
                      <w:i w:val="0"/>
                      <w:iCs w:val="0"/>
                      <w:color w:val="auto"/>
                      <w:kern w:val="0"/>
                      <w:sz w:val="21"/>
                      <w:szCs w:val="21"/>
                      <w:highlight w:val="none"/>
                      <w:u w:val="none"/>
                      <w:lang w:val="en-US" w:eastAsia="zh-CN" w:bidi="ar"/>
                    </w:rPr>
                    <w:t>袋</w:t>
                  </w:r>
                </w:p>
              </w:tc>
              <w:tc>
                <w:tcPr>
                  <w:tcW w:w="941" w:type="pct"/>
                  <w:noWrap w:val="0"/>
                  <w:vAlign w:val="center"/>
                </w:tcPr>
                <w:p w14:paraId="4ED48F4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hAnsi="Times New Roman"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袋</w:t>
                  </w:r>
                </w:p>
              </w:tc>
            </w:tr>
            <w:tr w14:paraId="423746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3" w:hRule="atLeast"/>
                <w:jc w:val="center"/>
              </w:trPr>
              <w:tc>
                <w:tcPr>
                  <w:tcW w:w="413" w:type="pct"/>
                  <w:noWrap w:val="0"/>
                  <w:vAlign w:val="center"/>
                </w:tcPr>
                <w:p w14:paraId="0C97E7AB">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50</w:t>
                  </w:r>
                </w:p>
              </w:tc>
              <w:tc>
                <w:tcPr>
                  <w:tcW w:w="888" w:type="pct"/>
                  <w:vMerge w:val="continue"/>
                  <w:noWrap w:val="0"/>
                  <w:vAlign w:val="center"/>
                </w:tcPr>
                <w:p w14:paraId="6E3354C9">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119" w:type="pct"/>
                  <w:noWrap w:val="0"/>
                  <w:vAlign w:val="center"/>
                </w:tcPr>
                <w:p w14:paraId="43C44ECA">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琼脂</w:t>
                  </w:r>
                </w:p>
              </w:tc>
              <w:tc>
                <w:tcPr>
                  <w:tcW w:w="893" w:type="pct"/>
                  <w:noWrap w:val="0"/>
                  <w:vAlign w:val="center"/>
                </w:tcPr>
                <w:p w14:paraId="50AA7F92">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250g/瓶</w:t>
                  </w:r>
                </w:p>
              </w:tc>
              <w:tc>
                <w:tcPr>
                  <w:tcW w:w="1291" w:type="dxa"/>
                  <w:noWrap w:val="0"/>
                  <w:vAlign w:val="center"/>
                </w:tcPr>
                <w:p w14:paraId="6FD350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w:t>
                  </w:r>
                  <w:r>
                    <w:rPr>
                      <w:rFonts w:hint="eastAsia" w:ascii="宋体" w:hAnsi="宋体" w:eastAsia="宋体" w:cs="宋体"/>
                      <w:i w:val="0"/>
                      <w:iCs w:val="0"/>
                      <w:color w:val="auto"/>
                      <w:kern w:val="0"/>
                      <w:sz w:val="21"/>
                      <w:szCs w:val="21"/>
                      <w:highlight w:val="none"/>
                      <w:u w:val="none"/>
                      <w:lang w:val="en-US" w:eastAsia="zh-CN" w:bidi="ar"/>
                    </w:rPr>
                    <w:t>瓶</w:t>
                  </w:r>
                </w:p>
              </w:tc>
              <w:tc>
                <w:tcPr>
                  <w:tcW w:w="941" w:type="pct"/>
                  <w:noWrap w:val="0"/>
                  <w:vAlign w:val="center"/>
                </w:tcPr>
                <w:p w14:paraId="5A182D51">
                  <w:pPr>
                    <w:pStyle w:val="6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6瓶</w:t>
                  </w:r>
                </w:p>
              </w:tc>
            </w:tr>
          </w:tbl>
          <w:p w14:paraId="3A4D691C">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学校内所用药品试剂及蒸馏水均外购，由供应商送货到学校，学校本身不涉及转运。学校在综合教学楼一层化学实验室及二层生物实验室配套建设有专用药品室，化学试剂均保存在药品室，分类存放。日常管理中，药品橱处于封闭状态，只有开展实验时根据需要种类和需求量进行提取，管理人员需如实登记危险化学品购买、出入库、领取、使用、归还、处置等信息，录入危险化学品信息系统，并确保使用安全。</w:t>
            </w:r>
          </w:p>
          <w:p w14:paraId="26A6AD7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本项目实验室常用化学试剂及其理化性质见下表。</w:t>
            </w:r>
          </w:p>
          <w:p w14:paraId="11229B1B">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zh-CN" w:eastAsia="zh-CN"/>
              </w:rPr>
            </w:pPr>
            <w:bookmarkStart w:id="11" w:name="_Ref867"/>
            <w:r>
              <w:rPr>
                <w:rFonts w:hint="eastAsia"/>
                <w:color w:val="auto"/>
                <w:sz w:val="21"/>
                <w:szCs w:val="21"/>
                <w:highlight w:val="none"/>
                <w:lang w:eastAsia="zh-CN"/>
              </w:rPr>
              <w:t>表</w:t>
            </w:r>
            <w:r>
              <w:rPr>
                <w:color w:val="auto"/>
                <w:sz w:val="21"/>
                <w:szCs w:val="21"/>
                <w:highlight w:val="none"/>
              </w:rPr>
              <w:fldChar w:fldCharType="begin"/>
            </w:r>
            <w:r>
              <w:rPr>
                <w:color w:val="auto"/>
                <w:sz w:val="21"/>
                <w:szCs w:val="21"/>
                <w:highlight w:val="none"/>
              </w:rPr>
              <w:instrText xml:space="preserve"> STYLEREF 1 \s </w:instrText>
            </w:r>
            <w:r>
              <w:rPr>
                <w:color w:val="auto"/>
                <w:sz w:val="21"/>
                <w:szCs w:val="21"/>
                <w:highlight w:val="none"/>
              </w:rPr>
              <w:fldChar w:fldCharType="separate"/>
            </w:r>
            <w:r>
              <w:rPr>
                <w:color w:val="auto"/>
                <w:sz w:val="21"/>
                <w:szCs w:val="21"/>
                <w:highlight w:val="none"/>
              </w:rPr>
              <w:t>2</w:t>
            </w:r>
            <w:r>
              <w:rPr>
                <w:color w:val="auto"/>
                <w:sz w:val="21"/>
                <w:szCs w:val="21"/>
                <w:highlight w:val="none"/>
              </w:rPr>
              <w:fldChar w:fldCharType="end"/>
            </w:r>
            <w:r>
              <w:rPr>
                <w:rFonts w:hint="eastAsia"/>
                <w:color w:val="auto"/>
                <w:sz w:val="21"/>
                <w:szCs w:val="21"/>
                <w:highlight w:val="none"/>
                <w:lang w:eastAsia="zh-CN"/>
              </w:rPr>
              <w:t>-</w:t>
            </w:r>
            <w:r>
              <w:rPr>
                <w:color w:val="auto"/>
                <w:sz w:val="21"/>
                <w:szCs w:val="21"/>
                <w:highlight w:val="none"/>
              </w:rPr>
              <w:fldChar w:fldCharType="begin"/>
            </w:r>
            <w:r>
              <w:rPr>
                <w:color w:val="auto"/>
                <w:sz w:val="21"/>
                <w:szCs w:val="21"/>
                <w:highlight w:val="none"/>
              </w:rPr>
              <w:instrText xml:space="preserve"> SEQ 表 \* ARABIC \s 1 </w:instrText>
            </w:r>
            <w:r>
              <w:rPr>
                <w:color w:val="auto"/>
                <w:sz w:val="21"/>
                <w:szCs w:val="21"/>
                <w:highlight w:val="none"/>
              </w:rPr>
              <w:fldChar w:fldCharType="separate"/>
            </w:r>
            <w:r>
              <w:rPr>
                <w:color w:val="auto"/>
                <w:sz w:val="21"/>
                <w:szCs w:val="21"/>
                <w:highlight w:val="none"/>
              </w:rPr>
              <w:t>9</w:t>
            </w:r>
            <w:r>
              <w:rPr>
                <w:color w:val="auto"/>
                <w:sz w:val="21"/>
                <w:szCs w:val="21"/>
                <w:highlight w:val="none"/>
              </w:rPr>
              <w:fldChar w:fldCharType="end"/>
            </w:r>
            <w:bookmarkEnd w:id="11"/>
            <w:r>
              <w:rPr>
                <w:rFonts w:hint="eastAsia"/>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项目实验室所用</w:t>
            </w:r>
            <w:r>
              <w:rPr>
                <w:rFonts w:hint="default" w:ascii="Times New Roman" w:hAnsi="Times New Roman" w:eastAsia="宋体" w:cs="Times New Roman"/>
                <w:color w:val="auto"/>
                <w:sz w:val="21"/>
                <w:szCs w:val="21"/>
                <w:highlight w:val="none"/>
                <w:lang w:val="zh-CN" w:eastAsia="zh-CN"/>
              </w:rPr>
              <w:t>化学试剂及其理化性质一览表</w:t>
            </w:r>
          </w:p>
          <w:tbl>
            <w:tblPr>
              <w:tblStyle w:val="33"/>
              <w:tblW w:w="493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85" w:type="dxa"/>
                <w:left w:w="108" w:type="dxa"/>
                <w:bottom w:w="85" w:type="dxa"/>
                <w:right w:w="108" w:type="dxa"/>
              </w:tblCellMar>
            </w:tblPr>
            <w:tblGrid>
              <w:gridCol w:w="582"/>
              <w:gridCol w:w="1073"/>
              <w:gridCol w:w="6636"/>
            </w:tblGrid>
            <w:tr w14:paraId="4BE6A5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tblHeader/>
                <w:jc w:val="center"/>
              </w:trPr>
              <w:tc>
                <w:tcPr>
                  <w:tcW w:w="351" w:type="pct"/>
                  <w:tcBorders>
                    <w:tl2br w:val="nil"/>
                    <w:tr2bl w:val="nil"/>
                  </w:tcBorders>
                  <w:noWrap w:val="0"/>
                  <w:vAlign w:val="center"/>
                </w:tcPr>
                <w:p w14:paraId="7246519F">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u w:val="none"/>
                      <w:lang w:val="en-US" w:eastAsia="zh-CN"/>
                    </w:rPr>
                  </w:pPr>
                  <w:r>
                    <w:rPr>
                      <w:rFonts w:hint="default" w:ascii="Times New Roman" w:hAnsi="Times New Roman" w:cs="Times New Roman"/>
                      <w:b/>
                      <w:color w:val="auto"/>
                      <w:sz w:val="21"/>
                      <w:szCs w:val="21"/>
                      <w:highlight w:val="none"/>
                      <w:u w:val="none"/>
                      <w:lang w:val="en-US" w:eastAsia="zh-CN"/>
                    </w:rPr>
                    <w:t>序号</w:t>
                  </w:r>
                </w:p>
              </w:tc>
              <w:tc>
                <w:tcPr>
                  <w:tcW w:w="647" w:type="pct"/>
                  <w:tcBorders>
                    <w:tl2br w:val="nil"/>
                    <w:tr2bl w:val="nil"/>
                  </w:tcBorders>
                  <w:noWrap w:val="0"/>
                  <w:vAlign w:val="center"/>
                </w:tcPr>
                <w:p w14:paraId="2F47F326">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u w:val="none"/>
                      <w:lang w:val="en-US" w:eastAsia="zh-CN"/>
                    </w:rPr>
                  </w:pPr>
                  <w:r>
                    <w:rPr>
                      <w:rFonts w:hint="default" w:ascii="Times New Roman" w:hAnsi="Times New Roman" w:cs="Times New Roman"/>
                      <w:b/>
                      <w:color w:val="auto"/>
                      <w:sz w:val="21"/>
                      <w:szCs w:val="21"/>
                      <w:highlight w:val="none"/>
                      <w:u w:val="none"/>
                      <w:lang w:val="en-US" w:eastAsia="zh-CN"/>
                    </w:rPr>
                    <w:t>化学品名称</w:t>
                  </w:r>
                </w:p>
              </w:tc>
              <w:tc>
                <w:tcPr>
                  <w:tcW w:w="4001" w:type="pct"/>
                  <w:tcBorders>
                    <w:tl2br w:val="nil"/>
                    <w:tr2bl w:val="nil"/>
                  </w:tcBorders>
                  <w:noWrap w:val="0"/>
                  <w:vAlign w:val="center"/>
                </w:tcPr>
                <w:p w14:paraId="7DA7E309">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color w:val="auto"/>
                      <w:sz w:val="21"/>
                      <w:szCs w:val="21"/>
                      <w:highlight w:val="none"/>
                      <w:u w:val="none"/>
                    </w:rPr>
                  </w:pPr>
                  <w:r>
                    <w:rPr>
                      <w:rFonts w:hint="default" w:ascii="Times New Roman" w:hAnsi="Times New Roman" w:cs="Times New Roman"/>
                      <w:b/>
                      <w:color w:val="auto"/>
                      <w:sz w:val="21"/>
                      <w:szCs w:val="21"/>
                      <w:highlight w:val="none"/>
                      <w:u w:val="none"/>
                    </w:rPr>
                    <w:t>理化特性</w:t>
                  </w:r>
                </w:p>
              </w:tc>
            </w:tr>
            <w:tr w14:paraId="6A6830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6990405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1</w:t>
                  </w:r>
                </w:p>
              </w:tc>
              <w:tc>
                <w:tcPr>
                  <w:tcW w:w="647" w:type="pct"/>
                  <w:tcBorders>
                    <w:tl2br w:val="nil"/>
                    <w:tr2bl w:val="nil"/>
                  </w:tcBorders>
                  <w:noWrap w:val="0"/>
                  <w:vAlign w:val="center"/>
                </w:tcPr>
                <w:p w14:paraId="741ADDC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sz w:val="21"/>
                      <w:szCs w:val="21"/>
                      <w:highlight w:val="none"/>
                      <w:u w:val="none"/>
                    </w:rPr>
                    <w:t>盐酸</w:t>
                  </w:r>
                </w:p>
              </w:tc>
              <w:tc>
                <w:tcPr>
                  <w:tcW w:w="4001" w:type="pct"/>
                  <w:tcBorders>
                    <w:tl2br w:val="nil"/>
                    <w:tr2bl w:val="nil"/>
                  </w:tcBorders>
                  <w:noWrap w:val="0"/>
                  <w:vAlign w:val="center"/>
                </w:tcPr>
                <w:p w14:paraId="3B47959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sz w:val="21"/>
                      <w:szCs w:val="21"/>
                      <w:highlight w:val="none"/>
                      <w:u w:val="none"/>
                    </w:rPr>
                    <w:t>分子式：HCl；熔点（</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w:t>
                  </w:r>
                  <w:r>
                    <w:rPr>
                      <w:rFonts w:hint="default" w:ascii="Times New Roman" w:hAnsi="Times New Roman" w:cs="Times New Roman"/>
                      <w:color w:val="auto"/>
                      <w:sz w:val="21"/>
                      <w:szCs w:val="21"/>
                      <w:highlight w:val="none"/>
                      <w:u w:val="none"/>
                    </w:rPr>
                    <w:t>）：-114.8</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沸点（</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w:t>
                  </w:r>
                  <w:r>
                    <w:rPr>
                      <w:rFonts w:hint="default" w:ascii="Times New Roman" w:hAnsi="Times New Roman" w:cs="Times New Roman"/>
                      <w:color w:val="auto"/>
                      <w:sz w:val="21"/>
                      <w:szCs w:val="21"/>
                      <w:highlight w:val="none"/>
                      <w:u w:val="none"/>
                    </w:rPr>
                    <w:t>）：108.6</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20%</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相对密度（水＝1）：1.20</w:t>
                  </w:r>
                  <w:r>
                    <w:rPr>
                      <w:rFonts w:hint="default" w:ascii="Times New Roman" w:hAnsi="Times New Roman" w:cs="Times New Roman"/>
                      <w:color w:val="auto"/>
                      <w:sz w:val="21"/>
                      <w:szCs w:val="21"/>
                      <w:highlight w:val="none"/>
                      <w:u w:val="none"/>
                      <w:lang w:eastAsia="zh-CN"/>
                    </w:rPr>
                    <w:t>，饱和蒸汽压</w:t>
                  </w:r>
                  <w:r>
                    <w:rPr>
                      <w:rFonts w:hint="default" w:ascii="Times New Roman" w:hAnsi="Times New Roman" w:cs="Times New Roman"/>
                      <w:color w:val="auto"/>
                      <w:sz w:val="21"/>
                      <w:szCs w:val="21"/>
                      <w:highlight w:val="none"/>
                      <w:u w:val="none"/>
                    </w:rPr>
                    <w:t>（kPa）：30.66</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21</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能与一些活性金属粉末发生反应</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放出氢气。遇氰化物能产生剧毒的氰化氢气体。与碱发生中</w:t>
                  </w:r>
                  <w:r>
                    <w:rPr>
                      <w:rFonts w:hint="default" w:ascii="Times New Roman" w:hAnsi="Times New Roman" w:cs="Times New Roman"/>
                      <w:color w:val="auto"/>
                      <w:sz w:val="21"/>
                      <w:szCs w:val="21"/>
                      <w:highlight w:val="none"/>
                      <w:u w:val="none"/>
                      <w:lang w:eastAsia="zh-CN"/>
                    </w:rPr>
                    <w:t>和</w:t>
                  </w:r>
                  <w:r>
                    <w:rPr>
                      <w:rFonts w:hint="default" w:ascii="Times New Roman" w:hAnsi="Times New Roman" w:cs="Times New Roman"/>
                      <w:color w:val="auto"/>
                      <w:sz w:val="21"/>
                      <w:szCs w:val="21"/>
                      <w:highlight w:val="none"/>
                      <w:u w:val="none"/>
                    </w:rPr>
                    <w:t>反应，并放出大量的热。具有较强的腐蚀性。</w:t>
                  </w:r>
                </w:p>
              </w:tc>
            </w:tr>
            <w:tr w14:paraId="711ECF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6EA3983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2</w:t>
                  </w:r>
                </w:p>
              </w:tc>
              <w:tc>
                <w:tcPr>
                  <w:tcW w:w="647" w:type="pct"/>
                  <w:tcBorders>
                    <w:tl2br w:val="nil"/>
                    <w:tr2bl w:val="nil"/>
                  </w:tcBorders>
                  <w:noWrap w:val="0"/>
                  <w:vAlign w:val="center"/>
                </w:tcPr>
                <w:p w14:paraId="731DA89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sz w:val="21"/>
                      <w:szCs w:val="21"/>
                      <w:highlight w:val="none"/>
                      <w:u w:val="none"/>
                    </w:rPr>
                    <w:t>硫酸</w:t>
                  </w:r>
                </w:p>
              </w:tc>
              <w:tc>
                <w:tcPr>
                  <w:tcW w:w="4001" w:type="pct"/>
                  <w:tcBorders>
                    <w:tl2br w:val="nil"/>
                    <w:tr2bl w:val="nil"/>
                  </w:tcBorders>
                  <w:noWrap w:val="0"/>
                  <w:vAlign w:val="center"/>
                </w:tcPr>
                <w:p w14:paraId="76DDDC8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sz w:val="21"/>
                      <w:szCs w:val="21"/>
                      <w:highlight w:val="none"/>
                      <w:u w:val="none"/>
                    </w:rPr>
                    <w:t>分子式：H</w:t>
                  </w:r>
                  <w:r>
                    <w:rPr>
                      <w:rFonts w:hint="default" w:ascii="Times New Roman" w:hAnsi="Times New Roman" w:cs="Times New Roman"/>
                      <w:color w:val="auto"/>
                      <w:sz w:val="21"/>
                      <w:szCs w:val="21"/>
                      <w:highlight w:val="none"/>
                      <w:u w:val="none"/>
                      <w:vertAlign w:val="subscript"/>
                    </w:rPr>
                    <w:t>2</w:t>
                  </w:r>
                  <w:r>
                    <w:rPr>
                      <w:rFonts w:hint="default" w:ascii="Times New Roman" w:hAnsi="Times New Roman" w:cs="Times New Roman"/>
                      <w:color w:val="auto"/>
                      <w:sz w:val="21"/>
                      <w:szCs w:val="21"/>
                      <w:highlight w:val="none"/>
                      <w:u w:val="none"/>
                    </w:rPr>
                    <w:t>SO</w:t>
                  </w:r>
                  <w:r>
                    <w:rPr>
                      <w:rFonts w:hint="default" w:ascii="Times New Roman" w:hAnsi="Times New Roman" w:cs="Times New Roman"/>
                      <w:color w:val="auto"/>
                      <w:sz w:val="21"/>
                      <w:szCs w:val="21"/>
                      <w:highlight w:val="none"/>
                      <w:u w:val="none"/>
                      <w:vertAlign w:val="subscript"/>
                    </w:rPr>
                    <w:t>4</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熔点（</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w:t>
                  </w:r>
                  <w:r>
                    <w:rPr>
                      <w:rFonts w:hint="default" w:ascii="Times New Roman" w:hAnsi="Times New Roman" w:cs="Times New Roman"/>
                      <w:color w:val="auto"/>
                      <w:sz w:val="21"/>
                      <w:szCs w:val="21"/>
                      <w:highlight w:val="none"/>
                      <w:u w:val="none"/>
                    </w:rPr>
                    <w:t>）：10.5</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沸点（</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w:t>
                  </w:r>
                  <w:r>
                    <w:rPr>
                      <w:rFonts w:hint="default" w:ascii="Times New Roman" w:hAnsi="Times New Roman" w:cs="Times New Roman"/>
                      <w:color w:val="auto"/>
                      <w:sz w:val="21"/>
                      <w:szCs w:val="21"/>
                      <w:highlight w:val="none"/>
                      <w:u w:val="none"/>
                    </w:rPr>
                    <w:t>）：330</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相对密度（水＝1）：1.83</w:t>
                  </w:r>
                  <w:r>
                    <w:rPr>
                      <w:rFonts w:hint="default" w:ascii="Times New Roman" w:hAnsi="Times New Roman" w:cs="Times New Roman"/>
                      <w:color w:val="auto"/>
                      <w:sz w:val="21"/>
                      <w:szCs w:val="21"/>
                      <w:highlight w:val="none"/>
                      <w:u w:val="none"/>
                      <w:lang w:eastAsia="zh-CN"/>
                    </w:rPr>
                    <w:t>，饱和蒸汽压</w:t>
                  </w:r>
                  <w:r>
                    <w:rPr>
                      <w:rFonts w:hint="default" w:ascii="Times New Roman" w:hAnsi="Times New Roman" w:cs="Times New Roman"/>
                      <w:color w:val="auto"/>
                      <w:sz w:val="21"/>
                      <w:szCs w:val="21"/>
                      <w:highlight w:val="none"/>
                      <w:u w:val="none"/>
                    </w:rPr>
                    <w:t>（kPa）：0.13（145.8</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w:t>
                  </w:r>
                  <w:r>
                    <w:rPr>
                      <w:rFonts w:hint="default" w:ascii="Times New Roman" w:hAnsi="Times New Roman" w:cs="Times New Roman"/>
                      <w:color w:val="auto"/>
                      <w:sz w:val="21"/>
                      <w:szCs w:val="21"/>
                      <w:highlight w:val="none"/>
                      <w:u w:val="none"/>
                    </w:rPr>
                    <w:t>）</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遇水爆溅；遇发泡剂会引起燃烧；遇易燃物；有机物会引起燃烧；遇氰化物会产生剧毒气体；遇有强腐蚀性；有毒或其蒸气有毒；有吸湿性；有强氧化性。</w:t>
                  </w:r>
                </w:p>
              </w:tc>
            </w:tr>
            <w:tr w14:paraId="2D6372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4E1068E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3</w:t>
                  </w:r>
                </w:p>
              </w:tc>
              <w:tc>
                <w:tcPr>
                  <w:tcW w:w="647" w:type="pct"/>
                  <w:tcBorders>
                    <w:tl2br w:val="nil"/>
                    <w:tr2bl w:val="nil"/>
                  </w:tcBorders>
                  <w:noWrap w:val="0"/>
                  <w:vAlign w:val="center"/>
                </w:tcPr>
                <w:p w14:paraId="0FAADA4A">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氢氧化钠</w:t>
                  </w:r>
                </w:p>
              </w:tc>
              <w:tc>
                <w:tcPr>
                  <w:tcW w:w="4001" w:type="pct"/>
                  <w:tcBorders>
                    <w:tl2br w:val="nil"/>
                    <w:tr2bl w:val="nil"/>
                  </w:tcBorders>
                  <w:noWrap w:val="0"/>
                  <w:vAlign w:val="center"/>
                </w:tcPr>
                <w:p w14:paraId="6F73991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分子式：NaOH，分子量40；纯品是无色透明的晶体，易溶于水（溶于水时放热）并形成碱性溶液，具有强腐蚀性，熔点（</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w:t>
                  </w:r>
                  <w:r>
                    <w:rPr>
                      <w:rFonts w:hint="default" w:ascii="Times New Roman" w:hAnsi="Times New Roman" w:eastAsia="宋体" w:cs="Times New Roman"/>
                      <w:color w:val="auto"/>
                      <w:kern w:val="0"/>
                      <w:sz w:val="21"/>
                      <w:szCs w:val="21"/>
                      <w:highlight w:val="none"/>
                      <w:lang w:val="en-US" w:eastAsia="zh-CN" w:bidi="ar"/>
                    </w:rPr>
                    <w:t>）：318.4，沸点：（</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w:t>
                  </w:r>
                  <w:r>
                    <w:rPr>
                      <w:rFonts w:hint="default" w:ascii="Times New Roman" w:hAnsi="Times New Roman" w:eastAsia="宋体" w:cs="Times New Roman"/>
                      <w:color w:val="auto"/>
                      <w:kern w:val="0"/>
                      <w:sz w:val="21"/>
                      <w:szCs w:val="21"/>
                      <w:highlight w:val="none"/>
                      <w:lang w:val="en-US" w:eastAsia="zh-CN" w:bidi="ar"/>
                    </w:rPr>
                    <w:t>）：1390，相对密度（水=1）：2.12。属于强碱性物质，具有强腐蚀性。</w:t>
                  </w:r>
                </w:p>
              </w:tc>
            </w:tr>
            <w:tr w14:paraId="044964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245DA75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4</w:t>
                  </w:r>
                </w:p>
              </w:tc>
              <w:tc>
                <w:tcPr>
                  <w:tcW w:w="647" w:type="pct"/>
                  <w:tcBorders>
                    <w:tl2br w:val="nil"/>
                    <w:tr2bl w:val="nil"/>
                  </w:tcBorders>
                  <w:noWrap w:val="0"/>
                  <w:vAlign w:val="center"/>
                </w:tcPr>
                <w:p w14:paraId="387CB15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氢氧化钙</w:t>
                  </w:r>
                </w:p>
              </w:tc>
              <w:tc>
                <w:tcPr>
                  <w:tcW w:w="4001" w:type="pct"/>
                  <w:tcBorders>
                    <w:tl2br w:val="nil"/>
                    <w:tr2bl w:val="nil"/>
                  </w:tcBorders>
                  <w:noWrap w:val="0"/>
                  <w:vAlign w:val="center"/>
                </w:tcPr>
                <w:p w14:paraId="7B77DCF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rPr>
                  </w:pPr>
                  <w:r>
                    <w:rPr>
                      <w:rFonts w:hint="default" w:ascii="Times New Roman" w:hAnsi="Times New Roman" w:eastAsia="宋体" w:cs="Times New Roman"/>
                      <w:color w:val="auto"/>
                      <w:kern w:val="0"/>
                      <w:sz w:val="21"/>
                      <w:szCs w:val="21"/>
                      <w:highlight w:val="none"/>
                      <w:lang w:val="en-US" w:eastAsia="zh-CN" w:bidi="ar"/>
                    </w:rPr>
                    <w:t>化学式Ca（OH）</w:t>
                  </w:r>
                  <w:r>
                    <w:rPr>
                      <w:rFonts w:hint="default" w:ascii="Times New Roman" w:hAnsi="Times New Roman" w:eastAsia="宋体" w:cs="Times New Roman"/>
                      <w:color w:val="auto"/>
                      <w:kern w:val="0"/>
                      <w:sz w:val="21"/>
                      <w:szCs w:val="21"/>
                      <w:highlight w:val="none"/>
                      <w:vertAlign w:val="subscript"/>
                      <w:lang w:val="en-US" w:eastAsia="zh-CN" w:bidi="ar"/>
                    </w:rPr>
                    <w:t>2</w:t>
                  </w:r>
                  <w:r>
                    <w:rPr>
                      <w:rFonts w:hint="default" w:ascii="Times New Roman" w:hAnsi="Times New Roman" w:eastAsia="宋体" w:cs="Times New Roman"/>
                      <w:color w:val="auto"/>
                      <w:kern w:val="0"/>
                      <w:sz w:val="21"/>
                      <w:szCs w:val="21"/>
                      <w:highlight w:val="none"/>
                      <w:lang w:val="en-US" w:eastAsia="zh-CN" w:bidi="ar"/>
                    </w:rPr>
                    <w:t>，一种白色粉末状固体，俗称熟石灰、消石灰，水溶液称作澄清石灰水。氢氧化钙具有碱的通性，是一种强碱。氢氧化钙是二元强碱，但仅能微溶于水。</w:t>
                  </w:r>
                </w:p>
              </w:tc>
            </w:tr>
            <w:tr w14:paraId="1E3D7C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780B11D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5</w:t>
                  </w:r>
                </w:p>
              </w:tc>
              <w:tc>
                <w:tcPr>
                  <w:tcW w:w="647" w:type="pct"/>
                  <w:tcBorders>
                    <w:tl2br w:val="nil"/>
                    <w:tr2bl w:val="nil"/>
                  </w:tcBorders>
                  <w:noWrap w:val="0"/>
                  <w:vAlign w:val="center"/>
                </w:tcPr>
                <w:p w14:paraId="5644582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sz w:val="21"/>
                      <w:szCs w:val="21"/>
                      <w:highlight w:val="none"/>
                      <w:u w:val="none"/>
                    </w:rPr>
                    <w:t>硝酸</w:t>
                  </w:r>
                </w:p>
              </w:tc>
              <w:tc>
                <w:tcPr>
                  <w:tcW w:w="4001" w:type="pct"/>
                  <w:tcBorders>
                    <w:tl2br w:val="nil"/>
                    <w:tr2bl w:val="nil"/>
                  </w:tcBorders>
                  <w:noWrap w:val="0"/>
                  <w:vAlign w:val="center"/>
                </w:tcPr>
                <w:p w14:paraId="660E6D8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sz w:val="21"/>
                      <w:szCs w:val="21"/>
                      <w:highlight w:val="none"/>
                      <w:u w:val="none"/>
                    </w:rPr>
                    <w:t>分子式：HNO</w:t>
                  </w:r>
                  <w:r>
                    <w:rPr>
                      <w:rFonts w:hint="default" w:ascii="Times New Roman" w:hAnsi="Times New Roman" w:cs="Times New Roman"/>
                      <w:color w:val="auto"/>
                      <w:sz w:val="21"/>
                      <w:szCs w:val="21"/>
                      <w:highlight w:val="none"/>
                      <w:u w:val="none"/>
                      <w:vertAlign w:val="subscript"/>
                    </w:rPr>
                    <w:t>3</w:t>
                  </w:r>
                  <w:r>
                    <w:rPr>
                      <w:rFonts w:hint="default" w:ascii="Times New Roman" w:hAnsi="Times New Roman" w:cs="Times New Roman"/>
                      <w:color w:val="auto"/>
                      <w:sz w:val="21"/>
                      <w:szCs w:val="21"/>
                      <w:highlight w:val="none"/>
                      <w:u w:val="none"/>
                    </w:rPr>
                    <w:t>；熔点（</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w:t>
                  </w:r>
                  <w:r>
                    <w:rPr>
                      <w:rFonts w:hint="default" w:ascii="Times New Roman" w:hAnsi="Times New Roman" w:cs="Times New Roman"/>
                      <w:color w:val="auto"/>
                      <w:sz w:val="21"/>
                      <w:szCs w:val="21"/>
                      <w:highlight w:val="none"/>
                      <w:u w:val="none"/>
                    </w:rPr>
                    <w:t>）：-42</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沸点（</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w:t>
                  </w:r>
                  <w:r>
                    <w:rPr>
                      <w:rFonts w:hint="default" w:ascii="Times New Roman" w:hAnsi="Times New Roman" w:cs="Times New Roman"/>
                      <w:color w:val="auto"/>
                      <w:sz w:val="21"/>
                      <w:szCs w:val="21"/>
                      <w:highlight w:val="none"/>
                      <w:u w:val="none"/>
                    </w:rPr>
                    <w:t>）：86</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相对密度（水＝1）：1.50</w:t>
                  </w:r>
                  <w:r>
                    <w:rPr>
                      <w:rFonts w:hint="default" w:ascii="Times New Roman" w:hAnsi="Times New Roman" w:cs="Times New Roman"/>
                      <w:color w:val="auto"/>
                      <w:sz w:val="21"/>
                      <w:szCs w:val="21"/>
                      <w:highlight w:val="none"/>
                      <w:u w:val="none"/>
                      <w:lang w:eastAsia="zh-CN"/>
                    </w:rPr>
                    <w:t>，饱和蒸汽压</w:t>
                  </w:r>
                  <w:r>
                    <w:rPr>
                      <w:rFonts w:hint="default" w:ascii="Times New Roman" w:hAnsi="Times New Roman" w:cs="Times New Roman"/>
                      <w:color w:val="auto"/>
                      <w:sz w:val="21"/>
                      <w:szCs w:val="21"/>
                      <w:highlight w:val="none"/>
                      <w:u w:val="none"/>
                    </w:rPr>
                    <w:t>（kPa）：4.4</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20</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w:t>
                  </w:r>
                  <w:r>
                    <w:rPr>
                      <w:rFonts w:hint="default" w:ascii="Times New Roman" w:hAnsi="Times New Roman" w:cs="Times New Roman"/>
                      <w:color w:val="auto"/>
                      <w:sz w:val="21"/>
                      <w:szCs w:val="21"/>
                      <w:highlight w:val="none"/>
                      <w:u w:val="none"/>
                      <w:lang w:eastAsia="zh-CN"/>
                    </w:rPr>
                    <w:t>）；</w:t>
                  </w:r>
                  <w:r>
                    <w:rPr>
                      <w:rFonts w:hint="default" w:ascii="Times New Roman" w:hAnsi="Times New Roman" w:cs="Times New Roman"/>
                      <w:color w:val="auto"/>
                      <w:sz w:val="21"/>
                      <w:szCs w:val="21"/>
                      <w:highlight w:val="none"/>
                      <w:u w:val="none"/>
                    </w:rPr>
                    <w:t>强氧化剂。能与多种物质如金属粉末、电石、硫化氢、松节油等猛烈反应，甚至发生爆炸。与还原剂、可燃物接触，引起燃烧并散发出剧毒的棕色烟雾。具有强腐蚀性。</w:t>
                  </w:r>
                </w:p>
              </w:tc>
            </w:tr>
            <w:tr w14:paraId="2CB7B3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06BA00A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6</w:t>
                  </w:r>
                </w:p>
              </w:tc>
              <w:tc>
                <w:tcPr>
                  <w:tcW w:w="647" w:type="pct"/>
                  <w:tcBorders>
                    <w:tl2br w:val="nil"/>
                    <w:tr2bl w:val="nil"/>
                  </w:tcBorders>
                  <w:noWrap w:val="0"/>
                  <w:vAlign w:val="center"/>
                </w:tcPr>
                <w:p w14:paraId="2779EB3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碘水</w:t>
                  </w:r>
                </w:p>
              </w:tc>
              <w:tc>
                <w:tcPr>
                  <w:tcW w:w="4001" w:type="pct"/>
                  <w:tcBorders>
                    <w:tl2br w:val="nil"/>
                    <w:tr2bl w:val="nil"/>
                  </w:tcBorders>
                  <w:noWrap w:val="0"/>
                  <w:vAlign w:val="center"/>
                </w:tcPr>
                <w:p w14:paraId="6870A16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rPr>
                  </w:pPr>
                  <w:r>
                    <w:rPr>
                      <w:rFonts w:hint="default" w:ascii="Times New Roman" w:hAnsi="Times New Roman" w:eastAsia="宋体" w:cs="Times New Roman"/>
                      <w:color w:val="auto"/>
                      <w:kern w:val="0"/>
                      <w:sz w:val="21"/>
                      <w:szCs w:val="21"/>
                      <w:highlight w:val="none"/>
                      <w:lang w:val="en-US" w:eastAsia="zh-CN" w:bidi="ar"/>
                    </w:rPr>
                    <w:t>指含碘的水溶液，实验室主要用来检验氧化还原性较强的物质，也可以检测淀粉的存在。</w:t>
                  </w:r>
                </w:p>
              </w:tc>
            </w:tr>
            <w:tr w14:paraId="620786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40F2A92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7</w:t>
                  </w:r>
                </w:p>
              </w:tc>
              <w:tc>
                <w:tcPr>
                  <w:tcW w:w="647" w:type="pct"/>
                  <w:tcBorders>
                    <w:tl2br w:val="nil"/>
                    <w:tr2bl w:val="nil"/>
                  </w:tcBorders>
                  <w:noWrap w:val="0"/>
                  <w:vAlign w:val="center"/>
                </w:tcPr>
                <w:p w14:paraId="00EE888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氯化钠</w:t>
                  </w:r>
                </w:p>
              </w:tc>
              <w:tc>
                <w:tcPr>
                  <w:tcW w:w="4001" w:type="pct"/>
                  <w:tcBorders>
                    <w:tl2br w:val="nil"/>
                    <w:tr2bl w:val="nil"/>
                  </w:tcBorders>
                  <w:noWrap w:val="0"/>
                  <w:vAlign w:val="center"/>
                </w:tcPr>
                <w:p w14:paraId="651EF8B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rPr>
                  </w:pPr>
                  <w:r>
                    <w:rPr>
                      <w:rFonts w:hint="default" w:ascii="Times New Roman" w:hAnsi="Times New Roman" w:eastAsia="宋体" w:cs="Times New Roman"/>
                      <w:color w:val="auto"/>
                      <w:kern w:val="0"/>
                      <w:sz w:val="21"/>
                      <w:szCs w:val="21"/>
                      <w:highlight w:val="none"/>
                      <w:lang w:val="en-US" w:eastAsia="zh-CN" w:bidi="ar"/>
                    </w:rPr>
                    <w:t>外观为白色晶体状，其来源主要是在海水中，是食盐的主要成分，易溶于水、甘油，微溶于乙醇、液氨，不溶于浓盐酸，在4空气中微有潮解性，稳定性比较好。</w:t>
                  </w:r>
                </w:p>
              </w:tc>
            </w:tr>
            <w:tr w14:paraId="5E4863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15C8D86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8</w:t>
                  </w:r>
                </w:p>
              </w:tc>
              <w:tc>
                <w:tcPr>
                  <w:tcW w:w="647" w:type="pct"/>
                  <w:tcBorders>
                    <w:tl2br w:val="nil"/>
                    <w:tr2bl w:val="nil"/>
                  </w:tcBorders>
                  <w:noWrap w:val="0"/>
                  <w:vAlign w:val="center"/>
                </w:tcPr>
                <w:p w14:paraId="1FF6F39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氯化铁</w:t>
                  </w:r>
                </w:p>
              </w:tc>
              <w:tc>
                <w:tcPr>
                  <w:tcW w:w="4001" w:type="pct"/>
                  <w:tcBorders>
                    <w:tl2br w:val="nil"/>
                    <w:tr2bl w:val="nil"/>
                  </w:tcBorders>
                  <w:noWrap w:val="0"/>
                  <w:vAlign w:val="center"/>
                </w:tcPr>
                <w:p w14:paraId="5D70431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i w:val="0"/>
                      <w:iCs w:val="0"/>
                      <w:caps w:val="0"/>
                      <w:color w:val="auto"/>
                      <w:spacing w:val="0"/>
                      <w:sz w:val="21"/>
                      <w:szCs w:val="21"/>
                      <w:highlight w:val="none"/>
                      <w:shd w:val="clear" w:color="auto" w:fill="FFFFFF"/>
                    </w:rPr>
                    <w:t>化学式FeCl</w:t>
                  </w:r>
                  <w:r>
                    <w:rPr>
                      <w:rFonts w:hint="default" w:ascii="Times New Roman" w:hAnsi="Times New Roman" w:eastAsia="宋体" w:cs="Times New Roman"/>
                      <w:i w:val="0"/>
                      <w:iCs w:val="0"/>
                      <w:caps w:val="0"/>
                      <w:color w:val="auto"/>
                      <w:spacing w:val="0"/>
                      <w:sz w:val="21"/>
                      <w:szCs w:val="21"/>
                      <w:highlight w:val="none"/>
                      <w:shd w:val="clear" w:color="auto" w:fill="FFFFFF"/>
                      <w:vertAlign w:val="subscript"/>
                    </w:rPr>
                    <w:t>3</w:t>
                  </w:r>
                  <w:r>
                    <w:rPr>
                      <w:rFonts w:hint="default" w:ascii="Times New Roman" w:hAnsi="Times New Roman" w:eastAsia="宋体" w:cs="Times New Roman"/>
                      <w:i w:val="0"/>
                      <w:iCs w:val="0"/>
                      <w:caps w:val="0"/>
                      <w:color w:val="auto"/>
                      <w:spacing w:val="0"/>
                      <w:sz w:val="21"/>
                      <w:szCs w:val="21"/>
                      <w:highlight w:val="none"/>
                      <w:shd w:val="clear" w:color="auto" w:fill="FFFFFF"/>
                    </w:rPr>
                    <w:t>。是一种共价化合物。为黑棕色结晶，也有薄片状，熔点306</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w:t>
                  </w:r>
                  <w:r>
                    <w:rPr>
                      <w:rFonts w:hint="default" w:ascii="Times New Roman" w:hAnsi="Times New Roman" w:eastAsia="宋体" w:cs="Times New Roman"/>
                      <w:i w:val="0"/>
                      <w:iCs w:val="0"/>
                      <w:caps w:val="0"/>
                      <w:color w:val="auto"/>
                      <w:spacing w:val="0"/>
                      <w:sz w:val="21"/>
                      <w:szCs w:val="21"/>
                      <w:highlight w:val="none"/>
                      <w:shd w:val="clear" w:color="auto" w:fill="FFFFFF"/>
                    </w:rPr>
                    <w:t>、沸点316</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w:t>
                  </w:r>
                  <w:r>
                    <w:rPr>
                      <w:rFonts w:hint="default" w:ascii="Times New Roman" w:hAnsi="Times New Roman" w:eastAsia="宋体" w:cs="Times New Roman"/>
                      <w:i w:val="0"/>
                      <w:iCs w:val="0"/>
                      <w:caps w:val="0"/>
                      <w:color w:val="auto"/>
                      <w:spacing w:val="0"/>
                      <w:sz w:val="21"/>
                      <w:szCs w:val="21"/>
                      <w:highlight w:val="none"/>
                      <w:shd w:val="clear" w:color="auto" w:fill="FFFFFF"/>
                    </w:rPr>
                    <w:t>，易溶于水并且有强烈的</w: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begin"/>
                  </w:r>
                  <w:r>
                    <w:rPr>
                      <w:rFonts w:hint="default" w:ascii="Times New Roman" w:hAnsi="Times New Roman" w:eastAsia="宋体" w:cs="Times New Roman"/>
                      <w:i w:val="0"/>
                      <w:iCs w:val="0"/>
                      <w:caps w:val="0"/>
                      <w:color w:val="auto"/>
                      <w:spacing w:val="0"/>
                      <w:sz w:val="21"/>
                      <w:szCs w:val="21"/>
                      <w:highlight w:val="none"/>
                      <w:u w:val="none"/>
                      <w:shd w:val="clear" w:color="auto" w:fill="FFFFFF"/>
                    </w:rPr>
                    <w:instrText xml:space="preserve"> HYPERLINK "https://baike.so.com/doc/6728418-6942701.html" \t "https://baike.so.com/doc/_blank" </w:instrTex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separate"/>
                  </w:r>
                  <w:r>
                    <w:rPr>
                      <w:rStyle w:val="36"/>
                      <w:rFonts w:hint="default" w:ascii="Times New Roman" w:hAnsi="Times New Roman" w:eastAsia="宋体" w:cs="Times New Roman"/>
                      <w:i w:val="0"/>
                      <w:iCs w:val="0"/>
                      <w:caps w:val="0"/>
                      <w:color w:val="auto"/>
                      <w:spacing w:val="0"/>
                      <w:sz w:val="21"/>
                      <w:szCs w:val="21"/>
                      <w:highlight w:val="none"/>
                      <w:u w:val="none"/>
                      <w:shd w:val="clear" w:color="auto" w:fill="FFFFFF"/>
                    </w:rPr>
                    <w:t>吸水性</w: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color w:val="auto"/>
                      <w:spacing w:val="0"/>
                      <w:sz w:val="21"/>
                      <w:szCs w:val="21"/>
                      <w:highlight w:val="none"/>
                      <w:shd w:val="clear" w:color="auto" w:fill="FFFFFF"/>
                    </w:rPr>
                    <w:t>，能吸收空气里的水分而潮解。FeCl</w:t>
                  </w:r>
                  <w:r>
                    <w:rPr>
                      <w:rFonts w:hint="default" w:ascii="Times New Roman" w:hAnsi="Times New Roman" w:eastAsia="宋体" w:cs="Times New Roman"/>
                      <w:i w:val="0"/>
                      <w:iCs w:val="0"/>
                      <w:caps w:val="0"/>
                      <w:color w:val="auto"/>
                      <w:spacing w:val="0"/>
                      <w:sz w:val="21"/>
                      <w:szCs w:val="21"/>
                      <w:highlight w:val="none"/>
                      <w:shd w:val="clear" w:color="auto" w:fill="FFFFFF"/>
                      <w:vertAlign w:val="subscript"/>
                    </w:rPr>
                    <w:t>3</w:t>
                  </w:r>
                  <w:r>
                    <w:rPr>
                      <w:rFonts w:hint="default" w:ascii="Times New Roman" w:hAnsi="Times New Roman" w:eastAsia="宋体" w:cs="Times New Roman"/>
                      <w:i w:val="0"/>
                      <w:iCs w:val="0"/>
                      <w:caps w:val="0"/>
                      <w:color w:val="auto"/>
                      <w:spacing w:val="0"/>
                      <w:sz w:val="21"/>
                      <w:szCs w:val="21"/>
                      <w:highlight w:val="none"/>
                      <w:shd w:val="clear" w:color="auto" w:fill="FFFFFF"/>
                    </w:rPr>
                    <w:t>从水溶液析出时带六个</w: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begin"/>
                  </w:r>
                  <w:r>
                    <w:rPr>
                      <w:rFonts w:hint="default" w:ascii="Times New Roman" w:hAnsi="Times New Roman" w:eastAsia="宋体" w:cs="Times New Roman"/>
                      <w:i w:val="0"/>
                      <w:iCs w:val="0"/>
                      <w:caps w:val="0"/>
                      <w:color w:val="auto"/>
                      <w:spacing w:val="0"/>
                      <w:sz w:val="21"/>
                      <w:szCs w:val="21"/>
                      <w:highlight w:val="none"/>
                      <w:u w:val="none"/>
                      <w:shd w:val="clear" w:color="auto" w:fill="FFFFFF"/>
                    </w:rPr>
                    <w:instrText xml:space="preserve"> HYPERLINK "https://baike.so.com/doc/6031438-6244439.html" \t "https://baike.so.com/doc/_blank" </w:instrTex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separate"/>
                  </w:r>
                  <w:r>
                    <w:rPr>
                      <w:rStyle w:val="36"/>
                      <w:rFonts w:hint="default" w:ascii="Times New Roman" w:hAnsi="Times New Roman" w:eastAsia="宋体" w:cs="Times New Roman"/>
                      <w:i w:val="0"/>
                      <w:iCs w:val="0"/>
                      <w:caps w:val="0"/>
                      <w:color w:val="auto"/>
                      <w:spacing w:val="0"/>
                      <w:sz w:val="21"/>
                      <w:szCs w:val="21"/>
                      <w:highlight w:val="none"/>
                      <w:u w:val="none"/>
                      <w:shd w:val="clear" w:color="auto" w:fill="FFFFFF"/>
                    </w:rPr>
                    <w:t>结晶水</w: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color w:val="auto"/>
                      <w:spacing w:val="0"/>
                      <w:sz w:val="21"/>
                      <w:szCs w:val="21"/>
                      <w:highlight w:val="none"/>
                      <w:shd w:val="clear" w:color="auto" w:fill="FFFFFF"/>
                    </w:rPr>
                    <w:t>为FeCl</w:t>
                  </w:r>
                  <w:r>
                    <w:rPr>
                      <w:rFonts w:hint="default" w:ascii="Times New Roman" w:hAnsi="Times New Roman" w:eastAsia="宋体" w:cs="Times New Roman"/>
                      <w:i w:val="0"/>
                      <w:iCs w:val="0"/>
                      <w:caps w:val="0"/>
                      <w:color w:val="auto"/>
                      <w:spacing w:val="0"/>
                      <w:sz w:val="21"/>
                      <w:szCs w:val="21"/>
                      <w:highlight w:val="none"/>
                      <w:shd w:val="clear" w:color="auto" w:fill="FFFFFF"/>
                      <w:vertAlign w:val="subscript"/>
                    </w:rPr>
                    <w:t>3</w:t>
                  </w:r>
                  <w:r>
                    <w:rPr>
                      <w:rFonts w:hint="default" w:ascii="Times New Roman" w:hAnsi="Times New Roman" w:eastAsia="宋体" w:cs="Times New Roman"/>
                      <w:i w:val="0"/>
                      <w:iCs w:val="0"/>
                      <w:caps w:val="0"/>
                      <w:color w:val="auto"/>
                      <w:spacing w:val="0"/>
                      <w:sz w:val="21"/>
                      <w:szCs w:val="21"/>
                      <w:highlight w:val="none"/>
                      <w:shd w:val="clear" w:color="auto" w:fill="FFFFFF"/>
                    </w:rPr>
                    <w:t>·6H</w:t>
                  </w:r>
                  <w:r>
                    <w:rPr>
                      <w:rFonts w:hint="default" w:ascii="Times New Roman" w:hAnsi="Times New Roman" w:eastAsia="宋体" w:cs="Times New Roman"/>
                      <w:i w:val="0"/>
                      <w:iCs w:val="0"/>
                      <w:caps w:val="0"/>
                      <w:color w:val="auto"/>
                      <w:spacing w:val="0"/>
                      <w:sz w:val="21"/>
                      <w:szCs w:val="21"/>
                      <w:highlight w:val="none"/>
                      <w:shd w:val="clear" w:color="auto" w:fill="FFFFFF"/>
                      <w:vertAlign w:val="subscript"/>
                    </w:rPr>
                    <w:t>2</w:t>
                  </w:r>
                  <w:r>
                    <w:rPr>
                      <w:rFonts w:hint="default" w:ascii="Times New Roman" w:hAnsi="Times New Roman" w:eastAsia="宋体" w:cs="Times New Roman"/>
                      <w:i w:val="0"/>
                      <w:iCs w:val="0"/>
                      <w:caps w:val="0"/>
                      <w:color w:val="auto"/>
                      <w:spacing w:val="0"/>
                      <w:sz w:val="21"/>
                      <w:szCs w:val="21"/>
                      <w:highlight w:val="none"/>
                      <w:shd w:val="clear" w:color="auto" w:fill="FFFFFF"/>
                    </w:rPr>
                    <w:t>O，六水合氯化铁是橘黄色的晶体。氯化铁是一种很重要的</w: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begin"/>
                  </w:r>
                  <w:r>
                    <w:rPr>
                      <w:rFonts w:hint="default" w:ascii="Times New Roman" w:hAnsi="Times New Roman" w:eastAsia="宋体" w:cs="Times New Roman"/>
                      <w:i w:val="0"/>
                      <w:iCs w:val="0"/>
                      <w:caps w:val="0"/>
                      <w:color w:val="auto"/>
                      <w:spacing w:val="0"/>
                      <w:sz w:val="21"/>
                      <w:szCs w:val="21"/>
                      <w:highlight w:val="none"/>
                      <w:u w:val="none"/>
                      <w:shd w:val="clear" w:color="auto" w:fill="FFFFFF"/>
                    </w:rPr>
                    <w:instrText xml:space="preserve"> HYPERLINK "https://baike.so.com/doc/1671389-1767153.html" \t "https://baike.so.com/doc/_blank" </w:instrTex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separate"/>
                  </w:r>
                  <w:r>
                    <w:rPr>
                      <w:rStyle w:val="36"/>
                      <w:rFonts w:hint="default" w:ascii="Times New Roman" w:hAnsi="Times New Roman" w:eastAsia="宋体" w:cs="Times New Roman"/>
                      <w:i w:val="0"/>
                      <w:iCs w:val="0"/>
                      <w:caps w:val="0"/>
                      <w:color w:val="auto"/>
                      <w:spacing w:val="0"/>
                      <w:sz w:val="21"/>
                      <w:szCs w:val="21"/>
                      <w:highlight w:val="none"/>
                      <w:u w:val="none"/>
                      <w:shd w:val="clear" w:color="auto" w:fill="FFFFFF"/>
                    </w:rPr>
                    <w:t>铁盐</w: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color w:val="auto"/>
                      <w:spacing w:val="0"/>
                      <w:sz w:val="21"/>
                      <w:szCs w:val="21"/>
                      <w:highlight w:val="none"/>
                      <w:u w:val="none"/>
                      <w:shd w:val="clear" w:color="auto" w:fill="FFFFFF"/>
                      <w:lang w:eastAsia="zh-CN"/>
                    </w:rPr>
                    <w:t>。</w:t>
                  </w:r>
                  <w:r>
                    <w:rPr>
                      <w:rFonts w:hint="default" w:ascii="Times New Roman" w:hAnsi="Times New Roman" w:eastAsia="宋体" w:cs="Times New Roman"/>
                      <w:i w:val="0"/>
                      <w:iCs w:val="0"/>
                      <w:caps w:val="0"/>
                      <w:color w:val="auto"/>
                      <w:spacing w:val="0"/>
                      <w:sz w:val="21"/>
                      <w:szCs w:val="21"/>
                      <w:highlight w:val="none"/>
                      <w:shd w:val="clear" w:color="auto" w:fill="FFFFFF"/>
                    </w:rPr>
                    <w:t>易溶于水，不溶于甘油，易溶于甲醇、乙醇、</w: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begin"/>
                  </w:r>
                  <w:r>
                    <w:rPr>
                      <w:rFonts w:hint="default" w:ascii="Times New Roman" w:hAnsi="Times New Roman" w:eastAsia="宋体" w:cs="Times New Roman"/>
                      <w:i w:val="0"/>
                      <w:iCs w:val="0"/>
                      <w:caps w:val="0"/>
                      <w:color w:val="auto"/>
                      <w:spacing w:val="0"/>
                      <w:sz w:val="21"/>
                      <w:szCs w:val="21"/>
                      <w:highlight w:val="none"/>
                      <w:u w:val="none"/>
                      <w:shd w:val="clear" w:color="auto" w:fill="FFFFFF"/>
                    </w:rPr>
                    <w:instrText xml:space="preserve"> HYPERLINK "https://baike.so.com/doc/252057-266820.html" \t "https://baike.so.com/doc/_blank" </w:instrTex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separate"/>
                  </w:r>
                  <w:r>
                    <w:rPr>
                      <w:rStyle w:val="36"/>
                      <w:rFonts w:hint="default" w:ascii="Times New Roman" w:hAnsi="Times New Roman" w:eastAsia="宋体" w:cs="Times New Roman"/>
                      <w:i w:val="0"/>
                      <w:iCs w:val="0"/>
                      <w:caps w:val="0"/>
                      <w:color w:val="auto"/>
                      <w:spacing w:val="0"/>
                      <w:sz w:val="21"/>
                      <w:szCs w:val="21"/>
                      <w:highlight w:val="none"/>
                      <w:u w:val="none"/>
                      <w:shd w:val="clear" w:color="auto" w:fill="FFFFFF"/>
                    </w:rPr>
                    <w:t>丙酮</w: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color w:val="auto"/>
                      <w:spacing w:val="0"/>
                      <w:sz w:val="21"/>
                      <w:szCs w:val="21"/>
                      <w:highlight w:val="none"/>
                      <w:shd w:val="clear" w:color="auto" w:fill="FFFFFF"/>
                    </w:rPr>
                    <w:t>、</w: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begin"/>
                  </w:r>
                  <w:r>
                    <w:rPr>
                      <w:rFonts w:hint="default" w:ascii="Times New Roman" w:hAnsi="Times New Roman" w:eastAsia="宋体" w:cs="Times New Roman"/>
                      <w:i w:val="0"/>
                      <w:iCs w:val="0"/>
                      <w:caps w:val="0"/>
                      <w:color w:val="auto"/>
                      <w:spacing w:val="0"/>
                      <w:sz w:val="21"/>
                      <w:szCs w:val="21"/>
                      <w:highlight w:val="none"/>
                      <w:u w:val="none"/>
                      <w:shd w:val="clear" w:color="auto" w:fill="FFFFFF"/>
                    </w:rPr>
                    <w:instrText xml:space="preserve"> HYPERLINK "https://baike.so.com/doc/1041070-1101158.html" \t "https://baike.so.com/doc/_blank" </w:instrTex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separate"/>
                  </w:r>
                  <w:r>
                    <w:rPr>
                      <w:rStyle w:val="36"/>
                      <w:rFonts w:hint="default" w:ascii="Times New Roman" w:hAnsi="Times New Roman" w:eastAsia="宋体" w:cs="Times New Roman"/>
                      <w:i w:val="0"/>
                      <w:iCs w:val="0"/>
                      <w:caps w:val="0"/>
                      <w:color w:val="auto"/>
                      <w:spacing w:val="0"/>
                      <w:sz w:val="21"/>
                      <w:szCs w:val="21"/>
                      <w:highlight w:val="none"/>
                      <w:u w:val="none"/>
                      <w:shd w:val="clear" w:color="auto" w:fill="FFFFFF"/>
                    </w:rPr>
                    <w:t>乙醚</w:t>
                  </w:r>
                  <w:r>
                    <w:rPr>
                      <w:rFonts w:hint="default" w:ascii="Times New Roman" w:hAnsi="Times New Roman" w:eastAsia="宋体" w:cs="Times New Roman"/>
                      <w:i w:val="0"/>
                      <w:iCs w:val="0"/>
                      <w:caps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color w:val="auto"/>
                      <w:spacing w:val="0"/>
                      <w:sz w:val="21"/>
                      <w:szCs w:val="21"/>
                      <w:highlight w:val="none"/>
                      <w:shd w:val="clear" w:color="auto" w:fill="FFFFFF"/>
                    </w:rPr>
                    <w:t>。</w:t>
                  </w:r>
                </w:p>
              </w:tc>
            </w:tr>
            <w:tr w14:paraId="405941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75C3279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9</w:t>
                  </w:r>
                </w:p>
              </w:tc>
              <w:tc>
                <w:tcPr>
                  <w:tcW w:w="647" w:type="pct"/>
                  <w:tcBorders>
                    <w:tl2br w:val="nil"/>
                    <w:tr2bl w:val="nil"/>
                  </w:tcBorders>
                  <w:noWrap w:val="0"/>
                  <w:vAlign w:val="center"/>
                </w:tcPr>
                <w:p w14:paraId="643E80E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硫酸铜</w:t>
                  </w:r>
                </w:p>
              </w:tc>
              <w:tc>
                <w:tcPr>
                  <w:tcW w:w="4001" w:type="pct"/>
                  <w:tcBorders>
                    <w:tl2br w:val="nil"/>
                    <w:tr2bl w:val="nil"/>
                  </w:tcBorders>
                  <w:noWrap w:val="0"/>
                  <w:vAlign w:val="center"/>
                </w:tcPr>
                <w:p w14:paraId="1225C66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rPr>
                  </w:pPr>
                  <w:r>
                    <w:rPr>
                      <w:rFonts w:hint="default" w:ascii="Times New Roman" w:hAnsi="Times New Roman" w:eastAsia="宋体" w:cs="Times New Roman"/>
                      <w:color w:val="auto"/>
                      <w:kern w:val="0"/>
                      <w:sz w:val="21"/>
                      <w:szCs w:val="21"/>
                      <w:highlight w:val="none"/>
                      <w:lang w:val="en-US" w:eastAsia="zh-CN" w:bidi="ar"/>
                    </w:rPr>
                    <w:t>化学式CuSO</w:t>
                  </w:r>
                  <w:r>
                    <w:rPr>
                      <w:rFonts w:hint="default" w:ascii="Times New Roman" w:hAnsi="Times New Roman" w:eastAsia="宋体" w:cs="Times New Roman"/>
                      <w:color w:val="auto"/>
                      <w:kern w:val="0"/>
                      <w:sz w:val="21"/>
                      <w:szCs w:val="21"/>
                      <w:highlight w:val="none"/>
                      <w:vertAlign w:val="subscript"/>
                      <w:lang w:val="en-US" w:eastAsia="zh-CN" w:bidi="ar"/>
                    </w:rPr>
                    <w:t>4</w:t>
                  </w:r>
                  <w:r>
                    <w:rPr>
                      <w:rFonts w:hint="default" w:ascii="Times New Roman" w:hAnsi="Times New Roman" w:eastAsia="宋体" w:cs="Times New Roman"/>
                      <w:color w:val="auto"/>
                      <w:kern w:val="0"/>
                      <w:sz w:val="21"/>
                      <w:szCs w:val="21"/>
                      <w:highlight w:val="none"/>
                      <w:lang w:val="en-US" w:eastAsia="zh-CN" w:bidi="ar"/>
                    </w:rPr>
                    <w:t>，无水硫酸铜为白色或灰白色粉末。其水溶液呈弱酸性，显蓝色，硫酸铜是制备其他含铜化合物的重要原料。硫酸铜常见的形态为结晶体，在实验室里无水硫酸铜常被用于检验水的存在。</w:t>
                  </w:r>
                </w:p>
              </w:tc>
            </w:tr>
            <w:tr w14:paraId="01D3EC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314913E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10</w:t>
                  </w:r>
                </w:p>
              </w:tc>
              <w:tc>
                <w:tcPr>
                  <w:tcW w:w="647" w:type="pct"/>
                  <w:tcBorders>
                    <w:tl2br w:val="nil"/>
                    <w:tr2bl w:val="nil"/>
                  </w:tcBorders>
                  <w:noWrap w:val="0"/>
                  <w:vAlign w:val="center"/>
                </w:tcPr>
                <w:p w14:paraId="2A4A2FA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酚酞</w:t>
                  </w:r>
                </w:p>
              </w:tc>
              <w:tc>
                <w:tcPr>
                  <w:tcW w:w="4001" w:type="pct"/>
                  <w:tcBorders>
                    <w:tl2br w:val="nil"/>
                    <w:tr2bl w:val="nil"/>
                  </w:tcBorders>
                  <w:noWrap w:val="0"/>
                  <w:vAlign w:val="center"/>
                </w:tcPr>
                <w:p w14:paraId="6C27FB7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rPr>
                  </w:pPr>
                  <w:r>
                    <w:rPr>
                      <w:rFonts w:hint="default" w:ascii="Times New Roman" w:hAnsi="Times New Roman" w:eastAsia="宋体" w:cs="Times New Roman"/>
                      <w:color w:val="auto"/>
                      <w:kern w:val="0"/>
                      <w:sz w:val="21"/>
                      <w:szCs w:val="21"/>
                      <w:highlight w:val="none"/>
                      <w:lang w:val="en-US" w:eastAsia="zh-CN" w:bidi="ar"/>
                    </w:rPr>
                    <w:t>酚酞是一种化学成品，属于晶体粉末状，几乎不溶于水，其特性是在酸性和中性溶液中为无色，在碱性溶液中为紫红色，常被用来检测酸碱性。</w:t>
                  </w:r>
                </w:p>
              </w:tc>
            </w:tr>
            <w:tr w14:paraId="4BB9B2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14784F6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11</w:t>
                  </w:r>
                </w:p>
              </w:tc>
              <w:tc>
                <w:tcPr>
                  <w:tcW w:w="647" w:type="pct"/>
                  <w:tcBorders>
                    <w:tl2br w:val="nil"/>
                    <w:tr2bl w:val="nil"/>
                  </w:tcBorders>
                  <w:noWrap w:val="0"/>
                  <w:vAlign w:val="center"/>
                </w:tcPr>
                <w:p w14:paraId="259D230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碳酸钠</w:t>
                  </w:r>
                </w:p>
              </w:tc>
              <w:tc>
                <w:tcPr>
                  <w:tcW w:w="4001" w:type="pct"/>
                  <w:tcBorders>
                    <w:tl2br w:val="nil"/>
                    <w:tr2bl w:val="nil"/>
                  </w:tcBorders>
                  <w:noWrap w:val="0"/>
                  <w:vAlign w:val="center"/>
                </w:tcPr>
                <w:p w14:paraId="6F41F28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rPr>
                  </w:pPr>
                  <w:r>
                    <w:rPr>
                      <w:rFonts w:hint="default" w:ascii="Times New Roman" w:hAnsi="Times New Roman" w:eastAsia="宋体" w:cs="Times New Roman"/>
                      <w:color w:val="auto"/>
                      <w:kern w:val="0"/>
                      <w:sz w:val="21"/>
                      <w:szCs w:val="21"/>
                      <w:highlight w:val="none"/>
                      <w:lang w:val="en-US" w:eastAsia="zh-CN" w:bidi="ar"/>
                    </w:rPr>
                    <w:t>又叫纯碱，苏打，纯品是白色粉末或细粒，易溶于水，水溶液呈弱碱性，微溶于无水乙醇，不溶于丙醇。</w:t>
                  </w:r>
                </w:p>
              </w:tc>
            </w:tr>
            <w:tr w14:paraId="0B09FE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4C00C4D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12</w:t>
                  </w:r>
                </w:p>
              </w:tc>
              <w:tc>
                <w:tcPr>
                  <w:tcW w:w="647" w:type="pct"/>
                  <w:tcBorders>
                    <w:tl2br w:val="nil"/>
                    <w:tr2bl w:val="nil"/>
                  </w:tcBorders>
                  <w:noWrap w:val="0"/>
                  <w:vAlign w:val="center"/>
                </w:tcPr>
                <w:p w14:paraId="348AA15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碳酸氢钠</w:t>
                  </w:r>
                </w:p>
              </w:tc>
              <w:tc>
                <w:tcPr>
                  <w:tcW w:w="4001" w:type="pct"/>
                  <w:tcBorders>
                    <w:tl2br w:val="nil"/>
                    <w:tr2bl w:val="nil"/>
                  </w:tcBorders>
                  <w:noWrap w:val="0"/>
                  <w:vAlign w:val="center"/>
                </w:tcPr>
                <w:p w14:paraId="557CC82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俗称小苏打，是一种易溶于水的白色碱性粉末，在与水结合后开始起作用释放出二氧化碳</w:t>
                  </w:r>
                </w:p>
              </w:tc>
            </w:tr>
            <w:tr w14:paraId="7397B9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06122CA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13</w:t>
                  </w:r>
                </w:p>
              </w:tc>
              <w:tc>
                <w:tcPr>
                  <w:tcW w:w="647" w:type="pct"/>
                  <w:tcBorders>
                    <w:tl2br w:val="nil"/>
                    <w:tr2bl w:val="nil"/>
                  </w:tcBorders>
                  <w:noWrap w:val="0"/>
                  <w:vAlign w:val="center"/>
                </w:tcPr>
                <w:p w14:paraId="31A8067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氯化亚铁</w:t>
                  </w:r>
                </w:p>
              </w:tc>
              <w:tc>
                <w:tcPr>
                  <w:tcW w:w="4001" w:type="pct"/>
                  <w:tcBorders>
                    <w:tl2br w:val="nil"/>
                    <w:tr2bl w:val="nil"/>
                  </w:tcBorders>
                  <w:noWrap w:val="0"/>
                  <w:vAlign w:val="center"/>
                </w:tcPr>
                <w:p w14:paraId="4BDFCDA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化学式FeCl</w:t>
                  </w:r>
                  <w:r>
                    <w:rPr>
                      <w:rFonts w:hint="default" w:ascii="Times New Roman" w:hAnsi="Times New Roman" w:eastAsia="宋体" w:cs="Times New Roman"/>
                      <w:color w:val="auto"/>
                      <w:kern w:val="0"/>
                      <w:sz w:val="21"/>
                      <w:szCs w:val="21"/>
                      <w:highlight w:val="none"/>
                      <w:vertAlign w:val="subscript"/>
                      <w:lang w:val="en-US" w:eastAsia="zh-CN" w:bidi="ar"/>
                    </w:rPr>
                    <w:t>2</w:t>
                  </w:r>
                  <w:r>
                    <w:rPr>
                      <w:rFonts w:hint="default" w:ascii="Times New Roman" w:hAnsi="Times New Roman" w:eastAsia="宋体" w:cs="Times New Roman"/>
                      <w:color w:val="auto"/>
                      <w:kern w:val="0"/>
                      <w:sz w:val="21"/>
                      <w:szCs w:val="21"/>
                      <w:highlight w:val="none"/>
                      <w:vertAlign w:val="baseline"/>
                      <w:lang w:val="en-US" w:eastAsia="zh-CN" w:bidi="ar"/>
                    </w:rPr>
                    <w:t>，</w:t>
                  </w:r>
                  <w:r>
                    <w:rPr>
                      <w:rFonts w:hint="default" w:ascii="Times New Roman" w:hAnsi="Times New Roman" w:eastAsia="宋体" w:cs="Times New Roman"/>
                      <w:color w:val="auto"/>
                      <w:kern w:val="0"/>
                      <w:sz w:val="21"/>
                      <w:szCs w:val="21"/>
                      <w:highlight w:val="none"/>
                      <w:lang w:val="en-US" w:eastAsia="zh-CN" w:bidi="ar"/>
                    </w:rPr>
                    <w:t>灰绿色或蓝绿色单斜结晶或结晶性粉末，可溶于水、乙醇和甲醇，易吸湿，在空气中易被氧化成碱式氯化高铁。</w:t>
                  </w:r>
                </w:p>
              </w:tc>
            </w:tr>
            <w:tr w14:paraId="087C6B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006B284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14</w:t>
                  </w:r>
                </w:p>
              </w:tc>
              <w:tc>
                <w:tcPr>
                  <w:tcW w:w="647" w:type="pct"/>
                  <w:tcBorders>
                    <w:tl2br w:val="nil"/>
                    <w:tr2bl w:val="nil"/>
                  </w:tcBorders>
                  <w:noWrap w:val="0"/>
                  <w:vAlign w:val="center"/>
                </w:tcPr>
                <w:p w14:paraId="325994D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乙酸</w:t>
                  </w:r>
                </w:p>
              </w:tc>
              <w:tc>
                <w:tcPr>
                  <w:tcW w:w="4001" w:type="pct"/>
                  <w:tcBorders>
                    <w:tl2br w:val="nil"/>
                    <w:tr2bl w:val="nil"/>
                  </w:tcBorders>
                  <w:noWrap w:val="0"/>
                  <w:vAlign w:val="center"/>
                </w:tcPr>
                <w:p w14:paraId="5AAF6C7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也叫醋酸，化学式为CH</w:t>
                  </w:r>
                  <w:r>
                    <w:rPr>
                      <w:rFonts w:hint="default" w:ascii="Times New Roman" w:hAnsi="Times New Roman" w:eastAsia="宋体" w:cs="Times New Roman"/>
                      <w:color w:val="auto"/>
                      <w:kern w:val="0"/>
                      <w:sz w:val="21"/>
                      <w:szCs w:val="21"/>
                      <w:highlight w:val="none"/>
                      <w:vertAlign w:val="sub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COOH，是一种有机一元酸，为食醋内酸味及刺激性气味的来源。是一种弱酸，乙酸具有腐蚀性，其蒸气对眼和鼻有刺激性作用。</w:t>
                  </w:r>
                </w:p>
              </w:tc>
            </w:tr>
            <w:tr w14:paraId="6F7E98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21F78EE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15</w:t>
                  </w:r>
                </w:p>
              </w:tc>
              <w:tc>
                <w:tcPr>
                  <w:tcW w:w="647" w:type="pct"/>
                  <w:tcBorders>
                    <w:tl2br w:val="nil"/>
                    <w:tr2bl w:val="nil"/>
                  </w:tcBorders>
                  <w:noWrap w:val="0"/>
                  <w:vAlign w:val="center"/>
                </w:tcPr>
                <w:p w14:paraId="30DAF71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sz w:val="21"/>
                      <w:szCs w:val="21"/>
                      <w:highlight w:val="none"/>
                      <w:lang w:val="en-US" w:eastAsia="zh-CN"/>
                    </w:rPr>
                    <w:t>双氧水</w:t>
                  </w:r>
                </w:p>
              </w:tc>
              <w:tc>
                <w:tcPr>
                  <w:tcW w:w="4001" w:type="pct"/>
                  <w:tcBorders>
                    <w:tl2br w:val="nil"/>
                    <w:tr2bl w:val="nil"/>
                  </w:tcBorders>
                  <w:noWrap w:val="0"/>
                  <w:vAlign w:val="center"/>
                </w:tcPr>
                <w:p w14:paraId="0D40C51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双氧水为过氧化氢的水</w:t>
                  </w:r>
                  <w:r>
                    <w:rPr>
                      <w:rFonts w:hint="default" w:ascii="Times New Roman" w:hAnsi="Times New Roman" w:cs="Times New Roman"/>
                      <w:color w:val="auto"/>
                      <w:kern w:val="2"/>
                      <w:sz w:val="21"/>
                      <w:szCs w:val="21"/>
                      <w:highlight w:val="none"/>
                      <w:u w:val="none"/>
                      <w:lang w:val="en-US" w:eastAsia="zh-CN" w:bidi="ar-SA"/>
                    </w:rPr>
                    <w:fldChar w:fldCharType="begin"/>
                  </w:r>
                  <w:r>
                    <w:rPr>
                      <w:rFonts w:hint="default" w:ascii="Times New Roman" w:hAnsi="Times New Roman" w:cs="Times New Roman"/>
                      <w:color w:val="auto"/>
                      <w:kern w:val="2"/>
                      <w:sz w:val="21"/>
                      <w:szCs w:val="21"/>
                      <w:highlight w:val="none"/>
                      <w:u w:val="none"/>
                      <w:lang w:val="en-US" w:eastAsia="zh-CN" w:bidi="ar-SA"/>
                    </w:rPr>
                    <w:instrText xml:space="preserve"> HYPERLINK "https://baike.baidu.com/item/%E6%BA%B6%E6%B6%B2/1050622?fromModule=lemma_inlink" \t "https://baike.baidu.com/item/_blank" </w:instrText>
                  </w:r>
                  <w:r>
                    <w:rPr>
                      <w:rFonts w:hint="default" w:ascii="Times New Roman" w:hAnsi="Times New Roman" w:cs="Times New Roman"/>
                      <w:color w:val="auto"/>
                      <w:kern w:val="2"/>
                      <w:sz w:val="21"/>
                      <w:szCs w:val="21"/>
                      <w:highlight w:val="none"/>
                      <w:u w:val="none"/>
                      <w:lang w:val="en-US" w:eastAsia="zh-CN" w:bidi="ar-SA"/>
                    </w:rPr>
                    <w:fldChar w:fldCharType="separate"/>
                  </w:r>
                  <w:r>
                    <w:rPr>
                      <w:rFonts w:hint="default" w:ascii="Times New Roman" w:hAnsi="Times New Roman" w:cs="Times New Roman"/>
                      <w:color w:val="auto"/>
                      <w:kern w:val="2"/>
                      <w:sz w:val="21"/>
                      <w:szCs w:val="21"/>
                      <w:highlight w:val="none"/>
                      <w:u w:val="none"/>
                      <w:lang w:val="en-US" w:eastAsia="zh-CN" w:bidi="ar-SA"/>
                    </w:rPr>
                    <w:t>溶液</w:t>
                  </w:r>
                  <w:r>
                    <w:rPr>
                      <w:rFonts w:hint="default" w:ascii="Times New Roman" w:hAnsi="Times New Roman" w:cs="Times New Roman"/>
                      <w:color w:val="auto"/>
                      <w:kern w:val="2"/>
                      <w:sz w:val="21"/>
                      <w:szCs w:val="21"/>
                      <w:highlight w:val="none"/>
                      <w:u w:val="none"/>
                      <w:lang w:val="en-US" w:eastAsia="zh-CN" w:bidi="ar-SA"/>
                    </w:rPr>
                    <w:fldChar w:fldCharType="end"/>
                  </w:r>
                  <w:r>
                    <w:rPr>
                      <w:rFonts w:hint="default" w:ascii="Times New Roman" w:hAnsi="Times New Roman" w:cs="Times New Roman"/>
                      <w:color w:val="auto"/>
                      <w:kern w:val="2"/>
                      <w:sz w:val="21"/>
                      <w:szCs w:val="21"/>
                      <w:highlight w:val="none"/>
                      <w:u w:val="none"/>
                      <w:lang w:val="en-US" w:eastAsia="zh-CN" w:bidi="ar-SA"/>
                    </w:rPr>
                    <w:t>，是无色、有轻刺激性气味且透明的液体，而纯的过氧化氢却为淡蓝色黏稠液体。过氧化氢能溶解于</w:t>
                  </w:r>
                  <w:r>
                    <w:rPr>
                      <w:rFonts w:hint="default" w:ascii="Times New Roman" w:hAnsi="Times New Roman" w:cs="Times New Roman"/>
                      <w:color w:val="auto"/>
                      <w:kern w:val="2"/>
                      <w:sz w:val="21"/>
                      <w:szCs w:val="21"/>
                      <w:highlight w:val="none"/>
                      <w:u w:val="none"/>
                      <w:lang w:val="en-US" w:eastAsia="zh-CN" w:bidi="ar-SA"/>
                    </w:rPr>
                    <w:fldChar w:fldCharType="begin"/>
                  </w:r>
                  <w:r>
                    <w:rPr>
                      <w:rFonts w:hint="default" w:ascii="Times New Roman" w:hAnsi="Times New Roman" w:cs="Times New Roman"/>
                      <w:color w:val="auto"/>
                      <w:kern w:val="2"/>
                      <w:sz w:val="21"/>
                      <w:szCs w:val="21"/>
                      <w:highlight w:val="none"/>
                      <w:u w:val="none"/>
                      <w:lang w:val="en-US" w:eastAsia="zh-CN" w:bidi="ar-SA"/>
                    </w:rPr>
                    <w:instrText xml:space="preserve"> HYPERLINK "https://baike.baidu.com/item/%E6%9E%81%E6%80%A7/795457?fromModule=lemma_inlink" \t "https://baike.baidu.com/item/_blank" </w:instrText>
                  </w:r>
                  <w:r>
                    <w:rPr>
                      <w:rFonts w:hint="default" w:ascii="Times New Roman" w:hAnsi="Times New Roman" w:cs="Times New Roman"/>
                      <w:color w:val="auto"/>
                      <w:kern w:val="2"/>
                      <w:sz w:val="21"/>
                      <w:szCs w:val="21"/>
                      <w:highlight w:val="none"/>
                      <w:u w:val="none"/>
                      <w:lang w:val="en-US" w:eastAsia="zh-CN" w:bidi="ar-SA"/>
                    </w:rPr>
                    <w:fldChar w:fldCharType="separate"/>
                  </w:r>
                  <w:r>
                    <w:rPr>
                      <w:rFonts w:hint="default" w:ascii="Times New Roman" w:hAnsi="Times New Roman" w:cs="Times New Roman"/>
                      <w:color w:val="auto"/>
                      <w:kern w:val="2"/>
                      <w:sz w:val="21"/>
                      <w:szCs w:val="21"/>
                      <w:highlight w:val="none"/>
                      <w:u w:val="none"/>
                      <w:lang w:val="en-US" w:eastAsia="zh-CN" w:bidi="ar-SA"/>
                    </w:rPr>
                    <w:t>极性</w:t>
                  </w:r>
                  <w:r>
                    <w:rPr>
                      <w:rFonts w:hint="default" w:ascii="Times New Roman" w:hAnsi="Times New Roman" w:cs="Times New Roman"/>
                      <w:color w:val="auto"/>
                      <w:kern w:val="2"/>
                      <w:sz w:val="21"/>
                      <w:szCs w:val="21"/>
                      <w:highlight w:val="none"/>
                      <w:u w:val="none"/>
                      <w:lang w:val="en-US" w:eastAsia="zh-CN" w:bidi="ar-SA"/>
                    </w:rPr>
                    <w:fldChar w:fldCharType="end"/>
                  </w:r>
                  <w:r>
                    <w:rPr>
                      <w:rFonts w:hint="default" w:ascii="Times New Roman" w:hAnsi="Times New Roman" w:cs="Times New Roman"/>
                      <w:color w:val="auto"/>
                      <w:kern w:val="2"/>
                      <w:sz w:val="21"/>
                      <w:szCs w:val="21"/>
                      <w:highlight w:val="none"/>
                      <w:u w:val="none"/>
                      <w:lang w:val="en-US" w:eastAsia="zh-CN" w:bidi="ar-SA"/>
                    </w:rPr>
                    <w:t>物质，如</w:t>
                  </w:r>
                  <w:r>
                    <w:rPr>
                      <w:rFonts w:hint="default" w:ascii="Times New Roman" w:hAnsi="Times New Roman" w:cs="Times New Roman"/>
                      <w:color w:val="auto"/>
                      <w:kern w:val="2"/>
                      <w:sz w:val="21"/>
                      <w:szCs w:val="21"/>
                      <w:highlight w:val="none"/>
                      <w:u w:val="none"/>
                      <w:lang w:val="en-US" w:eastAsia="zh-CN" w:bidi="ar-SA"/>
                    </w:rPr>
                    <w:fldChar w:fldCharType="begin"/>
                  </w:r>
                  <w:r>
                    <w:rPr>
                      <w:rFonts w:hint="default" w:ascii="Times New Roman" w:hAnsi="Times New Roman" w:cs="Times New Roman"/>
                      <w:color w:val="auto"/>
                      <w:kern w:val="2"/>
                      <w:sz w:val="21"/>
                      <w:szCs w:val="21"/>
                      <w:highlight w:val="none"/>
                      <w:u w:val="none"/>
                      <w:lang w:val="en-US" w:eastAsia="zh-CN" w:bidi="ar-SA"/>
                    </w:rPr>
                    <w:instrText xml:space="preserve"> HYPERLINK "https://baike.baidu.com/item/%E9%86%87/254166?fromModule=lemma_inlink" \t "https://baike.baidu.com/item/_blank" </w:instrText>
                  </w:r>
                  <w:r>
                    <w:rPr>
                      <w:rFonts w:hint="default" w:ascii="Times New Roman" w:hAnsi="Times New Roman" w:cs="Times New Roman"/>
                      <w:color w:val="auto"/>
                      <w:kern w:val="2"/>
                      <w:sz w:val="21"/>
                      <w:szCs w:val="21"/>
                      <w:highlight w:val="none"/>
                      <w:u w:val="none"/>
                      <w:lang w:val="en-US" w:eastAsia="zh-CN" w:bidi="ar-SA"/>
                    </w:rPr>
                    <w:fldChar w:fldCharType="separate"/>
                  </w:r>
                  <w:r>
                    <w:rPr>
                      <w:rFonts w:hint="default" w:ascii="Times New Roman" w:hAnsi="Times New Roman" w:cs="Times New Roman"/>
                      <w:color w:val="auto"/>
                      <w:kern w:val="2"/>
                      <w:sz w:val="21"/>
                      <w:szCs w:val="21"/>
                      <w:highlight w:val="none"/>
                      <w:u w:val="none"/>
                      <w:lang w:val="en-US" w:eastAsia="zh-CN" w:bidi="ar-SA"/>
                    </w:rPr>
                    <w:t>醇</w:t>
                  </w:r>
                  <w:r>
                    <w:rPr>
                      <w:rFonts w:hint="default" w:ascii="Times New Roman" w:hAnsi="Times New Roman" w:cs="Times New Roman"/>
                      <w:color w:val="auto"/>
                      <w:kern w:val="2"/>
                      <w:sz w:val="21"/>
                      <w:szCs w:val="21"/>
                      <w:highlight w:val="none"/>
                      <w:u w:val="none"/>
                      <w:lang w:val="en-US" w:eastAsia="zh-CN" w:bidi="ar-SA"/>
                    </w:rPr>
                    <w:fldChar w:fldCharType="end"/>
                  </w:r>
                  <w:r>
                    <w:rPr>
                      <w:rFonts w:hint="default" w:ascii="Times New Roman" w:hAnsi="Times New Roman" w:cs="Times New Roman"/>
                      <w:color w:val="auto"/>
                      <w:kern w:val="2"/>
                      <w:sz w:val="21"/>
                      <w:szCs w:val="21"/>
                      <w:highlight w:val="none"/>
                      <w:u w:val="none"/>
                      <w:lang w:val="en-US" w:eastAsia="zh-CN" w:bidi="ar-SA"/>
                    </w:rPr>
                    <w:t>和</w:t>
                  </w:r>
                  <w:r>
                    <w:rPr>
                      <w:rFonts w:hint="default" w:ascii="Times New Roman" w:hAnsi="Times New Roman" w:cs="Times New Roman"/>
                      <w:color w:val="auto"/>
                      <w:kern w:val="2"/>
                      <w:sz w:val="21"/>
                      <w:szCs w:val="21"/>
                      <w:highlight w:val="none"/>
                      <w:u w:val="none"/>
                      <w:lang w:val="en-US" w:eastAsia="zh-CN" w:bidi="ar-SA"/>
                    </w:rPr>
                    <w:fldChar w:fldCharType="begin"/>
                  </w:r>
                  <w:r>
                    <w:rPr>
                      <w:rFonts w:hint="default" w:ascii="Times New Roman" w:hAnsi="Times New Roman" w:cs="Times New Roman"/>
                      <w:color w:val="auto"/>
                      <w:kern w:val="2"/>
                      <w:sz w:val="21"/>
                      <w:szCs w:val="21"/>
                      <w:highlight w:val="none"/>
                      <w:u w:val="none"/>
                      <w:lang w:val="en-US" w:eastAsia="zh-CN" w:bidi="ar-SA"/>
                    </w:rPr>
                    <w:instrText xml:space="preserve"> HYPERLINK "https://baike.baidu.com/item/%E9%86%9A/1141483?fromModule=lemma_inlink" \t "https://baike.baidu.com/item/_blank" </w:instrText>
                  </w:r>
                  <w:r>
                    <w:rPr>
                      <w:rFonts w:hint="default" w:ascii="Times New Roman" w:hAnsi="Times New Roman" w:cs="Times New Roman"/>
                      <w:color w:val="auto"/>
                      <w:kern w:val="2"/>
                      <w:sz w:val="21"/>
                      <w:szCs w:val="21"/>
                      <w:highlight w:val="none"/>
                      <w:u w:val="none"/>
                      <w:lang w:val="en-US" w:eastAsia="zh-CN" w:bidi="ar-SA"/>
                    </w:rPr>
                    <w:fldChar w:fldCharType="separate"/>
                  </w:r>
                  <w:r>
                    <w:rPr>
                      <w:rFonts w:hint="default" w:ascii="Times New Roman" w:hAnsi="Times New Roman" w:cs="Times New Roman"/>
                      <w:color w:val="auto"/>
                      <w:kern w:val="2"/>
                      <w:sz w:val="21"/>
                      <w:szCs w:val="21"/>
                      <w:highlight w:val="none"/>
                      <w:u w:val="none"/>
                      <w:lang w:val="en-US" w:eastAsia="zh-CN" w:bidi="ar-SA"/>
                    </w:rPr>
                    <w:t>醚</w:t>
                  </w:r>
                  <w:r>
                    <w:rPr>
                      <w:rFonts w:hint="default" w:ascii="Times New Roman" w:hAnsi="Times New Roman" w:cs="Times New Roman"/>
                      <w:color w:val="auto"/>
                      <w:kern w:val="2"/>
                      <w:sz w:val="21"/>
                      <w:szCs w:val="21"/>
                      <w:highlight w:val="none"/>
                      <w:u w:val="none"/>
                      <w:lang w:val="en-US" w:eastAsia="zh-CN" w:bidi="ar-SA"/>
                    </w:rPr>
                    <w:fldChar w:fldCharType="end"/>
                  </w:r>
                  <w:r>
                    <w:rPr>
                      <w:rFonts w:hint="default" w:ascii="Times New Roman" w:hAnsi="Times New Roman" w:cs="Times New Roman"/>
                      <w:color w:val="auto"/>
                      <w:kern w:val="2"/>
                      <w:sz w:val="21"/>
                      <w:szCs w:val="21"/>
                      <w:highlight w:val="none"/>
                      <w:u w:val="none"/>
                      <w:lang w:val="en-US" w:eastAsia="zh-CN" w:bidi="ar-SA"/>
                    </w:rPr>
                    <w:t>，但难溶于非极性物质，如</w:t>
                  </w:r>
                  <w:r>
                    <w:rPr>
                      <w:rFonts w:hint="default" w:ascii="Times New Roman" w:hAnsi="Times New Roman" w:cs="Times New Roman"/>
                      <w:color w:val="auto"/>
                      <w:kern w:val="2"/>
                      <w:sz w:val="21"/>
                      <w:szCs w:val="21"/>
                      <w:highlight w:val="none"/>
                      <w:u w:val="none"/>
                      <w:lang w:val="en-US" w:eastAsia="zh-CN" w:bidi="ar-SA"/>
                    </w:rPr>
                    <w:fldChar w:fldCharType="begin"/>
                  </w:r>
                  <w:r>
                    <w:rPr>
                      <w:rFonts w:hint="default" w:ascii="Times New Roman" w:hAnsi="Times New Roman" w:cs="Times New Roman"/>
                      <w:color w:val="auto"/>
                      <w:kern w:val="2"/>
                      <w:sz w:val="21"/>
                      <w:szCs w:val="21"/>
                      <w:highlight w:val="none"/>
                      <w:u w:val="none"/>
                      <w:lang w:val="en-US" w:eastAsia="zh-CN" w:bidi="ar-SA"/>
                    </w:rPr>
                    <w:instrText xml:space="preserve"> HYPERLINK "https://baike.baidu.com/item/%E8%8B%AF/585785?fromModule=lemma_inlink" \t "https://baike.baidu.com/item/_blank" </w:instrText>
                  </w:r>
                  <w:r>
                    <w:rPr>
                      <w:rFonts w:hint="default" w:ascii="Times New Roman" w:hAnsi="Times New Roman" w:cs="Times New Roman"/>
                      <w:color w:val="auto"/>
                      <w:kern w:val="2"/>
                      <w:sz w:val="21"/>
                      <w:szCs w:val="21"/>
                      <w:highlight w:val="none"/>
                      <w:u w:val="none"/>
                      <w:lang w:val="en-US" w:eastAsia="zh-CN" w:bidi="ar-SA"/>
                    </w:rPr>
                    <w:fldChar w:fldCharType="separate"/>
                  </w:r>
                  <w:r>
                    <w:rPr>
                      <w:rFonts w:hint="default" w:ascii="Times New Roman" w:hAnsi="Times New Roman" w:cs="Times New Roman"/>
                      <w:color w:val="auto"/>
                      <w:kern w:val="2"/>
                      <w:sz w:val="21"/>
                      <w:szCs w:val="21"/>
                      <w:highlight w:val="none"/>
                      <w:u w:val="none"/>
                      <w:lang w:val="en-US" w:eastAsia="zh-CN" w:bidi="ar-SA"/>
                    </w:rPr>
                    <w:t>苯</w:t>
                  </w:r>
                  <w:r>
                    <w:rPr>
                      <w:rFonts w:hint="default" w:ascii="Times New Roman" w:hAnsi="Times New Roman" w:cs="Times New Roman"/>
                      <w:color w:val="auto"/>
                      <w:kern w:val="2"/>
                      <w:sz w:val="21"/>
                      <w:szCs w:val="21"/>
                      <w:highlight w:val="none"/>
                      <w:u w:val="none"/>
                      <w:lang w:val="en-US" w:eastAsia="zh-CN" w:bidi="ar-SA"/>
                    </w:rPr>
                    <w:fldChar w:fldCharType="end"/>
                  </w:r>
                  <w:r>
                    <w:rPr>
                      <w:rFonts w:hint="default" w:ascii="Times New Roman" w:hAnsi="Times New Roman" w:cs="Times New Roman"/>
                      <w:color w:val="auto"/>
                      <w:kern w:val="2"/>
                      <w:sz w:val="21"/>
                      <w:szCs w:val="21"/>
                      <w:highlight w:val="none"/>
                      <w:u w:val="none"/>
                      <w:lang w:val="en-US" w:eastAsia="zh-CN" w:bidi="ar-SA"/>
                    </w:rPr>
                    <w:t>和</w:t>
                  </w:r>
                  <w:r>
                    <w:rPr>
                      <w:rFonts w:hint="default" w:ascii="Times New Roman" w:hAnsi="Times New Roman" w:cs="Times New Roman"/>
                      <w:color w:val="auto"/>
                      <w:kern w:val="2"/>
                      <w:sz w:val="21"/>
                      <w:szCs w:val="21"/>
                      <w:highlight w:val="none"/>
                      <w:u w:val="none"/>
                      <w:lang w:val="en-US" w:eastAsia="zh-CN" w:bidi="ar-SA"/>
                    </w:rPr>
                    <w:fldChar w:fldCharType="begin"/>
                  </w:r>
                  <w:r>
                    <w:rPr>
                      <w:rFonts w:hint="default" w:ascii="Times New Roman" w:hAnsi="Times New Roman" w:cs="Times New Roman"/>
                      <w:color w:val="auto"/>
                      <w:kern w:val="2"/>
                      <w:sz w:val="21"/>
                      <w:szCs w:val="21"/>
                      <w:highlight w:val="none"/>
                      <w:u w:val="none"/>
                      <w:lang w:val="en-US" w:eastAsia="zh-CN" w:bidi="ar-SA"/>
                    </w:rPr>
                    <w:instrText xml:space="preserve"> HYPERLINK "https://baike.baidu.com/item/%E7%9F%B3%E6%B2%B9%E9%86%9A/2519986?fromModule=lemma_inlink" \t "https://baike.baidu.com/item/_blank" </w:instrText>
                  </w:r>
                  <w:r>
                    <w:rPr>
                      <w:rFonts w:hint="default" w:ascii="Times New Roman" w:hAnsi="Times New Roman" w:cs="Times New Roman"/>
                      <w:color w:val="auto"/>
                      <w:kern w:val="2"/>
                      <w:sz w:val="21"/>
                      <w:szCs w:val="21"/>
                      <w:highlight w:val="none"/>
                      <w:u w:val="none"/>
                      <w:lang w:val="en-US" w:eastAsia="zh-CN" w:bidi="ar-SA"/>
                    </w:rPr>
                    <w:fldChar w:fldCharType="separate"/>
                  </w:r>
                  <w:r>
                    <w:rPr>
                      <w:rFonts w:hint="default" w:ascii="Times New Roman" w:hAnsi="Times New Roman" w:cs="Times New Roman"/>
                      <w:color w:val="auto"/>
                      <w:kern w:val="2"/>
                      <w:sz w:val="21"/>
                      <w:szCs w:val="21"/>
                      <w:highlight w:val="none"/>
                      <w:u w:val="none"/>
                      <w:lang w:val="en-US" w:eastAsia="zh-CN" w:bidi="ar-SA"/>
                    </w:rPr>
                    <w:t>石油醚</w:t>
                  </w:r>
                  <w:r>
                    <w:rPr>
                      <w:rFonts w:hint="default" w:ascii="Times New Roman" w:hAnsi="Times New Roman" w:cs="Times New Roman"/>
                      <w:color w:val="auto"/>
                      <w:kern w:val="2"/>
                      <w:sz w:val="21"/>
                      <w:szCs w:val="21"/>
                      <w:highlight w:val="none"/>
                      <w:u w:val="none"/>
                      <w:lang w:val="en-US" w:eastAsia="zh-CN" w:bidi="ar-SA"/>
                    </w:rPr>
                    <w:fldChar w:fldCharType="end"/>
                  </w:r>
                  <w:r>
                    <w:rPr>
                      <w:rFonts w:hint="default" w:ascii="Times New Roman" w:hAnsi="Times New Roman" w:cs="Times New Roman"/>
                      <w:color w:val="auto"/>
                      <w:kern w:val="2"/>
                      <w:sz w:val="21"/>
                      <w:szCs w:val="21"/>
                      <w:highlight w:val="none"/>
                      <w:u w:val="none"/>
                      <w:lang w:val="en-US" w:eastAsia="zh-CN" w:bidi="ar-SA"/>
                    </w:rPr>
                    <w:t>，还能以任意比例与水互溶，常见市售浓度为</w:t>
                  </w:r>
                  <w:r>
                    <w:rPr>
                      <w:rFonts w:hint="default" w:ascii="Times New Roman" w:hAnsi="Times New Roman" w:cs="Times New Roman"/>
                      <w:color w:val="auto"/>
                      <w:kern w:val="2"/>
                      <w:sz w:val="21"/>
                      <w:szCs w:val="21"/>
                      <w:highlight w:val="none"/>
                      <w:u w:val="none"/>
                      <w:lang w:val="en-US" w:eastAsia="zh-CN" w:bidi="ar-SA"/>
                    </w:rPr>
                    <w:fldChar w:fldCharType="begin"/>
                  </w:r>
                  <w:r>
                    <w:rPr>
                      <w:rFonts w:hint="default" w:ascii="Times New Roman" w:hAnsi="Times New Roman" w:cs="Times New Roman"/>
                      <w:color w:val="auto"/>
                      <w:kern w:val="2"/>
                      <w:sz w:val="21"/>
                      <w:szCs w:val="21"/>
                      <w:highlight w:val="none"/>
                      <w:u w:val="none"/>
                      <w:lang w:val="en-US" w:eastAsia="zh-CN" w:bidi="ar-SA"/>
                    </w:rPr>
                    <w:instrText xml:space="preserve"> HYPERLINK "https://baike.baidu.com/item/%E8%B4%A8%E9%87%8F%E5%88%86%E6%95%B0/8118317?fromModule=lemma_inlink" \t "https://baike.baidu.com/item/_blank" </w:instrText>
                  </w:r>
                  <w:r>
                    <w:rPr>
                      <w:rFonts w:hint="default" w:ascii="Times New Roman" w:hAnsi="Times New Roman" w:cs="Times New Roman"/>
                      <w:color w:val="auto"/>
                      <w:kern w:val="2"/>
                      <w:sz w:val="21"/>
                      <w:szCs w:val="21"/>
                      <w:highlight w:val="none"/>
                      <w:u w:val="none"/>
                      <w:lang w:val="en-US" w:eastAsia="zh-CN" w:bidi="ar-SA"/>
                    </w:rPr>
                    <w:fldChar w:fldCharType="separate"/>
                  </w:r>
                  <w:r>
                    <w:rPr>
                      <w:rFonts w:hint="default" w:ascii="Times New Roman" w:hAnsi="Times New Roman" w:cs="Times New Roman"/>
                      <w:color w:val="auto"/>
                      <w:kern w:val="2"/>
                      <w:sz w:val="21"/>
                      <w:szCs w:val="21"/>
                      <w:highlight w:val="none"/>
                      <w:u w:val="none"/>
                      <w:lang w:val="en-US" w:eastAsia="zh-CN" w:bidi="ar-SA"/>
                    </w:rPr>
                    <w:t>质量分数</w:t>
                  </w:r>
                  <w:r>
                    <w:rPr>
                      <w:rFonts w:hint="default" w:ascii="Times New Roman" w:hAnsi="Times New Roman" w:cs="Times New Roman"/>
                      <w:color w:val="auto"/>
                      <w:kern w:val="2"/>
                      <w:sz w:val="21"/>
                      <w:szCs w:val="21"/>
                      <w:highlight w:val="none"/>
                      <w:u w:val="none"/>
                      <w:lang w:val="en-US" w:eastAsia="zh-CN" w:bidi="ar-SA"/>
                    </w:rPr>
                    <w:fldChar w:fldCharType="end"/>
                  </w:r>
                  <w:r>
                    <w:rPr>
                      <w:rFonts w:hint="default" w:ascii="Times New Roman" w:hAnsi="Times New Roman" w:cs="Times New Roman"/>
                      <w:color w:val="auto"/>
                      <w:kern w:val="2"/>
                      <w:sz w:val="21"/>
                      <w:szCs w:val="21"/>
                      <w:highlight w:val="none"/>
                      <w:u w:val="none"/>
                      <w:lang w:val="en-US" w:eastAsia="zh-CN" w:bidi="ar-SA"/>
                    </w:rPr>
                    <w:t>为30%和3%两种规格。</w:t>
                  </w:r>
                  <w:r>
                    <w:rPr>
                      <w:rFonts w:hint="default" w:ascii="Times New Roman" w:hAnsi="Times New Roman" w:eastAsia="Helvetica" w:cs="Times New Roman"/>
                      <w:i w:val="0"/>
                      <w:iCs w:val="0"/>
                      <w:caps w:val="0"/>
                      <w:color w:val="auto"/>
                      <w:spacing w:val="0"/>
                      <w:sz w:val="21"/>
                      <w:szCs w:val="21"/>
                      <w:highlight w:val="none"/>
                      <w:shd w:val="clear" w:color="auto" w:fill="FFFFFF"/>
                    </w:rPr>
                    <w:t>双氧水（常以</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H</w:t>
                  </w:r>
                  <w:r>
                    <w:rPr>
                      <w:rFonts w:hint="default" w:ascii="Times New Roman" w:hAnsi="Times New Roman" w:eastAsia="宋体" w:cs="Times New Roman"/>
                      <w:i w:val="0"/>
                      <w:iCs w:val="0"/>
                      <w:caps w:val="0"/>
                      <w:color w:val="auto"/>
                      <w:spacing w:val="0"/>
                      <w:sz w:val="21"/>
                      <w:szCs w:val="21"/>
                      <w:highlight w:val="none"/>
                      <w:shd w:val="clear" w:color="auto" w:fill="FFFFFF"/>
                      <w:vertAlign w:val="subscript"/>
                      <w:lang w:val="en-US" w:eastAsia="zh-CN"/>
                    </w:rPr>
                    <w:t>2</w:t>
                  </w:r>
                  <w:r>
                    <w:rPr>
                      <w:rFonts w:hint="default" w:ascii="Times New Roman" w:hAnsi="Times New Roman" w:eastAsia="宋体" w:cs="Times New Roman"/>
                      <w:i w:val="0"/>
                      <w:iCs w:val="0"/>
                      <w:caps w:val="0"/>
                      <w:color w:val="auto"/>
                      <w:spacing w:val="0"/>
                      <w:sz w:val="21"/>
                      <w:szCs w:val="21"/>
                      <w:highlight w:val="none"/>
                      <w:shd w:val="clear" w:color="auto" w:fill="FFFFFF"/>
                      <w:lang w:val="en-US" w:eastAsia="zh-CN"/>
                    </w:rPr>
                    <w:t>O</w:t>
                  </w:r>
                  <w:r>
                    <w:rPr>
                      <w:rFonts w:hint="default" w:ascii="Times New Roman" w:hAnsi="Times New Roman" w:eastAsia="宋体" w:cs="Times New Roman"/>
                      <w:i w:val="0"/>
                      <w:iCs w:val="0"/>
                      <w:caps w:val="0"/>
                      <w:color w:val="auto"/>
                      <w:spacing w:val="0"/>
                      <w:sz w:val="21"/>
                      <w:szCs w:val="21"/>
                      <w:highlight w:val="none"/>
                      <w:shd w:val="clear" w:color="auto" w:fill="FFFFFF"/>
                      <w:vertAlign w:val="subscript"/>
                      <w:lang w:val="en-US" w:eastAsia="zh-CN"/>
                    </w:rPr>
                    <w:t>2</w:t>
                  </w:r>
                  <w:r>
                    <w:rPr>
                      <w:rFonts w:hint="default" w:ascii="Times New Roman" w:hAnsi="Times New Roman" w:eastAsia="Helvetica" w:cs="Times New Roman"/>
                      <w:i w:val="0"/>
                      <w:iCs w:val="0"/>
                      <w:caps w:val="0"/>
                      <w:color w:val="auto"/>
                      <w:spacing w:val="0"/>
                      <w:sz w:val="21"/>
                      <w:szCs w:val="21"/>
                      <w:highlight w:val="none"/>
                      <w:shd w:val="clear" w:color="auto" w:fill="FFFFFF"/>
                    </w:rPr>
                    <w:t>符号表示）具有强氧化性、漂白性、弱还原性、弱酸性、不稳定性等特点。</w:t>
                  </w:r>
                </w:p>
              </w:tc>
            </w:tr>
            <w:tr w14:paraId="70C005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64825EB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16</w:t>
                  </w:r>
                </w:p>
              </w:tc>
              <w:tc>
                <w:tcPr>
                  <w:tcW w:w="647" w:type="pct"/>
                  <w:tcBorders>
                    <w:tl2br w:val="nil"/>
                    <w:tr2bl w:val="nil"/>
                  </w:tcBorders>
                  <w:noWrap w:val="0"/>
                  <w:vAlign w:val="center"/>
                </w:tcPr>
                <w:p w14:paraId="44EE6DC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乙酸乙酯</w:t>
                  </w:r>
                </w:p>
              </w:tc>
              <w:tc>
                <w:tcPr>
                  <w:tcW w:w="4001" w:type="pct"/>
                  <w:tcBorders>
                    <w:tl2br w:val="nil"/>
                    <w:tr2bl w:val="nil"/>
                  </w:tcBorders>
                  <w:noWrap w:val="0"/>
                  <w:vAlign w:val="center"/>
                </w:tcPr>
                <w:p w14:paraId="442D514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密度：0.902g/cm</w:t>
                  </w:r>
                  <w:r>
                    <w:rPr>
                      <w:rFonts w:hint="default" w:ascii="Times New Roman" w:hAnsi="Times New Roman" w:cs="Times New Roman"/>
                      <w:color w:val="auto"/>
                      <w:kern w:val="2"/>
                      <w:sz w:val="21"/>
                      <w:szCs w:val="21"/>
                      <w:highlight w:val="none"/>
                      <w:u w:val="none"/>
                      <w:vertAlign w:val="superscript"/>
                      <w:lang w:val="en-US" w:eastAsia="zh-CN" w:bidi="ar-SA"/>
                    </w:rPr>
                    <w:t>3</w:t>
                  </w:r>
                  <w:r>
                    <w:rPr>
                      <w:rFonts w:hint="default" w:ascii="Times New Roman" w:hAnsi="Times New Roman" w:cs="Times New Roman"/>
                      <w:color w:val="auto"/>
                      <w:kern w:val="2"/>
                      <w:sz w:val="21"/>
                      <w:szCs w:val="21"/>
                      <w:highlight w:val="none"/>
                      <w:u w:val="none"/>
                      <w:lang w:val="en-US" w:eastAsia="zh-CN" w:bidi="ar-SA"/>
                    </w:rPr>
                    <w:t>，熔点：-84℃，沸点：76.6-77.5℃。外观：无色液体。溶解性：微溶于水，溶于乙醇、丙酮、乙醚、氯仿、苯等多数有机溶剂。</w:t>
                  </w:r>
                  <w:r>
                    <w:rPr>
                      <w:rFonts w:hint="default" w:ascii="Times New Roman" w:hAnsi="Times New Roman" w:eastAsia="宋体" w:cs="Times New Roman"/>
                      <w:color w:val="auto"/>
                      <w:sz w:val="21"/>
                      <w:szCs w:val="21"/>
                      <w:highlight w:val="none"/>
                      <w:lang w:val="en-US" w:eastAsia="zh-CN"/>
                    </w:rPr>
                    <w:t>乙酸乙酯</w:t>
                  </w:r>
                  <w:r>
                    <w:rPr>
                      <w:rFonts w:hint="default" w:ascii="Times New Roman" w:hAnsi="Times New Roman" w:cs="Times New Roman"/>
                      <w:color w:val="auto"/>
                      <w:kern w:val="2"/>
                      <w:sz w:val="21"/>
                      <w:szCs w:val="21"/>
                      <w:highlight w:val="none"/>
                      <w:u w:val="none"/>
                      <w:lang w:val="en-US" w:eastAsia="zh-CN" w:bidi="ar-SA"/>
                    </w:rPr>
                    <w:t>又称醋酸乙酯，是一种</w:t>
                  </w:r>
                  <w:r>
                    <w:rPr>
                      <w:rFonts w:hint="default" w:ascii="Times New Roman" w:hAnsi="Times New Roman" w:cs="Times New Roman"/>
                      <w:color w:val="auto"/>
                      <w:kern w:val="2"/>
                      <w:sz w:val="21"/>
                      <w:szCs w:val="21"/>
                      <w:highlight w:val="none"/>
                      <w:u w:val="none"/>
                      <w:lang w:val="en-US" w:eastAsia="zh-CN" w:bidi="ar-SA"/>
                    </w:rPr>
                    <w:fldChar w:fldCharType="begin"/>
                  </w:r>
                  <w:r>
                    <w:rPr>
                      <w:rFonts w:hint="default" w:ascii="Times New Roman" w:hAnsi="Times New Roman" w:cs="Times New Roman"/>
                      <w:color w:val="auto"/>
                      <w:kern w:val="2"/>
                      <w:sz w:val="21"/>
                      <w:szCs w:val="21"/>
                      <w:highlight w:val="none"/>
                      <w:u w:val="none"/>
                      <w:lang w:val="en-US" w:eastAsia="zh-CN" w:bidi="ar-SA"/>
                    </w:rPr>
                    <w:instrText xml:space="preserve"> HYPERLINK "https://baike.baidu.com/item/%E6%9C%89%E6%9C%BA%E5%8C%96%E5%90%88%E7%89%A9/2950156?fromModule=lemma_inlink" \t "https://baike.baidu.com/item/_blank" </w:instrText>
                  </w:r>
                  <w:r>
                    <w:rPr>
                      <w:rFonts w:hint="default" w:ascii="Times New Roman" w:hAnsi="Times New Roman" w:cs="Times New Roman"/>
                      <w:color w:val="auto"/>
                      <w:kern w:val="2"/>
                      <w:sz w:val="21"/>
                      <w:szCs w:val="21"/>
                      <w:highlight w:val="none"/>
                      <w:u w:val="none"/>
                      <w:lang w:val="en-US" w:eastAsia="zh-CN" w:bidi="ar-SA"/>
                    </w:rPr>
                    <w:fldChar w:fldCharType="separate"/>
                  </w:r>
                  <w:r>
                    <w:rPr>
                      <w:rFonts w:hint="default" w:ascii="Times New Roman" w:hAnsi="Times New Roman" w:cs="Times New Roman"/>
                      <w:color w:val="auto"/>
                      <w:kern w:val="2"/>
                      <w:sz w:val="21"/>
                      <w:szCs w:val="21"/>
                      <w:highlight w:val="none"/>
                      <w:u w:val="none"/>
                      <w:lang w:val="en-US" w:eastAsia="zh-CN" w:bidi="ar-SA"/>
                    </w:rPr>
                    <w:t>有机化合物</w:t>
                  </w:r>
                  <w:r>
                    <w:rPr>
                      <w:rFonts w:hint="default" w:ascii="Times New Roman" w:hAnsi="Times New Roman" w:cs="Times New Roman"/>
                      <w:color w:val="auto"/>
                      <w:kern w:val="2"/>
                      <w:sz w:val="21"/>
                      <w:szCs w:val="21"/>
                      <w:highlight w:val="none"/>
                      <w:u w:val="none"/>
                      <w:lang w:val="en-US" w:eastAsia="zh-CN" w:bidi="ar-SA"/>
                    </w:rPr>
                    <w:fldChar w:fldCharType="end"/>
                  </w:r>
                  <w:r>
                    <w:rPr>
                      <w:rFonts w:hint="default" w:ascii="Times New Roman" w:hAnsi="Times New Roman" w:cs="Times New Roman"/>
                      <w:color w:val="auto"/>
                      <w:kern w:val="2"/>
                      <w:sz w:val="21"/>
                      <w:szCs w:val="21"/>
                      <w:highlight w:val="none"/>
                      <w:u w:val="none"/>
                      <w:lang w:val="en-US" w:eastAsia="zh-CN" w:bidi="ar-SA"/>
                    </w:rPr>
                    <w:t>，化学式为C</w:t>
                  </w:r>
                  <w:r>
                    <w:rPr>
                      <w:rFonts w:hint="default" w:ascii="Times New Roman" w:hAnsi="Times New Roman" w:cs="Times New Roman"/>
                      <w:color w:val="auto"/>
                      <w:kern w:val="2"/>
                      <w:sz w:val="21"/>
                      <w:szCs w:val="21"/>
                      <w:highlight w:val="none"/>
                      <w:u w:val="none"/>
                      <w:vertAlign w:val="subscript"/>
                      <w:lang w:val="en-US" w:eastAsia="zh-CN" w:bidi="ar-SA"/>
                    </w:rPr>
                    <w:t>4</w:t>
                  </w:r>
                  <w:r>
                    <w:rPr>
                      <w:rFonts w:hint="default" w:ascii="Times New Roman" w:hAnsi="Times New Roman" w:cs="Times New Roman"/>
                      <w:color w:val="auto"/>
                      <w:kern w:val="2"/>
                      <w:sz w:val="21"/>
                      <w:szCs w:val="21"/>
                      <w:highlight w:val="none"/>
                      <w:u w:val="none"/>
                      <w:lang w:val="en-US" w:eastAsia="zh-CN" w:bidi="ar-SA"/>
                    </w:rPr>
                    <w:t>H</w:t>
                  </w:r>
                  <w:r>
                    <w:rPr>
                      <w:rFonts w:hint="default" w:ascii="Times New Roman" w:hAnsi="Times New Roman" w:cs="Times New Roman"/>
                      <w:color w:val="auto"/>
                      <w:kern w:val="2"/>
                      <w:sz w:val="21"/>
                      <w:szCs w:val="21"/>
                      <w:highlight w:val="none"/>
                      <w:u w:val="none"/>
                      <w:vertAlign w:val="subscript"/>
                      <w:lang w:val="en-US" w:eastAsia="zh-CN" w:bidi="ar-SA"/>
                    </w:rPr>
                    <w:t>8</w:t>
                  </w:r>
                  <w:r>
                    <w:rPr>
                      <w:rFonts w:hint="default" w:ascii="Times New Roman" w:hAnsi="Times New Roman" w:cs="Times New Roman"/>
                      <w:color w:val="auto"/>
                      <w:kern w:val="2"/>
                      <w:sz w:val="21"/>
                      <w:szCs w:val="21"/>
                      <w:highlight w:val="none"/>
                      <w:u w:val="none"/>
                      <w:lang w:val="en-US" w:eastAsia="zh-CN" w:bidi="ar-SA"/>
                    </w:rPr>
                    <w:t>O</w:t>
                  </w:r>
                  <w:r>
                    <w:rPr>
                      <w:rFonts w:hint="default" w:ascii="Times New Roman" w:hAnsi="Times New Roman" w:cs="Times New Roman"/>
                      <w:color w:val="auto"/>
                      <w:kern w:val="2"/>
                      <w:sz w:val="21"/>
                      <w:szCs w:val="21"/>
                      <w:highlight w:val="none"/>
                      <w:u w:val="none"/>
                      <w:vertAlign w:val="subscript"/>
                      <w:lang w:val="en-US" w:eastAsia="zh-CN" w:bidi="ar-SA"/>
                    </w:rPr>
                    <w:t>2</w:t>
                  </w:r>
                  <w:r>
                    <w:rPr>
                      <w:rFonts w:hint="default" w:ascii="Times New Roman" w:hAnsi="Times New Roman" w:cs="Times New Roman"/>
                      <w:color w:val="auto"/>
                      <w:kern w:val="2"/>
                      <w:sz w:val="21"/>
                      <w:szCs w:val="21"/>
                      <w:highlight w:val="none"/>
                      <w:u w:val="none"/>
                      <w:lang w:val="en-US" w:eastAsia="zh-CN" w:bidi="ar-SA"/>
                    </w:rPr>
                    <w:t>，是一种具有官能团-COOR的酯类（碳与氧之间是双键），能发生醇解、氨解、酯交换、还原等一般酯的共同反应，主要用作溶剂、食用香料、清洗去油剂。</w:t>
                  </w:r>
                </w:p>
              </w:tc>
            </w:tr>
            <w:tr w14:paraId="34E223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1F4A2FC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17</w:t>
                  </w:r>
                </w:p>
              </w:tc>
              <w:tc>
                <w:tcPr>
                  <w:tcW w:w="647" w:type="pct"/>
                  <w:tcBorders>
                    <w:tl2br w:val="nil"/>
                    <w:tr2bl w:val="nil"/>
                  </w:tcBorders>
                  <w:noWrap w:val="0"/>
                  <w:vAlign w:val="center"/>
                </w:tcPr>
                <w:p w14:paraId="069889E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碘酒</w:t>
                  </w:r>
                </w:p>
              </w:tc>
              <w:tc>
                <w:tcPr>
                  <w:tcW w:w="4001" w:type="pct"/>
                  <w:tcBorders>
                    <w:tl2br w:val="nil"/>
                    <w:tr2bl w:val="nil"/>
                  </w:tcBorders>
                  <w:noWrap w:val="0"/>
                  <w:vAlign w:val="center"/>
                </w:tcPr>
                <w:p w14:paraId="79FE5C7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通常指由2%~7%的碘单质与碘化钾或碘化钠溶于酒精和水的混合液构成的消毒液。</w:t>
                  </w:r>
                </w:p>
              </w:tc>
            </w:tr>
            <w:tr w14:paraId="5E1059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69435C1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18</w:t>
                  </w:r>
                </w:p>
              </w:tc>
              <w:tc>
                <w:tcPr>
                  <w:tcW w:w="647" w:type="pct"/>
                  <w:tcBorders>
                    <w:tl2br w:val="nil"/>
                    <w:tr2bl w:val="nil"/>
                  </w:tcBorders>
                  <w:noWrap w:val="0"/>
                  <w:vAlign w:val="center"/>
                </w:tcPr>
                <w:p w14:paraId="1687AC9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斐林试剂</w:t>
                  </w:r>
                </w:p>
              </w:tc>
              <w:tc>
                <w:tcPr>
                  <w:tcW w:w="4001" w:type="pct"/>
                  <w:tcBorders>
                    <w:tl2br w:val="nil"/>
                    <w:tr2bl w:val="nil"/>
                  </w:tcBorders>
                  <w:noWrap w:val="0"/>
                  <w:vAlign w:val="center"/>
                </w:tcPr>
                <w:p w14:paraId="5EFA3DD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由氢氧化钠的含量为0.1g/mL的溶液和硫酸铜的含量为0.05g/mL的溶液，还有含量为0.2g/mL酒石酸钾钠配制而成的，常用于鉴定可溶性的还原性糖的存在，斐林试剂与单糖中的还原性糖（葡萄糖、果糖等）反应生成砖红色沉淀。</w:t>
                  </w:r>
                </w:p>
              </w:tc>
            </w:tr>
            <w:tr w14:paraId="29D70A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6E8226F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19</w:t>
                  </w:r>
                </w:p>
              </w:tc>
              <w:tc>
                <w:tcPr>
                  <w:tcW w:w="647" w:type="pct"/>
                  <w:tcBorders>
                    <w:tl2br w:val="nil"/>
                    <w:tr2bl w:val="nil"/>
                  </w:tcBorders>
                  <w:noWrap w:val="0"/>
                  <w:vAlign w:val="center"/>
                </w:tcPr>
                <w:p w14:paraId="6ED0DB7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双缩脲试剂</w:t>
                  </w:r>
                </w:p>
              </w:tc>
              <w:tc>
                <w:tcPr>
                  <w:tcW w:w="4001" w:type="pct"/>
                  <w:tcBorders>
                    <w:tl2br w:val="nil"/>
                    <w:tr2bl w:val="nil"/>
                  </w:tcBorders>
                  <w:noWrap w:val="0"/>
                  <w:vAlign w:val="center"/>
                </w:tcPr>
                <w:p w14:paraId="1B74A22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是一种用于鉴定蛋白质的分析化学试剂，是一种碱性的含铜试液，呈蓝色，由0.1g/mL氢氧化钠或氢氧化钾、0.01g/mL硫酸铜和酒石酸钾钠配制，遇到蛋白质显紫色。</w:t>
                  </w:r>
                </w:p>
              </w:tc>
            </w:tr>
            <w:tr w14:paraId="2CC88D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72961CD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20</w:t>
                  </w:r>
                </w:p>
              </w:tc>
              <w:tc>
                <w:tcPr>
                  <w:tcW w:w="647" w:type="pct"/>
                  <w:tcBorders>
                    <w:tl2br w:val="nil"/>
                    <w:tr2bl w:val="nil"/>
                  </w:tcBorders>
                  <w:noWrap w:val="0"/>
                  <w:vAlign w:val="center"/>
                </w:tcPr>
                <w:p w14:paraId="689C8DF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石油醚</w:t>
                  </w:r>
                </w:p>
              </w:tc>
              <w:tc>
                <w:tcPr>
                  <w:tcW w:w="4001" w:type="pct"/>
                  <w:tcBorders>
                    <w:tl2br w:val="nil"/>
                    <w:tr2bl w:val="nil"/>
                  </w:tcBorders>
                  <w:noWrap w:val="0"/>
                  <w:vAlign w:val="center"/>
                </w:tcPr>
                <w:p w14:paraId="6A3CF8D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是一种无色透明液体，有煤油气味，主要为戊烷和己烷的混合物，不溶于水，溶于无水乙醇、苯、氯仿、油类等多数有机溶剂，易燃易爆，与氧化剂可强烈反应，主要用作溶剂和油脂处理。</w:t>
                  </w:r>
                </w:p>
              </w:tc>
            </w:tr>
            <w:tr w14:paraId="520349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7A30880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cs="Times New Roman"/>
                      <w:color w:val="auto"/>
                      <w:kern w:val="2"/>
                      <w:sz w:val="21"/>
                      <w:szCs w:val="21"/>
                      <w:highlight w:val="none"/>
                      <w:u w:val="none"/>
                      <w:lang w:val="en-US" w:eastAsia="zh-CN" w:bidi="ar-SA"/>
                    </w:rPr>
                    <w:t>21</w:t>
                  </w:r>
                </w:p>
              </w:tc>
              <w:tc>
                <w:tcPr>
                  <w:tcW w:w="647" w:type="pct"/>
                  <w:tcBorders>
                    <w:tl2br w:val="nil"/>
                    <w:tr2bl w:val="nil"/>
                  </w:tcBorders>
                  <w:noWrap w:val="0"/>
                  <w:vAlign w:val="center"/>
                </w:tcPr>
                <w:p w14:paraId="655E3B4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龙胆紫</w:t>
                  </w:r>
                </w:p>
              </w:tc>
              <w:tc>
                <w:tcPr>
                  <w:tcW w:w="4001" w:type="pct"/>
                  <w:tcBorders>
                    <w:tl2br w:val="nil"/>
                    <w:tr2bl w:val="nil"/>
                  </w:tcBorders>
                  <w:noWrap w:val="0"/>
                  <w:vAlign w:val="center"/>
                </w:tcPr>
                <w:p w14:paraId="74ABB8A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u w:val="none"/>
                    </w:rPr>
                  </w:pPr>
                  <w:r>
                    <w:rPr>
                      <w:rFonts w:hint="default" w:ascii="Times New Roman" w:hAnsi="Times New Roman" w:eastAsia="宋体" w:cs="Times New Roman"/>
                      <w:color w:val="auto"/>
                      <w:kern w:val="0"/>
                      <w:sz w:val="21"/>
                      <w:szCs w:val="21"/>
                      <w:highlight w:val="none"/>
                      <w:lang w:val="en-US" w:eastAsia="zh-CN" w:bidi="ar"/>
                    </w:rPr>
                    <w:t>甲紫，绿色带有金属光泽结晶或深绿色结晶性粉末，水溶液和乙醇液呈紫色，几乎不溶于乙醚。酸碱指示剂，pH0.5（绿）~2.0（蓝）；非水溶液滴定指示剂。</w:t>
                  </w:r>
                </w:p>
              </w:tc>
            </w:tr>
            <w:tr w14:paraId="555369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4D8B363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u w:val="none"/>
                      <w:lang w:val="en-US" w:eastAsia="zh-CN" w:bidi="ar-SA"/>
                    </w:rPr>
                  </w:pPr>
                  <w:r>
                    <w:rPr>
                      <w:rFonts w:hint="default" w:ascii="Times New Roman" w:hAnsi="Times New Roman" w:cs="Times New Roman"/>
                      <w:color w:val="auto"/>
                      <w:sz w:val="21"/>
                      <w:szCs w:val="21"/>
                      <w:highlight w:val="none"/>
                      <w:u w:val="none"/>
                      <w:lang w:val="en-US" w:eastAsia="zh-CN"/>
                    </w:rPr>
                    <w:t>22</w:t>
                  </w:r>
                </w:p>
              </w:tc>
              <w:tc>
                <w:tcPr>
                  <w:tcW w:w="647" w:type="pct"/>
                  <w:tcBorders>
                    <w:tl2br w:val="nil"/>
                    <w:tr2bl w:val="nil"/>
                  </w:tcBorders>
                  <w:noWrap w:val="0"/>
                  <w:vAlign w:val="center"/>
                </w:tcPr>
                <w:p w14:paraId="215A6B5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rPr>
                    <w:t>醋酸洋红</w:t>
                  </w:r>
                </w:p>
              </w:tc>
              <w:tc>
                <w:tcPr>
                  <w:tcW w:w="4001" w:type="pct"/>
                  <w:tcBorders>
                    <w:tl2br w:val="nil"/>
                    <w:tr2bl w:val="nil"/>
                  </w:tcBorders>
                  <w:noWrap w:val="0"/>
                  <w:vAlign w:val="center"/>
                </w:tcPr>
                <w:p w14:paraId="29BE3D8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是一种比较常用的碱性染料，常用于细胞核染色、染色体的固定和染色。</w:t>
                  </w:r>
                </w:p>
              </w:tc>
            </w:tr>
            <w:tr w14:paraId="1C0769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85" w:type="dxa"/>
                  <w:left w:w="108" w:type="dxa"/>
                  <w:bottom w:w="85" w:type="dxa"/>
                  <w:right w:w="108" w:type="dxa"/>
                </w:tblCellMar>
              </w:tblPrEx>
              <w:trPr>
                <w:trHeight w:val="23" w:hRule="atLeast"/>
                <w:jc w:val="center"/>
              </w:trPr>
              <w:tc>
                <w:tcPr>
                  <w:tcW w:w="351" w:type="pct"/>
                  <w:tcBorders>
                    <w:tl2br w:val="nil"/>
                    <w:tr2bl w:val="nil"/>
                  </w:tcBorders>
                  <w:noWrap w:val="0"/>
                  <w:vAlign w:val="center"/>
                </w:tcPr>
                <w:p w14:paraId="0F04A52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23</w:t>
                  </w:r>
                </w:p>
              </w:tc>
              <w:tc>
                <w:tcPr>
                  <w:tcW w:w="647" w:type="pct"/>
                  <w:tcBorders>
                    <w:tl2br w:val="nil"/>
                    <w:tr2bl w:val="nil"/>
                  </w:tcBorders>
                  <w:noWrap w:val="0"/>
                  <w:vAlign w:val="center"/>
                </w:tcPr>
                <w:p w14:paraId="3717C91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rPr>
                    <w:t>卡诺氏液</w:t>
                  </w:r>
                </w:p>
              </w:tc>
              <w:tc>
                <w:tcPr>
                  <w:tcW w:w="4001" w:type="pct"/>
                  <w:tcBorders>
                    <w:tl2br w:val="nil"/>
                    <w:tr2bl w:val="nil"/>
                  </w:tcBorders>
                  <w:noWrap w:val="0"/>
                  <w:vAlign w:val="center"/>
                </w:tcPr>
                <w:p w14:paraId="43E55F7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适用于一般植物组织和细胞的固定，常用于根尖、花药压片及子房石蜡切片等，有极快的渗透力。固定液的重要特性是能迅速穿透细胞，将其固定并维持染色体结构的完整性，还能够增强染色体的嗜碱性，达到优良染色效果。</w:t>
                  </w:r>
                </w:p>
              </w:tc>
            </w:tr>
          </w:tbl>
          <w:p w14:paraId="37A8400D">
            <w:pPr>
              <w:pStyle w:val="3"/>
              <w:keepNext w:val="0"/>
              <w:keepLines w:val="0"/>
              <w:pageBreakBefore w:val="0"/>
              <w:widowControl w:val="0"/>
              <w:kinsoku/>
              <w:wordWrap/>
              <w:overflowPunct/>
              <w:topLinePunct w:val="0"/>
              <w:autoSpaceDE/>
              <w:autoSpaceDN/>
              <w:bidi w:val="0"/>
              <w:adjustRightInd/>
              <w:snapToGrid/>
              <w:ind w:left="202" w:leftChars="0" w:firstLine="482" w:firstLineChars="0"/>
              <w:textAlignment w:val="auto"/>
              <w:rPr>
                <w:rFonts w:hint="eastAsia"/>
                <w:b/>
                <w:bCs/>
                <w:color w:val="auto"/>
                <w:highlight w:val="none"/>
                <w:lang w:val="en-US" w:eastAsia="zh-CN"/>
              </w:rPr>
            </w:pPr>
            <w:bookmarkStart w:id="12" w:name="_Toc24288"/>
            <w:bookmarkStart w:id="13" w:name="_Toc3416"/>
            <w:r>
              <w:rPr>
                <w:rFonts w:hint="eastAsia"/>
                <w:b/>
                <w:bCs/>
                <w:color w:val="auto"/>
                <w:highlight w:val="none"/>
                <w:lang w:val="en-US" w:eastAsia="zh-CN"/>
              </w:rPr>
              <w:t>平面布置</w:t>
            </w:r>
            <w:bookmarkEnd w:id="12"/>
            <w:bookmarkEnd w:id="13"/>
          </w:p>
          <w:p w14:paraId="40854134">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eastAsia"/>
                <w:color w:val="auto"/>
                <w:highlight w:val="none"/>
                <w:lang w:val="en-US" w:eastAsia="zh-CN"/>
              </w:rPr>
            </w:pPr>
            <w:r>
              <w:rPr>
                <w:rFonts w:hint="eastAsia"/>
                <w:color w:val="auto"/>
                <w:highlight w:val="none"/>
                <w:lang w:val="en-US" w:eastAsia="zh-CN"/>
              </w:rPr>
              <w:t>出入口：场地大致呈长方形，设置两个出入口，两个出入口均布置在北侧常平大街，交通较为便利。以城市公共绿地作为与临街道路的分隔。</w:t>
            </w:r>
          </w:p>
          <w:p w14:paraId="3CE692CF">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eastAsia"/>
                <w:color w:val="auto"/>
                <w:highlight w:val="none"/>
                <w:lang w:val="en-US" w:eastAsia="zh-CN"/>
              </w:rPr>
            </w:pPr>
            <w:r>
              <w:rPr>
                <w:rFonts w:hint="eastAsia"/>
                <w:color w:val="auto"/>
                <w:highlight w:val="none"/>
                <w:lang w:val="en-US" w:eastAsia="zh-CN"/>
              </w:rPr>
              <w:t>场地内部设置有环形道路，主道路宽度5.5米，消防通道宽度4.0米，转弯半径为9米，满足平时使用及消防要求。</w:t>
            </w:r>
          </w:p>
          <w:p w14:paraId="496DE002">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default"/>
                <w:color w:val="auto"/>
                <w:highlight w:val="none"/>
                <w:lang w:val="en-US" w:eastAsia="zh-CN"/>
              </w:rPr>
            </w:pPr>
            <w:r>
              <w:rPr>
                <w:rFonts w:hint="eastAsia"/>
                <w:color w:val="auto"/>
                <w:highlight w:val="none"/>
                <w:lang w:val="en-US" w:eastAsia="zh-CN"/>
              </w:rPr>
              <w:t>场地大致呈长方形，东北角布置400米标准操场，西侧布置教学实验楼，南侧为宿舍楼和食堂，建筑布局功能分区合理明确，使用便捷。</w:t>
            </w:r>
          </w:p>
          <w:p w14:paraId="32704982">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default"/>
                <w:color w:val="auto"/>
                <w:highlight w:val="none"/>
                <w:lang w:val="en-US" w:eastAsia="zh-CN"/>
              </w:rPr>
            </w:pPr>
            <w:r>
              <w:rPr>
                <w:rFonts w:hint="eastAsia"/>
                <w:color w:val="auto"/>
                <w:highlight w:val="none"/>
                <w:lang w:val="en-US" w:eastAsia="zh-CN"/>
              </w:rPr>
              <w:t>本项目平面布置图见</w:t>
            </w:r>
            <w:r>
              <w:rPr>
                <w:rFonts w:hint="eastAsia"/>
                <w:color w:val="auto"/>
                <w:highlight w:val="none"/>
                <w:lang w:val="en-US" w:eastAsia="zh-CN"/>
              </w:rPr>
              <w:fldChar w:fldCharType="begin"/>
            </w:r>
            <w:r>
              <w:rPr>
                <w:rFonts w:hint="eastAsia"/>
                <w:color w:val="auto"/>
                <w:highlight w:val="none"/>
                <w:lang w:val="en-US" w:eastAsia="zh-CN"/>
              </w:rPr>
              <w:instrText xml:space="preserve"> REF _Ref12098 \n \h </w:instrText>
            </w:r>
            <w:r>
              <w:rPr>
                <w:rFonts w:hint="eastAsia"/>
                <w:color w:val="auto"/>
                <w:highlight w:val="none"/>
                <w:lang w:val="en-US" w:eastAsia="zh-CN"/>
              </w:rPr>
              <w:fldChar w:fldCharType="separate"/>
            </w:r>
            <w:r>
              <w:rPr>
                <w:rFonts w:hint="eastAsia"/>
                <w:color w:val="auto"/>
                <w:highlight w:val="none"/>
                <w:lang w:val="en-US" w:eastAsia="zh-CN"/>
              </w:rPr>
              <w:t>附图2</w:t>
            </w:r>
            <w:r>
              <w:rPr>
                <w:rFonts w:hint="eastAsia"/>
                <w:color w:val="auto"/>
                <w:highlight w:val="none"/>
                <w:lang w:val="en-US" w:eastAsia="zh-CN"/>
              </w:rPr>
              <w:fldChar w:fldCharType="end"/>
            </w:r>
            <w:r>
              <w:rPr>
                <w:rFonts w:hint="eastAsia"/>
                <w:color w:val="auto"/>
                <w:highlight w:val="none"/>
                <w:lang w:val="en-US" w:eastAsia="zh-CN"/>
              </w:rPr>
              <w:t>~</w:t>
            </w:r>
            <w:r>
              <w:rPr>
                <w:rFonts w:hint="eastAsia"/>
                <w:color w:val="auto"/>
                <w:highlight w:val="none"/>
                <w:lang w:val="en-US" w:eastAsia="zh-CN"/>
              </w:rPr>
              <w:fldChar w:fldCharType="begin"/>
            </w:r>
            <w:r>
              <w:rPr>
                <w:rFonts w:hint="eastAsia"/>
                <w:color w:val="auto"/>
                <w:highlight w:val="none"/>
                <w:lang w:val="en-US" w:eastAsia="zh-CN"/>
              </w:rPr>
              <w:instrText xml:space="preserve"> REF _Ref22120 \n \h </w:instrText>
            </w:r>
            <w:r>
              <w:rPr>
                <w:rFonts w:hint="eastAsia"/>
                <w:color w:val="auto"/>
                <w:highlight w:val="none"/>
                <w:lang w:val="en-US" w:eastAsia="zh-CN"/>
              </w:rPr>
              <w:fldChar w:fldCharType="separate"/>
            </w:r>
            <w:r>
              <w:rPr>
                <w:rFonts w:hint="eastAsia"/>
                <w:color w:val="auto"/>
                <w:highlight w:val="none"/>
                <w:lang w:val="en-US" w:eastAsia="zh-CN"/>
              </w:rPr>
              <w:t>附图11</w:t>
            </w:r>
            <w:r>
              <w:rPr>
                <w:rFonts w:hint="eastAsia"/>
                <w:color w:val="auto"/>
                <w:highlight w:val="none"/>
                <w:lang w:val="en-US" w:eastAsia="zh-CN"/>
              </w:rPr>
              <w:fldChar w:fldCharType="end"/>
            </w:r>
            <w:r>
              <w:rPr>
                <w:rFonts w:hint="eastAsia"/>
                <w:color w:val="auto"/>
                <w:highlight w:val="none"/>
                <w:lang w:val="en-US" w:eastAsia="zh-CN"/>
              </w:rPr>
              <w:t>。</w:t>
            </w:r>
          </w:p>
          <w:p w14:paraId="1A55CB39">
            <w:pPr>
              <w:pStyle w:val="3"/>
              <w:keepNext w:val="0"/>
              <w:keepLines w:val="0"/>
              <w:pageBreakBefore w:val="0"/>
              <w:widowControl w:val="0"/>
              <w:kinsoku/>
              <w:wordWrap/>
              <w:overflowPunct/>
              <w:topLinePunct w:val="0"/>
              <w:autoSpaceDE/>
              <w:autoSpaceDN/>
              <w:bidi w:val="0"/>
              <w:adjustRightInd/>
              <w:snapToGrid/>
              <w:ind w:left="202" w:leftChars="0" w:firstLine="482" w:firstLineChars="0"/>
              <w:textAlignment w:val="auto"/>
              <w:rPr>
                <w:rFonts w:hint="eastAsia"/>
                <w:b/>
                <w:bCs/>
                <w:color w:val="auto"/>
                <w:highlight w:val="none"/>
                <w:lang w:val="en-US" w:eastAsia="zh-CN"/>
              </w:rPr>
            </w:pPr>
            <w:bookmarkStart w:id="14" w:name="_Toc9260"/>
            <w:bookmarkStart w:id="15" w:name="_Toc11386"/>
            <w:r>
              <w:rPr>
                <w:rFonts w:hint="eastAsia"/>
                <w:b/>
                <w:bCs/>
                <w:color w:val="auto"/>
                <w:highlight w:val="none"/>
                <w:lang w:val="en-US" w:eastAsia="zh-CN"/>
              </w:rPr>
              <w:t>师生定员</w:t>
            </w:r>
          </w:p>
          <w:p w14:paraId="017AB4E1">
            <w:pPr>
              <w:rPr>
                <w:rFonts w:hint="eastAsia"/>
                <w:color w:val="auto"/>
                <w:highlight w:val="none"/>
                <w:lang w:val="en-US" w:eastAsia="zh-CN"/>
              </w:rPr>
            </w:pPr>
            <w:r>
              <w:rPr>
                <w:rFonts w:hint="eastAsia"/>
                <w:color w:val="auto"/>
                <w:highlight w:val="none"/>
                <w:lang w:val="en-US" w:eastAsia="zh-CN"/>
              </w:rPr>
              <w:t>在学校正常教学期间，共有教师、学生及工作人员约1625人。学校为寄宿制，根据现行教育部门规定的教学时间，师生全年在校约200天（假期仅安排2-3人值班）。</w:t>
            </w:r>
          </w:p>
          <w:p w14:paraId="111CA1D0">
            <w:pPr>
              <w:pStyle w:val="3"/>
              <w:keepNext w:val="0"/>
              <w:keepLines w:val="0"/>
              <w:pageBreakBefore w:val="0"/>
              <w:widowControl w:val="0"/>
              <w:kinsoku/>
              <w:wordWrap/>
              <w:overflowPunct/>
              <w:topLinePunct w:val="0"/>
              <w:autoSpaceDE/>
              <w:autoSpaceDN/>
              <w:bidi w:val="0"/>
              <w:adjustRightInd/>
              <w:snapToGrid/>
              <w:ind w:left="202" w:leftChars="0" w:firstLine="482" w:firstLineChars="0"/>
              <w:textAlignment w:val="auto"/>
              <w:rPr>
                <w:rFonts w:hint="eastAsia"/>
                <w:b/>
                <w:bCs/>
                <w:color w:val="auto"/>
                <w:highlight w:val="none"/>
                <w:lang w:val="en-US" w:eastAsia="zh-CN"/>
              </w:rPr>
            </w:pPr>
            <w:r>
              <w:rPr>
                <w:rFonts w:hint="eastAsia"/>
                <w:b/>
                <w:bCs/>
                <w:color w:val="auto"/>
                <w:highlight w:val="none"/>
                <w:lang w:val="en-US" w:eastAsia="zh-CN"/>
              </w:rPr>
              <w:t>水平衡</w:t>
            </w:r>
            <w:bookmarkEnd w:id="14"/>
            <w:bookmarkEnd w:id="15"/>
          </w:p>
          <w:p w14:paraId="388F2457">
            <w:pPr>
              <w:keepNext w:val="0"/>
              <w:keepLines w:val="0"/>
              <w:pageBreakBefore w:val="0"/>
              <w:widowControl w:val="0"/>
              <w:numPr>
                <w:ilvl w:val="0"/>
                <w:numId w:val="8"/>
              </w:numPr>
              <w:kinsoku/>
              <w:wordWrap/>
              <w:overflowPunct/>
              <w:topLinePunct w:val="0"/>
              <w:autoSpaceDE/>
              <w:autoSpaceDN/>
              <w:bidi w:val="0"/>
              <w:adjustRightInd/>
              <w:snapToGrid/>
              <w:ind w:left="0" w:firstLine="480" w:firstLineChars="200"/>
              <w:textAlignment w:val="auto"/>
              <w:rPr>
                <w:rFonts w:hint="default"/>
                <w:color w:val="auto"/>
                <w:highlight w:val="none"/>
                <w:lang w:val="en-US" w:eastAsia="zh-CN"/>
              </w:rPr>
            </w:pPr>
            <w:r>
              <w:rPr>
                <w:rFonts w:hint="eastAsia"/>
                <w:color w:val="auto"/>
                <w:highlight w:val="none"/>
                <w:lang w:eastAsia="zh-CN"/>
              </w:rPr>
              <w:t>给水工程</w:t>
            </w:r>
          </w:p>
          <w:p w14:paraId="663F0428">
            <w:pPr>
              <w:keepNext w:val="0"/>
              <w:keepLines w:val="0"/>
              <w:pageBreakBefore w:val="0"/>
              <w:widowControl w:val="0"/>
              <w:kinsoku/>
              <w:wordWrap/>
              <w:overflowPunct/>
              <w:topLinePunct w:val="0"/>
              <w:autoSpaceDE/>
              <w:autoSpaceDN/>
              <w:bidi w:val="0"/>
              <w:adjustRightInd/>
              <w:snapToGrid/>
              <w:textAlignment w:val="auto"/>
              <w:rPr>
                <w:rFonts w:hint="eastAsia"/>
                <w:color w:val="auto"/>
                <w:highlight w:val="none"/>
                <w:lang w:val="en-US" w:eastAsia="zh-CN"/>
              </w:rPr>
            </w:pPr>
            <w:r>
              <w:rPr>
                <w:rFonts w:hint="eastAsia"/>
                <w:color w:val="auto"/>
                <w:highlight w:val="none"/>
                <w:lang w:eastAsia="zh-CN"/>
              </w:rPr>
              <w:t>本项目用水为师生日常用水、食堂用水、实验室用水、绿化用水等</w:t>
            </w:r>
            <w:r>
              <w:rPr>
                <w:rFonts w:hint="eastAsia"/>
                <w:color w:val="auto"/>
                <w:highlight w:val="none"/>
                <w:lang w:val="en-US" w:eastAsia="zh-CN"/>
              </w:rPr>
              <w:t>。</w:t>
            </w:r>
          </w:p>
          <w:p w14:paraId="52D139C7">
            <w:pPr>
              <w:keepNext w:val="0"/>
              <w:keepLines w:val="0"/>
              <w:pageBreakBefore w:val="0"/>
              <w:widowControl w:val="0"/>
              <w:kinsoku/>
              <w:wordWrap/>
              <w:overflowPunct/>
              <w:topLinePunct w:val="0"/>
              <w:autoSpaceDE/>
              <w:autoSpaceDN/>
              <w:bidi w:val="0"/>
              <w:adjustRightInd/>
              <w:snapToGrid/>
              <w:textAlignment w:val="auto"/>
              <w:rPr>
                <w:rFonts w:hint="eastAsia"/>
                <w:color w:val="auto"/>
                <w:highlight w:val="none"/>
                <w:lang w:eastAsia="zh-CN"/>
              </w:rPr>
            </w:pPr>
            <w:r>
              <w:rPr>
                <w:rFonts w:hint="eastAsia"/>
                <w:color w:val="auto"/>
                <w:highlight w:val="none"/>
                <w:lang w:eastAsia="zh-CN"/>
              </w:rPr>
              <w:t>用水水源由</w:t>
            </w:r>
            <w:r>
              <w:rPr>
                <w:rFonts w:hint="eastAsia"/>
                <w:color w:val="auto"/>
                <w:highlight w:val="none"/>
                <w:lang w:val="en-US" w:eastAsia="zh-CN"/>
              </w:rPr>
              <w:t>市政供水管网供给</w:t>
            </w:r>
            <w:r>
              <w:rPr>
                <w:rFonts w:hint="eastAsia"/>
                <w:color w:val="auto"/>
                <w:highlight w:val="none"/>
                <w:lang w:eastAsia="zh-CN"/>
              </w:rPr>
              <w:t>。</w:t>
            </w:r>
          </w:p>
          <w:p w14:paraId="73F7500C">
            <w:pPr>
              <w:keepNext w:val="0"/>
              <w:keepLines w:val="0"/>
              <w:pageBreakBefore w:val="0"/>
              <w:widowControl w:val="0"/>
              <w:kinsoku/>
              <w:wordWrap/>
              <w:overflowPunct/>
              <w:topLinePunct w:val="0"/>
              <w:autoSpaceDE/>
              <w:autoSpaceDN/>
              <w:bidi w:val="0"/>
              <w:adjustRightInd/>
              <w:snapToGrid/>
              <w:textAlignment w:val="auto"/>
              <w:rPr>
                <w:rFonts w:hint="default"/>
                <w:color w:val="auto"/>
                <w:highlight w:val="none"/>
                <w:lang w:val="en-US" w:eastAsia="zh-CN"/>
              </w:rPr>
            </w:pPr>
            <w:r>
              <w:rPr>
                <w:rFonts w:hint="eastAsia"/>
                <w:color w:val="auto"/>
                <w:highlight w:val="none"/>
                <w:lang w:eastAsia="zh-CN"/>
              </w:rPr>
              <w:t>①</w:t>
            </w:r>
            <w:r>
              <w:rPr>
                <w:rFonts w:hint="eastAsia"/>
                <w:color w:val="auto"/>
                <w:highlight w:val="none"/>
                <w:lang w:val="en-US" w:eastAsia="zh-CN"/>
              </w:rPr>
              <w:t>师生日常用水</w:t>
            </w:r>
          </w:p>
          <w:p w14:paraId="27EB4411">
            <w:pPr>
              <w:keepNext w:val="0"/>
              <w:keepLines w:val="0"/>
              <w:pageBreakBefore w:val="0"/>
              <w:widowControl w:val="0"/>
              <w:kinsoku/>
              <w:wordWrap/>
              <w:overflowPunct/>
              <w:topLinePunct w:val="0"/>
              <w:autoSpaceDE/>
              <w:autoSpaceDN/>
              <w:bidi w:val="0"/>
              <w:adjustRightInd/>
              <w:snapToGrid/>
              <w:textAlignment w:val="auto"/>
              <w:rPr>
                <w:rFonts w:hint="eastAsia"/>
                <w:color w:val="auto"/>
                <w:highlight w:val="none"/>
                <w:lang w:eastAsia="zh-CN"/>
              </w:rPr>
            </w:pPr>
            <w:r>
              <w:rPr>
                <w:rFonts w:hint="eastAsia"/>
                <w:color w:val="auto"/>
                <w:highlight w:val="none"/>
                <w:lang w:eastAsia="zh-CN"/>
              </w:rPr>
              <w:t>本项目师生日常用水量按《山西省用水定额第3部分：服务业用水定额》（DB14/T1049.3—2021）中“</w:t>
            </w:r>
            <w:r>
              <w:rPr>
                <w:rFonts w:hint="eastAsia"/>
                <w:color w:val="auto"/>
                <w:highlight w:val="none"/>
                <w:lang w:val="en-US" w:eastAsia="zh-CN"/>
              </w:rPr>
              <w:t>高中教育-有宿舍</w:t>
            </w:r>
            <w:r>
              <w:rPr>
                <w:rFonts w:hint="eastAsia"/>
                <w:color w:val="auto"/>
                <w:highlight w:val="none"/>
                <w:lang w:eastAsia="zh-CN"/>
              </w:rPr>
              <w:t>”用水定额</w:t>
            </w:r>
            <w:r>
              <w:rPr>
                <w:rFonts w:hint="eastAsia"/>
                <w:color w:val="auto"/>
                <w:highlight w:val="none"/>
                <w:lang w:val="en-US" w:eastAsia="zh-CN"/>
              </w:rPr>
              <w:t>25m</w:t>
            </w:r>
            <w:r>
              <w:rPr>
                <w:rFonts w:hint="eastAsia"/>
                <w:color w:val="auto"/>
                <w:highlight w:val="none"/>
                <w:vertAlign w:val="superscript"/>
                <w:lang w:val="en-US" w:eastAsia="zh-CN"/>
              </w:rPr>
              <w:t>3</w:t>
            </w:r>
            <w:r>
              <w:rPr>
                <w:rFonts w:hint="eastAsia"/>
                <w:color w:val="auto"/>
                <w:highlight w:val="none"/>
                <w:lang w:eastAsia="zh-CN"/>
              </w:rPr>
              <w:t>/（p·</w:t>
            </w:r>
            <w:r>
              <w:rPr>
                <w:rFonts w:hint="eastAsia"/>
                <w:color w:val="auto"/>
                <w:highlight w:val="none"/>
                <w:lang w:val="en-US" w:eastAsia="zh-CN"/>
              </w:rPr>
              <w:t>a</w:t>
            </w:r>
            <w:r>
              <w:rPr>
                <w:rFonts w:hint="eastAsia"/>
                <w:color w:val="auto"/>
                <w:highlight w:val="none"/>
                <w:lang w:eastAsia="zh-CN"/>
              </w:rPr>
              <w:t>）计，本项目</w:t>
            </w:r>
            <w:r>
              <w:rPr>
                <w:rFonts w:hint="eastAsia"/>
                <w:color w:val="auto"/>
                <w:highlight w:val="none"/>
                <w:lang w:val="en-US" w:eastAsia="zh-CN"/>
              </w:rPr>
              <w:t>建成后在校师生人数为1625人</w:t>
            </w:r>
            <w:r>
              <w:rPr>
                <w:rFonts w:hint="eastAsia"/>
                <w:color w:val="auto"/>
                <w:highlight w:val="none"/>
                <w:lang w:eastAsia="zh-CN"/>
              </w:rPr>
              <w:t>，则师生日常用水量为</w:t>
            </w:r>
            <w:r>
              <w:rPr>
                <w:rFonts w:hint="eastAsia"/>
                <w:color w:val="auto"/>
                <w:highlight w:val="none"/>
                <w:lang w:val="en-US" w:eastAsia="zh-CN"/>
              </w:rPr>
              <w:t>203.13</w:t>
            </w:r>
            <w:r>
              <w:rPr>
                <w:rFonts w:hint="eastAsia"/>
                <w:color w:val="auto"/>
                <w:highlight w:val="none"/>
                <w:lang w:eastAsia="zh-CN"/>
              </w:rPr>
              <w:t>m</w:t>
            </w:r>
            <w:r>
              <w:rPr>
                <w:rFonts w:hint="eastAsia"/>
                <w:color w:val="auto"/>
                <w:highlight w:val="none"/>
                <w:vertAlign w:val="superscript"/>
                <w:lang w:eastAsia="zh-CN"/>
              </w:rPr>
              <w:t>3</w:t>
            </w:r>
            <w:r>
              <w:rPr>
                <w:rFonts w:hint="eastAsia"/>
                <w:color w:val="auto"/>
                <w:highlight w:val="none"/>
                <w:lang w:eastAsia="zh-CN"/>
              </w:rPr>
              <w:t>/d</w:t>
            </w:r>
            <w:r>
              <w:rPr>
                <w:rFonts w:hint="eastAsia"/>
                <w:color w:val="auto"/>
                <w:highlight w:val="none"/>
                <w:lang w:val="en-US" w:eastAsia="zh-CN"/>
              </w:rPr>
              <w:t>（40626m</w:t>
            </w:r>
            <w:r>
              <w:rPr>
                <w:rFonts w:hint="eastAsia"/>
                <w:color w:val="auto"/>
                <w:highlight w:val="none"/>
                <w:vertAlign w:val="superscript"/>
                <w:lang w:val="en-US" w:eastAsia="zh-CN"/>
              </w:rPr>
              <w:t>3</w:t>
            </w:r>
            <w:r>
              <w:rPr>
                <w:rFonts w:hint="eastAsia"/>
                <w:color w:val="auto"/>
                <w:highlight w:val="none"/>
                <w:lang w:val="en-US" w:eastAsia="zh-CN"/>
              </w:rPr>
              <w:t>/a）</w:t>
            </w:r>
            <w:r>
              <w:rPr>
                <w:rFonts w:hint="eastAsia"/>
                <w:color w:val="auto"/>
                <w:highlight w:val="none"/>
                <w:lang w:eastAsia="zh-CN"/>
              </w:rPr>
              <w:t>。</w:t>
            </w:r>
          </w:p>
          <w:p w14:paraId="7B7CDBAE">
            <w:pPr>
              <w:keepNext w:val="0"/>
              <w:keepLines w:val="0"/>
              <w:pageBreakBefore w:val="0"/>
              <w:widowControl w:val="0"/>
              <w:kinsoku/>
              <w:wordWrap/>
              <w:overflowPunct/>
              <w:topLinePunct w:val="0"/>
              <w:autoSpaceDE/>
              <w:autoSpaceDN/>
              <w:bidi w:val="0"/>
              <w:adjustRightInd/>
              <w:snapToGrid/>
              <w:textAlignment w:val="auto"/>
              <w:rPr>
                <w:rFonts w:hint="default"/>
                <w:color w:val="auto"/>
                <w:highlight w:val="none"/>
                <w:lang w:val="en-US" w:eastAsia="zh-CN"/>
              </w:rPr>
            </w:pPr>
            <w:r>
              <w:rPr>
                <w:rFonts w:hint="eastAsia"/>
                <w:color w:val="auto"/>
                <w:highlight w:val="none"/>
                <w:lang w:eastAsia="zh-CN"/>
              </w:rPr>
              <w:t>②食堂用水</w:t>
            </w:r>
          </w:p>
          <w:p w14:paraId="1A23E927">
            <w:pPr>
              <w:keepNext w:val="0"/>
              <w:keepLines w:val="0"/>
              <w:pageBreakBefore w:val="0"/>
              <w:widowControl w:val="0"/>
              <w:kinsoku/>
              <w:wordWrap/>
              <w:overflowPunct/>
              <w:topLinePunct w:val="0"/>
              <w:autoSpaceDE/>
              <w:autoSpaceDN/>
              <w:bidi w:val="0"/>
              <w:adjustRightInd/>
              <w:snapToGrid/>
              <w:textAlignment w:val="auto"/>
              <w:rPr>
                <w:rFonts w:hint="eastAsia"/>
                <w:color w:val="auto"/>
                <w:highlight w:val="none"/>
                <w:lang w:val="en-US" w:eastAsia="zh-CN"/>
              </w:rPr>
            </w:pPr>
            <w:r>
              <w:rPr>
                <w:rFonts w:hint="eastAsia"/>
                <w:color w:val="auto"/>
                <w:highlight w:val="none"/>
                <w:lang w:eastAsia="zh-CN"/>
              </w:rPr>
              <w:t>本项目食堂用水</w:t>
            </w:r>
            <w:r>
              <w:rPr>
                <w:rFonts w:hint="eastAsia"/>
                <w:color w:val="auto"/>
                <w:highlight w:val="none"/>
                <w:lang w:val="en-US" w:eastAsia="zh-CN"/>
              </w:rPr>
              <w:t>量按</w:t>
            </w:r>
            <w:r>
              <w:rPr>
                <w:rFonts w:hint="eastAsia"/>
                <w:color w:val="auto"/>
                <w:highlight w:val="none"/>
                <w:lang w:eastAsia="zh-CN"/>
              </w:rPr>
              <w:t>《山西省用水定额第3部分：服务业用水定额》（DB14/T1049.3—2021）中“</w:t>
            </w:r>
            <w:r>
              <w:rPr>
                <w:rFonts w:hint="eastAsia"/>
                <w:color w:val="auto"/>
                <w:highlight w:val="none"/>
                <w:lang w:val="en-US" w:eastAsia="zh-CN"/>
              </w:rPr>
              <w:t>其他餐饮业服务</w:t>
            </w:r>
            <w:r>
              <w:rPr>
                <w:rFonts w:hint="eastAsia"/>
                <w:color w:val="auto"/>
                <w:highlight w:val="none"/>
                <w:lang w:eastAsia="zh-CN"/>
              </w:rPr>
              <w:t>”</w:t>
            </w:r>
            <w:r>
              <w:rPr>
                <w:rFonts w:hint="eastAsia"/>
                <w:color w:val="auto"/>
                <w:highlight w:val="none"/>
                <w:lang w:val="en-US" w:eastAsia="zh-CN"/>
              </w:rPr>
              <w:t>用水定额9.1m</w:t>
            </w:r>
            <w:r>
              <w:rPr>
                <w:rFonts w:hint="eastAsia"/>
                <w:color w:val="auto"/>
                <w:highlight w:val="none"/>
                <w:vertAlign w:val="superscript"/>
                <w:lang w:val="en-US" w:eastAsia="zh-CN"/>
              </w:rPr>
              <w:t>3</w:t>
            </w:r>
            <w:r>
              <w:rPr>
                <w:rFonts w:hint="eastAsia"/>
                <w:color w:val="auto"/>
                <w:highlight w:val="none"/>
                <w:lang w:val="en-US" w:eastAsia="zh-CN"/>
              </w:rPr>
              <w:t>/（m</w:t>
            </w:r>
            <w:r>
              <w:rPr>
                <w:rFonts w:hint="eastAsia"/>
                <w:color w:val="auto"/>
                <w:highlight w:val="none"/>
                <w:vertAlign w:val="superscript"/>
                <w:lang w:val="en-US" w:eastAsia="zh-CN"/>
              </w:rPr>
              <w:t>2</w:t>
            </w:r>
            <w:r>
              <w:rPr>
                <w:rFonts w:hint="eastAsia"/>
                <w:color w:val="auto"/>
                <w:highlight w:val="none"/>
                <w:lang w:val="en-US" w:eastAsia="zh-CN"/>
              </w:rPr>
              <w:t>·a），本项目食堂面积1500m</w:t>
            </w:r>
            <w:r>
              <w:rPr>
                <w:rFonts w:hint="eastAsia"/>
                <w:color w:val="auto"/>
                <w:highlight w:val="none"/>
                <w:vertAlign w:val="superscript"/>
                <w:lang w:val="en-US" w:eastAsia="zh-CN"/>
              </w:rPr>
              <w:t>2</w:t>
            </w:r>
            <w:r>
              <w:rPr>
                <w:rFonts w:hint="eastAsia"/>
                <w:color w:val="auto"/>
                <w:highlight w:val="none"/>
                <w:lang w:val="en-US" w:eastAsia="zh-CN"/>
              </w:rPr>
              <w:t>，则</w:t>
            </w:r>
            <w:r>
              <w:rPr>
                <w:rFonts w:hint="eastAsia"/>
                <w:color w:val="auto"/>
                <w:highlight w:val="none"/>
                <w:lang w:eastAsia="zh-CN"/>
              </w:rPr>
              <w:t>食堂用水</w:t>
            </w:r>
            <w:r>
              <w:rPr>
                <w:rFonts w:hint="eastAsia"/>
                <w:color w:val="auto"/>
                <w:highlight w:val="none"/>
                <w:lang w:val="en-US" w:eastAsia="zh-CN"/>
              </w:rPr>
              <w:t>量为68.25m</w:t>
            </w:r>
            <w:r>
              <w:rPr>
                <w:rFonts w:hint="eastAsia"/>
                <w:color w:val="auto"/>
                <w:highlight w:val="none"/>
                <w:vertAlign w:val="superscript"/>
                <w:lang w:val="en-US" w:eastAsia="zh-CN"/>
              </w:rPr>
              <w:t>3</w:t>
            </w:r>
            <w:r>
              <w:rPr>
                <w:rFonts w:hint="eastAsia"/>
                <w:color w:val="auto"/>
                <w:highlight w:val="none"/>
                <w:lang w:val="en-US" w:eastAsia="zh-CN"/>
              </w:rPr>
              <w:t>/d（13650m</w:t>
            </w:r>
            <w:r>
              <w:rPr>
                <w:rFonts w:hint="eastAsia"/>
                <w:color w:val="auto"/>
                <w:highlight w:val="none"/>
                <w:vertAlign w:val="superscript"/>
                <w:lang w:val="en-US" w:eastAsia="zh-CN"/>
              </w:rPr>
              <w:t>3</w:t>
            </w:r>
            <w:r>
              <w:rPr>
                <w:rFonts w:hint="eastAsia"/>
                <w:color w:val="auto"/>
                <w:highlight w:val="none"/>
                <w:lang w:val="en-US" w:eastAsia="zh-CN"/>
              </w:rPr>
              <w:t>/a）。</w:t>
            </w:r>
          </w:p>
          <w:p w14:paraId="7BA4C9CB">
            <w:pPr>
              <w:rPr>
                <w:rFonts w:hint="default"/>
                <w:color w:val="auto"/>
                <w:highlight w:val="none"/>
                <w:lang w:val="en-US" w:eastAsia="zh-CN"/>
              </w:rPr>
            </w:pPr>
            <w:r>
              <w:rPr>
                <w:rFonts w:hint="default"/>
                <w:color w:val="auto"/>
                <w:highlight w:val="none"/>
                <w:lang w:val="en-US" w:eastAsia="zh-CN"/>
              </w:rPr>
              <w:t>③</w:t>
            </w:r>
            <w:r>
              <w:rPr>
                <w:rFonts w:hint="eastAsia"/>
                <w:color w:val="auto"/>
                <w:highlight w:val="none"/>
                <w:lang w:eastAsia="zh-CN"/>
              </w:rPr>
              <w:t>实验室用水</w:t>
            </w:r>
          </w:p>
          <w:p w14:paraId="68435E88">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4"/>
                <w:highlight w:val="none"/>
              </w:rPr>
              <w:t>根据高中阶段物理、化学、生物实验课程内容分析，物理实验多为观察类实验，实验过程中不用水。本项目化学及生物实验演示实验不涉及用水，化学及生物学生实验用到的药品主要为酸、碱、无机盐等，采用蒸馏水配置试剂，</w:t>
            </w:r>
            <w:r>
              <w:rPr>
                <w:rFonts w:hint="default" w:ascii="Times New Roman" w:hAnsi="Times New Roman" w:cs="Times New Roman"/>
                <w:color w:val="auto"/>
                <w:sz w:val="24"/>
                <w:highlight w:val="none"/>
                <w:lang w:eastAsia="zh-CN"/>
              </w:rPr>
              <w:t>均为外购，</w:t>
            </w:r>
            <w:r>
              <w:rPr>
                <w:rFonts w:hint="default" w:ascii="Times New Roman" w:hAnsi="Times New Roman" w:cs="Times New Roman"/>
                <w:color w:val="auto"/>
                <w:sz w:val="24"/>
                <w:highlight w:val="none"/>
              </w:rPr>
              <w:t>不进行纯水制备，实验用水主要来自于清洗仪器用水。根据全日制普通高级中学新课标教学大纲要求，本项目开设化学实验16次/a</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sz w:val="24"/>
                <w:highlight w:val="none"/>
              </w:rPr>
              <w:t>每班，开设生物实验10次/a</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sz w:val="24"/>
                <w:highlight w:val="none"/>
              </w:rPr>
              <w:t>每班，</w:t>
            </w:r>
            <w:r>
              <w:rPr>
                <w:rFonts w:hint="default" w:ascii="Times New Roman" w:hAnsi="Times New Roman" w:cs="Times New Roman"/>
                <w:color w:val="auto"/>
                <w:sz w:val="24"/>
                <w:highlight w:val="none"/>
                <w:lang w:eastAsia="zh-CN"/>
              </w:rPr>
              <w:t>学校设置</w:t>
            </w:r>
            <w:r>
              <w:rPr>
                <w:rFonts w:hint="default" w:ascii="Times New Roman" w:hAnsi="Times New Roman" w:cs="Times New Roman"/>
                <w:color w:val="auto"/>
                <w:sz w:val="24"/>
                <w:szCs w:val="24"/>
                <w:highlight w:val="none"/>
                <w:u w:val="none"/>
                <w:lang w:val="en-US" w:eastAsia="zh-CN"/>
              </w:rPr>
              <w:t>30班，每班定额50</w:t>
            </w:r>
            <w:r>
              <w:rPr>
                <w:rFonts w:hint="default" w:ascii="Times New Roman" w:hAnsi="Times New Roman" w:eastAsia="宋体" w:cs="Times New Roman"/>
                <w:color w:val="auto"/>
                <w:sz w:val="24"/>
                <w:highlight w:val="none"/>
                <w:u w:val="none"/>
                <w:lang w:val="en-US" w:eastAsia="zh-CN"/>
              </w:rPr>
              <w:t>人，人均实验器皿清洗用水量为3L/人</w:t>
            </w:r>
            <w:r>
              <w:rPr>
                <w:rFonts w:hint="default" w:ascii="Times New Roman" w:hAnsi="Times New Roman" w:cs="Times New Roman"/>
                <w:color w:val="auto"/>
                <w:highlight w:val="none"/>
                <w:lang w:val="en-US" w:eastAsia="zh-CN"/>
              </w:rPr>
              <w:t>·</w:t>
            </w:r>
            <w:r>
              <w:rPr>
                <w:rFonts w:hint="default" w:ascii="Times New Roman" w:hAnsi="Times New Roman" w:eastAsia="宋体" w:cs="Times New Roman"/>
                <w:color w:val="auto"/>
                <w:sz w:val="24"/>
                <w:highlight w:val="none"/>
                <w:u w:val="none"/>
                <w:lang w:val="en-US" w:eastAsia="zh-CN"/>
              </w:rPr>
              <w:t>次。经计算，本项目实验器皿清洗用自来水水量共计117m</w:t>
            </w:r>
            <w:r>
              <w:rPr>
                <w:rFonts w:hint="default" w:ascii="Times New Roman" w:hAnsi="Times New Roman" w:eastAsia="宋体" w:cs="Times New Roman"/>
                <w:color w:val="auto"/>
                <w:sz w:val="24"/>
                <w:highlight w:val="none"/>
                <w:u w:val="none"/>
                <w:vertAlign w:val="superscript"/>
                <w:lang w:val="en-US" w:eastAsia="zh-CN"/>
              </w:rPr>
              <w:t>3</w:t>
            </w:r>
            <w:r>
              <w:rPr>
                <w:rFonts w:hint="default" w:ascii="Times New Roman" w:hAnsi="Times New Roman" w:eastAsia="宋体" w:cs="Times New Roman"/>
                <w:color w:val="auto"/>
                <w:sz w:val="24"/>
                <w:highlight w:val="none"/>
                <w:u w:val="none"/>
                <w:lang w:val="en-US" w:eastAsia="zh-CN"/>
              </w:rPr>
              <w:t>/a（0.5</w:t>
            </w:r>
            <w:r>
              <w:rPr>
                <w:rFonts w:hint="eastAsia" w:ascii="Times New Roman" w:hAnsi="Times New Roman" w:eastAsia="宋体" w:cs="Times New Roman"/>
                <w:color w:val="auto"/>
                <w:sz w:val="24"/>
                <w:highlight w:val="none"/>
                <w:u w:val="none"/>
                <w:lang w:val="en-US" w:eastAsia="zh-CN"/>
              </w:rPr>
              <w:t>9</w:t>
            </w:r>
            <w:r>
              <w:rPr>
                <w:rFonts w:hint="default" w:ascii="Times New Roman" w:hAnsi="Times New Roman" w:eastAsia="宋体" w:cs="Times New Roman"/>
                <w:color w:val="auto"/>
                <w:sz w:val="24"/>
                <w:highlight w:val="none"/>
                <w:u w:val="none"/>
                <w:lang w:val="en-US" w:eastAsia="zh-CN"/>
              </w:rPr>
              <w:t>m</w:t>
            </w:r>
            <w:r>
              <w:rPr>
                <w:rFonts w:hint="default" w:ascii="Times New Roman" w:hAnsi="Times New Roman" w:eastAsia="宋体" w:cs="Times New Roman"/>
                <w:color w:val="auto"/>
                <w:sz w:val="24"/>
                <w:highlight w:val="none"/>
                <w:u w:val="none"/>
                <w:vertAlign w:val="superscript"/>
                <w:lang w:val="en-US" w:eastAsia="zh-CN"/>
              </w:rPr>
              <w:t>3</w:t>
            </w:r>
            <w:r>
              <w:rPr>
                <w:rFonts w:hint="default" w:ascii="Times New Roman" w:hAnsi="Times New Roman" w:eastAsia="宋体" w:cs="Times New Roman"/>
                <w:color w:val="auto"/>
                <w:sz w:val="24"/>
                <w:highlight w:val="none"/>
                <w:u w:val="none"/>
                <w:lang w:val="en-US" w:eastAsia="zh-CN"/>
              </w:rPr>
              <w:t>/d）。</w:t>
            </w:r>
          </w:p>
          <w:p w14:paraId="118DC9D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highlight w:val="none"/>
                <w:u w:val="none"/>
              </w:rPr>
            </w:pPr>
            <w:r>
              <w:rPr>
                <w:rFonts w:hint="eastAsia"/>
                <w:color w:val="auto"/>
                <w:highlight w:val="none"/>
                <w:lang w:val="en-US" w:eastAsia="zh-CN"/>
              </w:rPr>
              <w:t>④</w:t>
            </w:r>
            <w:r>
              <w:rPr>
                <w:rFonts w:hint="default" w:ascii="Times New Roman" w:hAnsi="Times New Roman" w:eastAsia="宋体" w:cs="Times New Roman"/>
                <w:color w:val="auto"/>
                <w:sz w:val="24"/>
                <w:highlight w:val="none"/>
                <w:u w:val="none"/>
                <w:lang w:val="en-US" w:eastAsia="zh-CN"/>
              </w:rPr>
              <w:t>碱喷淋装置用水</w:t>
            </w:r>
          </w:p>
          <w:p w14:paraId="24C201B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u w:val="none"/>
                <w:lang w:val="en-US" w:eastAsia="zh-CN"/>
              </w:rPr>
            </w:pPr>
            <w:r>
              <w:rPr>
                <w:rFonts w:hint="default" w:ascii="Times New Roman" w:hAnsi="Times New Roman" w:eastAsia="宋体" w:cs="Times New Roman"/>
                <w:color w:val="auto"/>
                <w:sz w:val="24"/>
                <w:highlight w:val="none"/>
                <w:u w:val="none"/>
                <w:lang w:val="en-US" w:eastAsia="zh-CN"/>
              </w:rPr>
              <w:t>本项目产生的酸雾使用碱液喷淋装置处理，碱液喷淋装置用水循环使用，项目碱液喷淋装置的循环水量按5m</w:t>
            </w:r>
            <w:r>
              <w:rPr>
                <w:rFonts w:hint="default" w:ascii="Times New Roman" w:hAnsi="Times New Roman" w:eastAsia="宋体" w:cs="Times New Roman"/>
                <w:color w:val="auto"/>
                <w:sz w:val="24"/>
                <w:highlight w:val="none"/>
                <w:u w:val="none"/>
                <w:vertAlign w:val="superscript"/>
                <w:lang w:val="en-US" w:eastAsia="zh-CN"/>
              </w:rPr>
              <w:t>3</w:t>
            </w:r>
            <w:r>
              <w:rPr>
                <w:rFonts w:hint="default" w:ascii="Times New Roman" w:hAnsi="Times New Roman" w:eastAsia="宋体" w:cs="Times New Roman"/>
                <w:color w:val="auto"/>
                <w:sz w:val="24"/>
                <w:highlight w:val="none"/>
                <w:u w:val="none"/>
                <w:lang w:val="en-US" w:eastAsia="zh-CN"/>
              </w:rPr>
              <w:t>/h计，参考《工业循环冷却水处理设计规范》（GB/T50050-2017）中“闭式系统的补充水量不宜大于循环水量的1‰”，按照最大值1‰进行计算，项目每日有</w:t>
            </w:r>
            <w:r>
              <w:rPr>
                <w:rFonts w:hint="default" w:ascii="Times New Roman" w:hAnsi="Times New Roman" w:eastAsia="宋体" w:cs="Times New Roman"/>
                <w:color w:val="auto"/>
                <w:sz w:val="24"/>
                <w:szCs w:val="24"/>
                <w:highlight w:val="none"/>
                <w:u w:val="none"/>
                <w:lang w:val="en-US" w:eastAsia="zh-CN"/>
              </w:rPr>
              <w:t>效实验时间按3小时计，则碱液喷淋装置的年补充水量</w:t>
            </w:r>
            <w:r>
              <w:rPr>
                <w:rFonts w:hint="eastAsia" w:cs="Times New Roman"/>
                <w:color w:val="auto"/>
                <w:sz w:val="24"/>
                <w:szCs w:val="24"/>
                <w:highlight w:val="none"/>
                <w:u w:val="none"/>
                <w:lang w:val="en-US" w:eastAsia="zh-CN"/>
              </w:rPr>
              <w:t>（不含喷淋水箱换水补水）</w:t>
            </w:r>
            <w:r>
              <w:rPr>
                <w:rFonts w:hint="default" w:ascii="Times New Roman" w:hAnsi="Times New Roman" w:eastAsia="宋体" w:cs="Times New Roman"/>
                <w:color w:val="auto"/>
                <w:sz w:val="24"/>
                <w:szCs w:val="24"/>
                <w:highlight w:val="none"/>
                <w:u w:val="none"/>
                <w:lang w:val="en-US" w:eastAsia="zh-CN"/>
              </w:rPr>
              <w:t>=小时循环水量×每日有效实验时间×实验室开课时间×1‰×数量=5×3×200×0.001×1=3m</w:t>
            </w:r>
            <w:r>
              <w:rPr>
                <w:rFonts w:hint="default" w:ascii="Times New Roman" w:hAnsi="Times New Roman" w:eastAsia="宋体" w:cs="Times New Roman"/>
                <w:color w:val="auto"/>
                <w:sz w:val="24"/>
                <w:szCs w:val="24"/>
                <w:highlight w:val="none"/>
                <w:u w:val="none"/>
                <w:vertAlign w:val="superscript"/>
                <w:lang w:val="en-US" w:eastAsia="zh-CN"/>
              </w:rPr>
              <w:t>3</w:t>
            </w:r>
            <w:r>
              <w:rPr>
                <w:rFonts w:hint="default" w:ascii="Times New Roman" w:hAnsi="Times New Roman" w:eastAsia="宋体" w:cs="Times New Roman"/>
                <w:color w:val="auto"/>
                <w:sz w:val="24"/>
                <w:szCs w:val="24"/>
                <w:highlight w:val="none"/>
                <w:u w:val="none"/>
                <w:lang w:val="en-US" w:eastAsia="zh-CN"/>
              </w:rPr>
              <w:t>/a（0.015m</w:t>
            </w:r>
            <w:r>
              <w:rPr>
                <w:rFonts w:hint="default" w:ascii="Times New Roman" w:hAnsi="Times New Roman" w:eastAsia="宋体" w:cs="Times New Roman"/>
                <w:color w:val="auto"/>
                <w:sz w:val="24"/>
                <w:szCs w:val="24"/>
                <w:highlight w:val="none"/>
                <w:u w:val="none"/>
                <w:vertAlign w:val="superscript"/>
                <w:lang w:val="en-US" w:eastAsia="zh-CN"/>
              </w:rPr>
              <w:t>3</w:t>
            </w:r>
            <w:r>
              <w:rPr>
                <w:rFonts w:hint="default" w:ascii="Times New Roman" w:hAnsi="Times New Roman" w:eastAsia="宋体" w:cs="Times New Roman"/>
                <w:color w:val="auto"/>
                <w:sz w:val="24"/>
                <w:szCs w:val="24"/>
                <w:highlight w:val="none"/>
                <w:u w:val="none"/>
                <w:lang w:val="en-US" w:eastAsia="zh-CN"/>
              </w:rPr>
              <w:t>/d）。</w:t>
            </w:r>
          </w:p>
          <w:p w14:paraId="7F5D2C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default" w:ascii="Times New Roman" w:hAnsi="Times New Roman" w:eastAsia="宋体" w:cs="Times New Roman"/>
                <w:color w:val="auto"/>
                <w:sz w:val="24"/>
                <w:highlight w:val="none"/>
                <w:u w:val="none"/>
                <w:lang w:val="en-US" w:eastAsia="zh-CN"/>
              </w:rPr>
              <w:t>本项目碱喷淋装置循环水箱容积约1m</w:t>
            </w:r>
            <w:r>
              <w:rPr>
                <w:rFonts w:hint="default" w:ascii="Times New Roman" w:hAnsi="Times New Roman" w:eastAsia="宋体" w:cs="Times New Roman"/>
                <w:color w:val="auto"/>
                <w:sz w:val="24"/>
                <w:highlight w:val="none"/>
                <w:u w:val="none"/>
                <w:vertAlign w:val="superscript"/>
                <w:lang w:val="en-US" w:eastAsia="zh-CN"/>
              </w:rPr>
              <w:t>3</w:t>
            </w:r>
            <w:r>
              <w:rPr>
                <w:rFonts w:hint="default" w:ascii="Times New Roman" w:hAnsi="Times New Roman" w:eastAsia="宋体" w:cs="Times New Roman"/>
                <w:color w:val="auto"/>
                <w:sz w:val="24"/>
                <w:highlight w:val="none"/>
                <w:u w:val="none"/>
                <w:lang w:val="en-US" w:eastAsia="zh-CN"/>
              </w:rPr>
              <w:t>，循环水箱里的水按平均一年更换2次计，则</w:t>
            </w:r>
            <w:r>
              <w:rPr>
                <w:rFonts w:hint="eastAsia" w:ascii="Times New Roman" w:hAnsi="Times New Roman" w:eastAsia="宋体" w:cs="Times New Roman"/>
                <w:color w:val="auto"/>
                <w:sz w:val="24"/>
                <w:highlight w:val="none"/>
                <w:u w:val="none"/>
                <w:lang w:val="en-US" w:eastAsia="zh-CN"/>
              </w:rPr>
              <w:t>循环水箱补</w:t>
            </w:r>
            <w:r>
              <w:rPr>
                <w:rFonts w:hint="default" w:ascii="Times New Roman" w:hAnsi="Times New Roman" w:eastAsia="宋体" w:cs="Times New Roman"/>
                <w:color w:val="auto"/>
                <w:sz w:val="24"/>
                <w:highlight w:val="none"/>
                <w:u w:val="none"/>
                <w:lang w:val="en-US" w:eastAsia="zh-CN"/>
              </w:rPr>
              <w:t>水量为2m</w:t>
            </w:r>
            <w:r>
              <w:rPr>
                <w:rFonts w:hint="default" w:ascii="Times New Roman" w:hAnsi="Times New Roman" w:eastAsia="宋体" w:cs="Times New Roman"/>
                <w:color w:val="auto"/>
                <w:sz w:val="24"/>
                <w:highlight w:val="none"/>
                <w:u w:val="none"/>
                <w:vertAlign w:val="superscript"/>
                <w:lang w:val="en-US" w:eastAsia="zh-CN"/>
              </w:rPr>
              <w:t>3</w:t>
            </w:r>
            <w:r>
              <w:rPr>
                <w:rFonts w:hint="default" w:ascii="Times New Roman" w:hAnsi="Times New Roman" w:eastAsia="宋体" w:cs="Times New Roman"/>
                <w:color w:val="auto"/>
                <w:sz w:val="24"/>
                <w:highlight w:val="none"/>
                <w:u w:val="none"/>
                <w:lang w:val="en-US" w:eastAsia="zh-CN"/>
              </w:rPr>
              <w:t>/a（0.01m</w:t>
            </w:r>
            <w:r>
              <w:rPr>
                <w:rFonts w:hint="default" w:ascii="Times New Roman" w:hAnsi="Times New Roman" w:eastAsia="宋体" w:cs="Times New Roman"/>
                <w:color w:val="auto"/>
                <w:sz w:val="24"/>
                <w:highlight w:val="none"/>
                <w:u w:val="none"/>
                <w:vertAlign w:val="superscript"/>
                <w:lang w:val="en-US" w:eastAsia="zh-CN"/>
              </w:rPr>
              <w:t>3</w:t>
            </w:r>
            <w:r>
              <w:rPr>
                <w:rFonts w:hint="default" w:ascii="Times New Roman" w:hAnsi="Times New Roman" w:eastAsia="宋体" w:cs="Times New Roman"/>
                <w:color w:val="auto"/>
                <w:sz w:val="24"/>
                <w:highlight w:val="none"/>
                <w:u w:val="none"/>
                <w:lang w:val="en-US" w:eastAsia="zh-CN"/>
              </w:rPr>
              <w:t>/d）。</w:t>
            </w:r>
          </w:p>
          <w:p w14:paraId="15D6801B">
            <w:pPr>
              <w:rPr>
                <w:rFonts w:hint="default"/>
                <w:color w:val="auto"/>
                <w:highlight w:val="none"/>
                <w:lang w:val="en-US" w:eastAsia="zh-CN"/>
              </w:rPr>
            </w:pPr>
            <w:r>
              <w:rPr>
                <w:rFonts w:hint="default" w:ascii="Times New Roman" w:hAnsi="Times New Roman" w:eastAsia="宋体" w:cs="Times New Roman"/>
                <w:color w:val="auto"/>
                <w:sz w:val="24"/>
                <w:highlight w:val="none"/>
                <w:u w:val="none"/>
                <w:lang w:val="en-US" w:eastAsia="zh-CN"/>
              </w:rPr>
              <w:t>⑤</w:t>
            </w:r>
            <w:r>
              <w:rPr>
                <w:rFonts w:hint="eastAsia"/>
                <w:color w:val="auto"/>
                <w:highlight w:val="none"/>
                <w:lang w:eastAsia="zh-CN"/>
              </w:rPr>
              <w:t>绿化用水</w:t>
            </w:r>
          </w:p>
          <w:p w14:paraId="4924E4CF">
            <w:pPr>
              <w:rPr>
                <w:rFonts w:hint="default"/>
                <w:color w:val="auto"/>
                <w:highlight w:val="none"/>
                <w:lang w:val="en-US" w:eastAsia="zh-CN"/>
              </w:rPr>
            </w:pPr>
            <w:r>
              <w:rPr>
                <w:rFonts w:hint="eastAsia"/>
                <w:color w:val="auto"/>
                <w:highlight w:val="none"/>
                <w:lang w:val="en-US" w:eastAsia="zh-CN"/>
              </w:rPr>
              <w:t>本项目建成后新增绿化用地3204m</w:t>
            </w:r>
            <w:r>
              <w:rPr>
                <w:rFonts w:hint="eastAsia"/>
                <w:color w:val="auto"/>
                <w:highlight w:val="none"/>
                <w:vertAlign w:val="superscript"/>
                <w:lang w:val="en-US" w:eastAsia="zh-CN"/>
              </w:rPr>
              <w:t>2</w:t>
            </w:r>
            <w:r>
              <w:rPr>
                <w:rFonts w:hint="eastAsia"/>
                <w:color w:val="auto"/>
                <w:highlight w:val="none"/>
                <w:lang w:val="en-US" w:eastAsia="zh-CN"/>
              </w:rPr>
              <w:t>，按照《山西省用水定额第3部分：服务业用水定额》（DB14/T1049.3—2021）中浇洒草坪、绿化用水定额3.6L/（m</w:t>
            </w:r>
            <w:r>
              <w:rPr>
                <w:rFonts w:hint="eastAsia"/>
                <w:color w:val="auto"/>
                <w:highlight w:val="none"/>
                <w:vertAlign w:val="superscript"/>
                <w:lang w:val="en-US" w:eastAsia="zh-CN"/>
              </w:rPr>
              <w:t>2</w:t>
            </w:r>
            <w:r>
              <w:rPr>
                <w:rFonts w:hint="eastAsia"/>
                <w:color w:val="auto"/>
                <w:highlight w:val="none"/>
                <w:lang w:val="en-US" w:eastAsia="zh-CN"/>
              </w:rPr>
              <w:t>·d）计，非采暖期进行绿化洒水，年绿化240d，则绿化用水量为11.53m</w:t>
            </w:r>
            <w:r>
              <w:rPr>
                <w:rFonts w:hint="eastAsia"/>
                <w:color w:val="auto"/>
                <w:highlight w:val="none"/>
                <w:vertAlign w:val="superscript"/>
                <w:lang w:val="en-US" w:eastAsia="zh-CN"/>
              </w:rPr>
              <w:t>3</w:t>
            </w:r>
            <w:r>
              <w:rPr>
                <w:rFonts w:hint="eastAsia"/>
                <w:color w:val="auto"/>
                <w:highlight w:val="none"/>
                <w:lang w:val="en-US" w:eastAsia="zh-CN"/>
              </w:rPr>
              <w:t>/d（2767.2m</w:t>
            </w:r>
            <w:r>
              <w:rPr>
                <w:rFonts w:hint="eastAsia"/>
                <w:color w:val="auto"/>
                <w:highlight w:val="none"/>
                <w:vertAlign w:val="superscript"/>
                <w:lang w:val="en-US" w:eastAsia="zh-CN"/>
              </w:rPr>
              <w:t>3</w:t>
            </w:r>
            <w:r>
              <w:rPr>
                <w:rFonts w:hint="eastAsia"/>
                <w:color w:val="auto"/>
                <w:highlight w:val="none"/>
                <w:lang w:val="en-US" w:eastAsia="zh-CN"/>
              </w:rPr>
              <w:t>/a）。</w:t>
            </w:r>
          </w:p>
          <w:p w14:paraId="149086C6">
            <w:pPr>
              <w:numPr>
                <w:ilvl w:val="0"/>
                <w:numId w:val="8"/>
              </w:numPr>
              <w:rPr>
                <w:rFonts w:hint="eastAsia"/>
                <w:color w:val="auto"/>
                <w:highlight w:val="none"/>
                <w:lang w:eastAsia="zh-CN"/>
              </w:rPr>
            </w:pPr>
            <w:r>
              <w:rPr>
                <w:rFonts w:hint="eastAsia"/>
                <w:color w:val="auto"/>
                <w:highlight w:val="none"/>
                <w:lang w:eastAsia="zh-CN"/>
              </w:rPr>
              <w:t>排水工程</w:t>
            </w:r>
          </w:p>
          <w:p w14:paraId="61E69266">
            <w:pPr>
              <w:rPr>
                <w:rFonts w:hint="default" w:eastAsia="宋体" w:cs="宋体"/>
                <w:color w:val="auto"/>
                <w:highlight w:val="none"/>
                <w:lang w:val="en-US" w:eastAsia="zh-CN"/>
              </w:rPr>
            </w:pPr>
            <w:r>
              <w:rPr>
                <w:rFonts w:hint="eastAsia" w:eastAsia="宋体" w:cs="宋体"/>
                <w:color w:val="auto"/>
                <w:highlight w:val="none"/>
                <w:lang w:val="en-US" w:eastAsia="zh-CN"/>
              </w:rPr>
              <w:t>①</w:t>
            </w:r>
            <w:r>
              <w:rPr>
                <w:rFonts w:hint="eastAsia" w:cs="宋体"/>
                <w:color w:val="auto"/>
                <w:highlight w:val="none"/>
                <w:lang w:val="en-US" w:eastAsia="zh-CN"/>
              </w:rPr>
              <w:t>生活污水</w:t>
            </w:r>
          </w:p>
          <w:p w14:paraId="555CAE35">
            <w:pPr>
              <w:rPr>
                <w:rFonts w:hint="eastAsia" w:eastAsia="宋体" w:cs="宋体"/>
                <w:color w:val="auto"/>
                <w:highlight w:val="none"/>
                <w:lang w:val="en-US" w:eastAsia="zh-CN"/>
              </w:rPr>
            </w:pPr>
            <w:r>
              <w:rPr>
                <w:rFonts w:hint="eastAsia"/>
                <w:color w:val="auto"/>
                <w:highlight w:val="none"/>
                <w:lang w:val="en-US" w:eastAsia="zh-CN"/>
              </w:rPr>
              <w:t>本项目生活用水量为203.13</w:t>
            </w:r>
            <w:r>
              <w:rPr>
                <w:rFonts w:hint="eastAsia"/>
                <w:color w:val="auto"/>
                <w:highlight w:val="none"/>
                <w:lang w:eastAsia="zh-CN"/>
              </w:rPr>
              <w:t>m</w:t>
            </w:r>
            <w:r>
              <w:rPr>
                <w:rFonts w:hint="eastAsia"/>
                <w:color w:val="auto"/>
                <w:highlight w:val="none"/>
                <w:vertAlign w:val="superscript"/>
                <w:lang w:eastAsia="zh-CN"/>
              </w:rPr>
              <w:t>3</w:t>
            </w:r>
            <w:r>
              <w:rPr>
                <w:rFonts w:hint="eastAsia"/>
                <w:color w:val="auto"/>
                <w:highlight w:val="none"/>
                <w:lang w:eastAsia="zh-CN"/>
              </w:rPr>
              <w:t>/</w:t>
            </w:r>
            <w:r>
              <w:rPr>
                <w:rFonts w:hint="eastAsia"/>
                <w:color w:val="auto"/>
                <w:highlight w:val="none"/>
                <w:lang w:val="en-US" w:eastAsia="zh-CN"/>
              </w:rPr>
              <w:t>d，生活污水</w:t>
            </w:r>
            <w:r>
              <w:rPr>
                <w:rFonts w:hint="eastAsia"/>
                <w:color w:val="auto"/>
                <w:highlight w:val="none"/>
                <w:lang w:eastAsia="zh-CN"/>
              </w:rPr>
              <w:t>产生量按用水量的80%计算，则废水产生量为</w:t>
            </w:r>
            <w:r>
              <w:rPr>
                <w:rFonts w:hint="eastAsia"/>
                <w:color w:val="auto"/>
                <w:highlight w:val="none"/>
                <w:lang w:val="en-US" w:eastAsia="zh-CN"/>
              </w:rPr>
              <w:t>162.5</w:t>
            </w:r>
            <w:r>
              <w:rPr>
                <w:rFonts w:hint="eastAsia"/>
                <w:color w:val="auto"/>
                <w:highlight w:val="none"/>
                <w:lang w:eastAsia="zh-CN"/>
              </w:rPr>
              <w:t>m</w:t>
            </w:r>
            <w:r>
              <w:rPr>
                <w:rFonts w:hint="eastAsia"/>
                <w:color w:val="auto"/>
                <w:highlight w:val="none"/>
                <w:vertAlign w:val="superscript"/>
                <w:lang w:eastAsia="zh-CN"/>
              </w:rPr>
              <w:t>3</w:t>
            </w:r>
            <w:r>
              <w:rPr>
                <w:rFonts w:hint="eastAsia"/>
                <w:color w:val="auto"/>
                <w:highlight w:val="none"/>
                <w:lang w:eastAsia="zh-CN"/>
              </w:rPr>
              <w:t>/</w:t>
            </w:r>
            <w:r>
              <w:rPr>
                <w:rFonts w:hint="eastAsia"/>
                <w:color w:val="auto"/>
                <w:highlight w:val="none"/>
                <w:lang w:val="en-US" w:eastAsia="zh-CN"/>
              </w:rPr>
              <w:t>d</w:t>
            </w:r>
            <w:r>
              <w:rPr>
                <w:rFonts w:hint="eastAsia"/>
                <w:color w:val="auto"/>
                <w:highlight w:val="none"/>
                <w:lang w:eastAsia="zh-CN"/>
              </w:rPr>
              <w:t>（</w:t>
            </w:r>
            <w:r>
              <w:rPr>
                <w:rFonts w:hint="eastAsia"/>
                <w:color w:val="auto"/>
                <w:highlight w:val="none"/>
                <w:lang w:val="en-US" w:eastAsia="zh-CN"/>
              </w:rPr>
              <w:t>32500</w:t>
            </w:r>
            <w:r>
              <w:rPr>
                <w:rFonts w:hint="eastAsia"/>
                <w:color w:val="auto"/>
                <w:highlight w:val="none"/>
                <w:lang w:eastAsia="zh-CN"/>
              </w:rPr>
              <w:t>m</w:t>
            </w:r>
            <w:r>
              <w:rPr>
                <w:rFonts w:hint="eastAsia"/>
                <w:color w:val="auto"/>
                <w:highlight w:val="none"/>
                <w:vertAlign w:val="superscript"/>
                <w:lang w:eastAsia="zh-CN"/>
              </w:rPr>
              <w:t>3</w:t>
            </w:r>
            <w:r>
              <w:rPr>
                <w:rFonts w:hint="eastAsia"/>
                <w:color w:val="auto"/>
                <w:highlight w:val="none"/>
                <w:lang w:eastAsia="zh-CN"/>
              </w:rPr>
              <w:t>/</w:t>
            </w:r>
            <w:r>
              <w:rPr>
                <w:rFonts w:hint="eastAsia"/>
                <w:color w:val="auto"/>
                <w:highlight w:val="none"/>
                <w:lang w:val="en-US" w:eastAsia="zh-CN"/>
              </w:rPr>
              <w:t>a</w:t>
            </w:r>
            <w:r>
              <w:rPr>
                <w:rFonts w:hint="eastAsia"/>
                <w:color w:val="auto"/>
                <w:highlight w:val="none"/>
                <w:lang w:eastAsia="zh-CN"/>
              </w:rPr>
              <w:t>）。</w:t>
            </w:r>
          </w:p>
          <w:p w14:paraId="7CBD0513">
            <w:pPr>
              <w:bidi w:val="0"/>
              <w:rPr>
                <w:rFonts w:hint="default"/>
                <w:color w:val="auto"/>
                <w:highlight w:val="none"/>
                <w:lang w:val="en-US" w:eastAsia="zh-CN"/>
              </w:rPr>
            </w:pPr>
            <w:r>
              <w:rPr>
                <w:rFonts w:hint="eastAsia"/>
                <w:color w:val="auto"/>
                <w:highlight w:val="none"/>
                <w:lang w:eastAsia="zh-CN"/>
              </w:rPr>
              <w:t>②</w:t>
            </w:r>
            <w:r>
              <w:rPr>
                <w:rFonts w:hint="eastAsia"/>
                <w:color w:val="auto"/>
                <w:highlight w:val="none"/>
                <w:lang w:val="en-US" w:eastAsia="zh-CN"/>
              </w:rPr>
              <w:t>食堂废水</w:t>
            </w:r>
          </w:p>
          <w:p w14:paraId="3496472D">
            <w:pPr>
              <w:bidi w:val="0"/>
              <w:rPr>
                <w:rFonts w:hint="default"/>
                <w:color w:val="auto"/>
                <w:highlight w:val="none"/>
                <w:lang w:val="en-US" w:eastAsia="zh-CN"/>
              </w:rPr>
            </w:pPr>
            <w:r>
              <w:rPr>
                <w:rFonts w:hint="eastAsia"/>
                <w:color w:val="auto"/>
                <w:highlight w:val="none"/>
                <w:lang w:val="en-US" w:eastAsia="zh-CN"/>
              </w:rPr>
              <w:t>本项目食堂用水量为68.25m</w:t>
            </w:r>
            <w:r>
              <w:rPr>
                <w:rFonts w:hint="eastAsia"/>
                <w:color w:val="auto"/>
                <w:highlight w:val="none"/>
                <w:vertAlign w:val="superscript"/>
                <w:lang w:val="en-US" w:eastAsia="zh-CN"/>
              </w:rPr>
              <w:t>3</w:t>
            </w:r>
            <w:r>
              <w:rPr>
                <w:rFonts w:hint="eastAsia"/>
                <w:color w:val="auto"/>
                <w:highlight w:val="none"/>
                <w:lang w:val="en-US" w:eastAsia="zh-CN"/>
              </w:rPr>
              <w:t>/d，</w:t>
            </w:r>
            <w:r>
              <w:rPr>
                <w:rFonts w:hint="eastAsia" w:eastAsia="宋体" w:cs="宋体"/>
                <w:color w:val="auto"/>
                <w:highlight w:val="none"/>
                <w:lang w:eastAsia="zh-CN"/>
              </w:rPr>
              <w:t>排污系数0.</w:t>
            </w:r>
            <w:r>
              <w:rPr>
                <w:rFonts w:hint="eastAsia" w:eastAsia="宋体" w:cs="宋体"/>
                <w:color w:val="auto"/>
                <w:highlight w:val="none"/>
                <w:lang w:val="en-US" w:eastAsia="zh-CN"/>
              </w:rPr>
              <w:t>9</w:t>
            </w:r>
            <w:r>
              <w:rPr>
                <w:rFonts w:hint="eastAsia" w:eastAsia="宋体" w:cs="宋体"/>
                <w:color w:val="auto"/>
                <w:highlight w:val="none"/>
                <w:lang w:eastAsia="zh-CN"/>
              </w:rPr>
              <w:t>，废水产生量为</w:t>
            </w:r>
            <w:r>
              <w:rPr>
                <w:rFonts w:hint="eastAsia" w:cs="宋体"/>
                <w:color w:val="auto"/>
                <w:highlight w:val="none"/>
                <w:lang w:val="en-US" w:eastAsia="zh-CN"/>
              </w:rPr>
              <w:t>61.43</w:t>
            </w:r>
            <w:r>
              <w:rPr>
                <w:rFonts w:ascii="Times New Roman" w:hAnsi="Times New Roman" w:eastAsia="宋体" w:cs="Times New Roman"/>
                <w:bCs/>
                <w:color w:val="auto"/>
                <w:sz w:val="24"/>
                <w:szCs w:val="24"/>
                <w:highlight w:val="none"/>
              </w:rPr>
              <w:t>m</w:t>
            </w:r>
            <w:r>
              <w:rPr>
                <w:rFonts w:ascii="Times New Roman" w:hAnsi="Times New Roman" w:eastAsia="宋体" w:cs="Times New Roman"/>
                <w:bCs/>
                <w:color w:val="auto"/>
                <w:sz w:val="24"/>
                <w:szCs w:val="24"/>
                <w:highlight w:val="none"/>
                <w:vertAlign w:val="superscript"/>
              </w:rPr>
              <w:t>3</w:t>
            </w:r>
            <w:r>
              <w:rPr>
                <w:rFonts w:ascii="Times New Roman" w:hAnsi="Times New Roman" w:eastAsia="宋体" w:cs="Times New Roman"/>
                <w:bCs/>
                <w:color w:val="auto"/>
                <w:sz w:val="24"/>
                <w:szCs w:val="24"/>
                <w:highlight w:val="none"/>
              </w:rPr>
              <w:t>/d</w:t>
            </w:r>
            <w:r>
              <w:rPr>
                <w:rFonts w:hint="eastAsia" w:eastAsia="宋体" w:cs="宋体"/>
                <w:color w:val="auto"/>
                <w:highlight w:val="none"/>
                <w:lang w:eastAsia="zh-CN"/>
              </w:rPr>
              <w:t>。</w:t>
            </w:r>
          </w:p>
          <w:p w14:paraId="4B440824">
            <w:pPr>
              <w:bidi w:val="0"/>
              <w:rPr>
                <w:rFonts w:hint="default"/>
                <w:color w:val="auto"/>
                <w:highlight w:val="none"/>
                <w:lang w:val="en-US" w:eastAsia="zh-CN"/>
              </w:rPr>
            </w:pPr>
            <w:r>
              <w:rPr>
                <w:rFonts w:hint="eastAsia"/>
                <w:color w:val="auto"/>
                <w:highlight w:val="none"/>
                <w:lang w:val="en-US" w:eastAsia="zh-CN"/>
              </w:rPr>
              <w:t>③实验废水</w:t>
            </w:r>
          </w:p>
          <w:p w14:paraId="66242E65">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eastAsia" w:eastAsia="宋体" w:cs="宋体"/>
                <w:color w:val="auto"/>
                <w:highlight w:val="none"/>
                <w:lang w:eastAsia="zh-CN"/>
              </w:rPr>
            </w:pPr>
            <w:r>
              <w:rPr>
                <w:rFonts w:hint="eastAsia"/>
                <w:color w:val="auto"/>
                <w:highlight w:val="none"/>
                <w:lang w:val="en-US" w:eastAsia="zh-CN"/>
              </w:rPr>
              <w:t>本项目实验室用水量为0.59m</w:t>
            </w:r>
            <w:r>
              <w:rPr>
                <w:rFonts w:hint="eastAsia"/>
                <w:color w:val="auto"/>
                <w:highlight w:val="none"/>
                <w:vertAlign w:val="superscript"/>
                <w:lang w:val="en-US" w:eastAsia="zh-CN"/>
              </w:rPr>
              <w:t>3</w:t>
            </w:r>
            <w:r>
              <w:rPr>
                <w:rFonts w:hint="eastAsia"/>
                <w:color w:val="auto"/>
                <w:highlight w:val="none"/>
                <w:lang w:val="en-US" w:eastAsia="zh-CN"/>
              </w:rPr>
              <w:t>/d，</w:t>
            </w:r>
            <w:r>
              <w:rPr>
                <w:rFonts w:hint="eastAsia" w:eastAsia="宋体" w:cs="宋体"/>
                <w:color w:val="auto"/>
                <w:highlight w:val="none"/>
                <w:lang w:eastAsia="zh-CN"/>
              </w:rPr>
              <w:t>排污系数0.</w:t>
            </w:r>
            <w:r>
              <w:rPr>
                <w:rFonts w:hint="eastAsia" w:eastAsia="宋体" w:cs="宋体"/>
                <w:color w:val="auto"/>
                <w:highlight w:val="none"/>
                <w:lang w:val="en-US" w:eastAsia="zh-CN"/>
              </w:rPr>
              <w:t>9</w:t>
            </w:r>
            <w:r>
              <w:rPr>
                <w:rFonts w:hint="eastAsia" w:eastAsia="宋体" w:cs="宋体"/>
                <w:color w:val="auto"/>
                <w:highlight w:val="none"/>
                <w:lang w:eastAsia="zh-CN"/>
              </w:rPr>
              <w:t>，废水产生量为</w:t>
            </w:r>
            <w:r>
              <w:rPr>
                <w:rFonts w:hint="eastAsia" w:cs="宋体"/>
                <w:color w:val="auto"/>
                <w:highlight w:val="none"/>
                <w:lang w:val="en-US" w:eastAsia="zh-CN"/>
              </w:rPr>
              <w:t>0.53</w:t>
            </w:r>
            <w:r>
              <w:rPr>
                <w:rFonts w:ascii="Times New Roman" w:hAnsi="Times New Roman" w:eastAsia="宋体" w:cs="Times New Roman"/>
                <w:bCs/>
                <w:color w:val="auto"/>
                <w:sz w:val="24"/>
                <w:szCs w:val="24"/>
                <w:highlight w:val="none"/>
              </w:rPr>
              <w:t>m</w:t>
            </w:r>
            <w:r>
              <w:rPr>
                <w:rFonts w:ascii="Times New Roman" w:hAnsi="Times New Roman" w:eastAsia="宋体" w:cs="Times New Roman"/>
                <w:bCs/>
                <w:color w:val="auto"/>
                <w:sz w:val="24"/>
                <w:szCs w:val="24"/>
                <w:highlight w:val="none"/>
                <w:vertAlign w:val="superscript"/>
              </w:rPr>
              <w:t>3</w:t>
            </w:r>
            <w:r>
              <w:rPr>
                <w:rFonts w:ascii="Times New Roman" w:hAnsi="Times New Roman" w:eastAsia="宋体" w:cs="Times New Roman"/>
                <w:bCs/>
                <w:color w:val="auto"/>
                <w:sz w:val="24"/>
                <w:szCs w:val="24"/>
                <w:highlight w:val="none"/>
              </w:rPr>
              <w:t>/d</w:t>
            </w:r>
            <w:r>
              <w:rPr>
                <w:rFonts w:hint="eastAsia" w:eastAsia="宋体" w:cs="宋体"/>
                <w:color w:val="auto"/>
                <w:highlight w:val="none"/>
                <w:lang w:eastAsia="zh-CN"/>
              </w:rPr>
              <w:t>。</w:t>
            </w:r>
          </w:p>
          <w:p w14:paraId="1FDA08E4">
            <w:pPr>
              <w:bidi w:val="0"/>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④碱喷淋废水</w:t>
            </w:r>
          </w:p>
          <w:p w14:paraId="54784209">
            <w:pPr>
              <w:bidi w:val="0"/>
              <w:rPr>
                <w:rFonts w:hint="eastAsia"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本项目碱喷淋装置用水循环使用，碱喷淋装置本身包含有本体、填充层、除雾层、循环洒水管路及循环水箱等，其中循环水箱容积约1m</w:t>
            </w:r>
            <w:r>
              <w:rPr>
                <w:rFonts w:hint="default" w:ascii="Times New Roman" w:hAnsi="Times New Roman" w:eastAsia="宋体" w:cs="宋体"/>
                <w:color w:val="auto"/>
                <w:highlight w:val="none"/>
                <w:vertAlign w:val="superscript"/>
                <w:lang w:val="en-US" w:eastAsia="zh-CN"/>
              </w:rPr>
              <w:t>3</w:t>
            </w:r>
            <w:r>
              <w:rPr>
                <w:rFonts w:hint="default" w:ascii="Times New Roman" w:hAnsi="Times New Roman" w:eastAsia="宋体" w:cs="宋体"/>
                <w:color w:val="auto"/>
                <w:highlight w:val="none"/>
                <w:lang w:val="en-US" w:eastAsia="zh-CN"/>
              </w:rPr>
              <w:t>，循环水箱里的水按平均一</w:t>
            </w:r>
            <w:r>
              <w:rPr>
                <w:rFonts w:hint="eastAsia" w:ascii="Times New Roman" w:hAnsi="Times New Roman" w:eastAsia="宋体" w:cs="宋体"/>
                <w:color w:val="auto"/>
                <w:highlight w:val="none"/>
                <w:lang w:val="en-US" w:eastAsia="zh-CN"/>
              </w:rPr>
              <w:t>年</w:t>
            </w:r>
            <w:r>
              <w:rPr>
                <w:rFonts w:hint="default" w:ascii="Times New Roman" w:hAnsi="Times New Roman" w:eastAsia="宋体" w:cs="宋体"/>
                <w:color w:val="auto"/>
                <w:highlight w:val="none"/>
                <w:lang w:val="en-US" w:eastAsia="zh-CN"/>
              </w:rPr>
              <w:t>更换2次计，则碱喷淋废水量为2m</w:t>
            </w:r>
            <w:r>
              <w:rPr>
                <w:rFonts w:hint="default" w:ascii="Times New Roman" w:hAnsi="Times New Roman" w:eastAsia="宋体" w:cs="宋体"/>
                <w:color w:val="auto"/>
                <w:highlight w:val="none"/>
                <w:vertAlign w:val="superscript"/>
                <w:lang w:val="en-US" w:eastAsia="zh-CN"/>
              </w:rPr>
              <w:t>3</w:t>
            </w:r>
            <w:r>
              <w:rPr>
                <w:rFonts w:hint="default" w:ascii="Times New Roman" w:hAnsi="Times New Roman" w:eastAsia="宋体" w:cs="宋体"/>
                <w:color w:val="auto"/>
                <w:highlight w:val="none"/>
                <w:lang w:val="en-US" w:eastAsia="zh-CN"/>
              </w:rPr>
              <w:t>/a（0.01m</w:t>
            </w:r>
            <w:r>
              <w:rPr>
                <w:rFonts w:hint="default" w:ascii="Times New Roman" w:hAnsi="Times New Roman" w:eastAsia="宋体" w:cs="宋体"/>
                <w:color w:val="auto"/>
                <w:highlight w:val="none"/>
                <w:vertAlign w:val="superscript"/>
                <w:lang w:val="en-US" w:eastAsia="zh-CN"/>
              </w:rPr>
              <w:t>3</w:t>
            </w:r>
            <w:r>
              <w:rPr>
                <w:rFonts w:hint="default" w:ascii="Times New Roman" w:hAnsi="Times New Roman" w:eastAsia="宋体" w:cs="宋体"/>
                <w:color w:val="auto"/>
                <w:highlight w:val="none"/>
                <w:lang w:val="en-US" w:eastAsia="zh-CN"/>
              </w:rPr>
              <w:t>/d）。碱喷淋废水经酸碱中和池预处理后进入化粪池，最后通过学校废水排放口排至市政污水管网。</w:t>
            </w:r>
          </w:p>
          <w:p w14:paraId="0AC0606A">
            <w:pPr>
              <w:pStyle w:val="3"/>
              <w:keepNext w:val="0"/>
              <w:keepLines w:val="0"/>
              <w:pageBreakBefore w:val="0"/>
              <w:widowControl w:val="0"/>
              <w:numPr>
                <w:ilvl w:val="1"/>
                <w:numId w:val="0"/>
              </w:numPr>
              <w:kinsoku/>
              <w:wordWrap/>
              <w:overflowPunct/>
              <w:topLinePunct w:val="0"/>
              <w:autoSpaceDE/>
              <w:autoSpaceDN/>
              <w:bidi w:val="0"/>
              <w:adjustRightInd/>
              <w:snapToGrid/>
              <w:ind w:left="0" w:leftChars="0" w:firstLine="480" w:firstLineChars="200"/>
              <w:textAlignment w:val="auto"/>
              <w:rPr>
                <w:rFonts w:hint="default"/>
                <w:color w:val="auto"/>
                <w:sz w:val="24"/>
                <w:szCs w:val="24"/>
                <w:highlight w:val="none"/>
                <w:lang w:val="en-US" w:eastAsia="zh-CN"/>
              </w:rPr>
            </w:pPr>
            <w:r>
              <w:rPr>
                <w:rFonts w:hint="eastAsia"/>
                <w:color w:val="auto"/>
                <w:sz w:val="24"/>
                <w:szCs w:val="24"/>
                <w:highlight w:val="none"/>
                <w:lang w:val="en-US" w:eastAsia="zh-CN"/>
              </w:rPr>
              <w:t>生活污水经化粪池处理后通过校区总排口排入市政污水管网；食堂废水经隔油池预处理后进入化粪池最后由学校总排口排入市政污水管网；</w:t>
            </w:r>
            <w:r>
              <w:rPr>
                <w:rFonts w:hint="default" w:ascii="Times New Roman" w:hAnsi="Times New Roman" w:cs="Times New Roman"/>
                <w:color w:val="auto"/>
                <w:sz w:val="24"/>
                <w:szCs w:val="24"/>
                <w:highlight w:val="none"/>
                <w:u w:val="none"/>
                <w:lang w:eastAsia="zh-CN"/>
              </w:rPr>
              <w:t>化学</w:t>
            </w:r>
            <w:r>
              <w:rPr>
                <w:rFonts w:hint="default" w:ascii="Times New Roman" w:hAnsi="Times New Roman" w:cs="Times New Roman"/>
                <w:color w:val="auto"/>
                <w:sz w:val="24"/>
                <w:szCs w:val="24"/>
                <w:highlight w:val="none"/>
                <w:u w:val="none"/>
                <w:lang w:val="en-US" w:eastAsia="zh-CN"/>
              </w:rPr>
              <w:t>及生物</w:t>
            </w:r>
            <w:r>
              <w:rPr>
                <w:rFonts w:hint="default" w:ascii="Times New Roman" w:hAnsi="Times New Roman" w:cs="Times New Roman"/>
                <w:color w:val="auto"/>
                <w:sz w:val="24"/>
                <w:szCs w:val="24"/>
                <w:highlight w:val="none"/>
                <w:u w:val="none"/>
                <w:lang w:eastAsia="zh-CN"/>
              </w:rPr>
              <w:t>实验室废水单独设置排水系统，收集至室外酸碱中和池（</w:t>
            </w:r>
            <w:r>
              <w:rPr>
                <w:rFonts w:hint="default" w:ascii="Times New Roman" w:hAnsi="Times New Roman" w:cs="Times New Roman"/>
                <w:color w:val="auto"/>
                <w:sz w:val="24"/>
                <w:szCs w:val="24"/>
                <w:highlight w:val="none"/>
                <w:u w:val="none"/>
                <w:lang w:val="en-US" w:eastAsia="zh-CN"/>
              </w:rPr>
              <w:t>1</w:t>
            </w:r>
            <w:r>
              <w:rPr>
                <w:rFonts w:hint="default" w:ascii="Times New Roman" w:hAnsi="Times New Roman" w:eastAsia="宋体" w:cs="Times New Roman"/>
                <w:color w:val="auto"/>
                <w:kern w:val="0"/>
                <w:sz w:val="24"/>
                <w:szCs w:val="24"/>
                <w:highlight w:val="none"/>
                <w:lang w:val="en-US" w:eastAsia="zh-CN" w:bidi="ar"/>
              </w:rPr>
              <w:t>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cs="Times New Roman"/>
                <w:color w:val="auto"/>
                <w:sz w:val="24"/>
                <w:szCs w:val="24"/>
                <w:highlight w:val="none"/>
                <w:u w:val="none"/>
                <w:lang w:eastAsia="zh-CN"/>
              </w:rPr>
              <w:t>）调节后进入化粪池处理通过校区</w:t>
            </w:r>
            <w:r>
              <w:rPr>
                <w:rFonts w:hint="default" w:ascii="Times New Roman" w:hAnsi="Times New Roman" w:eastAsia="宋体" w:cs="Times New Roman"/>
                <w:color w:val="auto"/>
                <w:kern w:val="0"/>
                <w:sz w:val="24"/>
                <w:szCs w:val="24"/>
                <w:highlight w:val="none"/>
                <w:lang w:val="en-US" w:eastAsia="zh-CN" w:bidi="ar"/>
              </w:rPr>
              <w:t>总排口排入市政污水管网</w:t>
            </w:r>
            <w:r>
              <w:rPr>
                <w:rFonts w:hint="default" w:ascii="Times New Roman" w:hAnsi="Times New Roman" w:cs="Times New Roman"/>
                <w:color w:val="auto"/>
                <w:sz w:val="24"/>
                <w:szCs w:val="24"/>
                <w:highlight w:val="none"/>
                <w:u w:val="none"/>
                <w:lang w:eastAsia="zh-CN"/>
              </w:rPr>
              <w:t>。</w:t>
            </w:r>
            <w:r>
              <w:rPr>
                <w:rFonts w:hint="default" w:ascii="Times New Roman" w:hAnsi="Times New Roman" w:cs="Times New Roman"/>
                <w:color w:val="auto"/>
                <w:sz w:val="24"/>
                <w:szCs w:val="24"/>
                <w:highlight w:val="none"/>
              </w:rPr>
              <w:t>碱喷淋装置废水</w:t>
            </w:r>
            <w:r>
              <w:rPr>
                <w:rFonts w:hint="eastAsia" w:ascii="Times New Roman" w:hAnsi="Times New Roman" w:cs="Times New Roman"/>
                <w:color w:val="auto"/>
                <w:sz w:val="24"/>
                <w:szCs w:val="24"/>
                <w:highlight w:val="none"/>
                <w:lang w:val="en-US" w:eastAsia="zh-CN"/>
              </w:rPr>
              <w:t>经</w:t>
            </w:r>
            <w:r>
              <w:rPr>
                <w:rFonts w:hint="default" w:ascii="Times New Roman" w:hAnsi="Times New Roman" w:eastAsia="宋体" w:cs="Times New Roman"/>
                <w:color w:val="auto"/>
                <w:kern w:val="0"/>
                <w:sz w:val="24"/>
                <w:szCs w:val="24"/>
                <w:highlight w:val="none"/>
                <w:lang w:val="en-US" w:eastAsia="zh-CN" w:bidi="ar"/>
              </w:rPr>
              <w:t>酸碱中和池处理后进入化粪池处理，通过校区总排口排入市政污水管网。</w:t>
            </w:r>
          </w:p>
          <w:p w14:paraId="2FBC8255">
            <w:pPr>
              <w:bidi w:val="0"/>
              <w:rPr>
                <w:rFonts w:hint="eastAsia"/>
                <w:color w:val="auto"/>
                <w:highlight w:val="none"/>
                <w:lang w:eastAsia="zh-CN"/>
              </w:rPr>
            </w:pPr>
            <w:r>
              <w:rPr>
                <w:rFonts w:hint="eastAsia"/>
                <w:color w:val="auto"/>
                <w:highlight w:val="none"/>
                <w:lang w:eastAsia="zh-CN"/>
              </w:rPr>
              <w:t>本项目给排水情况见</w:t>
            </w:r>
            <w:r>
              <w:rPr>
                <w:rFonts w:hint="eastAsia"/>
                <w:color w:val="auto"/>
                <w:highlight w:val="none"/>
                <w:lang w:eastAsia="zh-CN"/>
              </w:rPr>
              <w:fldChar w:fldCharType="begin"/>
            </w:r>
            <w:r>
              <w:rPr>
                <w:rFonts w:hint="eastAsia"/>
                <w:color w:val="auto"/>
                <w:highlight w:val="none"/>
                <w:lang w:eastAsia="zh-CN"/>
              </w:rPr>
              <w:instrText xml:space="preserve"> REF _Ref21452 \h </w:instrText>
            </w:r>
            <w:r>
              <w:rPr>
                <w:rFonts w:hint="eastAsia"/>
                <w:color w:val="auto"/>
                <w:highlight w:val="none"/>
                <w:lang w:eastAsia="zh-CN"/>
              </w:rPr>
              <w:fldChar w:fldCharType="separate"/>
            </w:r>
            <w:r>
              <w:rPr>
                <w:rFonts w:hint="eastAsia"/>
                <w:color w:val="auto"/>
                <w:highlight w:val="none"/>
                <w:lang w:eastAsia="zh-CN"/>
              </w:rPr>
              <w:t>表</w:t>
            </w:r>
            <w:r>
              <w:rPr>
                <w:color w:val="auto"/>
                <w:highlight w:val="none"/>
              </w:rPr>
              <w:fldChar w:fldCharType="begin"/>
            </w:r>
            <w:r>
              <w:rPr>
                <w:color w:val="auto"/>
                <w:highlight w:val="none"/>
              </w:rPr>
              <w:instrText xml:space="preserve"> STYLEREF 1 \s </w:instrText>
            </w:r>
            <w:r>
              <w:rPr>
                <w:color w:val="auto"/>
                <w:highlight w:val="none"/>
              </w:rPr>
              <w:fldChar w:fldCharType="separate"/>
            </w:r>
            <w:r>
              <w:rPr>
                <w:color w:val="auto"/>
                <w:highlight w:val="none"/>
              </w:rPr>
              <w:t>2</w:t>
            </w:r>
            <w:r>
              <w:rPr>
                <w:color w:val="auto"/>
                <w:highlight w:val="none"/>
              </w:rPr>
              <w:fldChar w:fldCharType="end"/>
            </w:r>
            <w:r>
              <w:rPr>
                <w:rFonts w:hint="eastAsia"/>
                <w:color w:val="auto"/>
                <w:highlight w:val="none"/>
                <w:lang w:eastAsia="zh-CN"/>
              </w:rPr>
              <w:t>-</w:t>
            </w:r>
            <w:r>
              <w:rPr>
                <w:color w:val="auto"/>
                <w:highlight w:val="none"/>
              </w:rPr>
              <w:t>10</w:t>
            </w:r>
            <w:r>
              <w:rPr>
                <w:rFonts w:hint="eastAsia"/>
                <w:color w:val="auto"/>
                <w:highlight w:val="none"/>
                <w:lang w:eastAsia="zh-CN"/>
              </w:rPr>
              <w:fldChar w:fldCharType="end"/>
            </w:r>
            <w:r>
              <w:rPr>
                <w:rFonts w:hint="eastAsia"/>
                <w:color w:val="auto"/>
                <w:highlight w:val="none"/>
                <w:lang w:eastAsia="zh-CN"/>
              </w:rPr>
              <w:t>，给排水平衡图见</w:t>
            </w:r>
            <w:r>
              <w:rPr>
                <w:rFonts w:hint="eastAsia"/>
                <w:color w:val="auto"/>
                <w:highlight w:val="none"/>
                <w:lang w:eastAsia="zh-CN"/>
              </w:rPr>
              <w:fldChar w:fldCharType="begin"/>
            </w:r>
            <w:r>
              <w:rPr>
                <w:rFonts w:hint="eastAsia"/>
                <w:color w:val="auto"/>
                <w:highlight w:val="none"/>
                <w:lang w:eastAsia="zh-CN"/>
              </w:rPr>
              <w:instrText xml:space="preserve"> REF _Ref7972 \h </w:instrText>
            </w:r>
            <w:r>
              <w:rPr>
                <w:rFonts w:hint="eastAsia"/>
                <w:color w:val="auto"/>
                <w:highlight w:val="none"/>
                <w:lang w:eastAsia="zh-CN"/>
              </w:rPr>
              <w:fldChar w:fldCharType="separate"/>
            </w:r>
            <w:r>
              <w:rPr>
                <w:rFonts w:hint="default" w:ascii="Times New Roman" w:hAnsi="Times New Roman" w:eastAsia="宋体" w:cs="Times New Roman"/>
                <w:color w:val="auto"/>
                <w:sz w:val="24"/>
                <w:szCs w:val="24"/>
                <w:highlight w:val="none"/>
              </w:rPr>
              <w:t>图</w:t>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STYLEREF 1 \s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2</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1</w:t>
            </w:r>
            <w:r>
              <w:rPr>
                <w:rFonts w:hint="eastAsia"/>
                <w:color w:val="auto"/>
                <w:highlight w:val="none"/>
                <w:lang w:eastAsia="zh-CN"/>
              </w:rPr>
              <w:fldChar w:fldCharType="end"/>
            </w:r>
            <w:r>
              <w:rPr>
                <w:rFonts w:hint="eastAsia"/>
                <w:color w:val="auto"/>
                <w:sz w:val="24"/>
                <w:szCs w:val="24"/>
                <w:highlight w:val="none"/>
                <w:lang w:eastAsia="zh-CN"/>
              </w:rPr>
              <w:t>、</w:t>
            </w:r>
            <w:r>
              <w:rPr>
                <w:rFonts w:hint="eastAsia"/>
                <w:color w:val="auto"/>
                <w:sz w:val="24"/>
                <w:szCs w:val="24"/>
                <w:highlight w:val="none"/>
                <w:lang w:eastAsia="zh-CN"/>
              </w:rPr>
              <w:fldChar w:fldCharType="begin"/>
            </w:r>
            <w:r>
              <w:rPr>
                <w:rFonts w:hint="eastAsia"/>
                <w:color w:val="auto"/>
                <w:sz w:val="24"/>
                <w:szCs w:val="24"/>
                <w:highlight w:val="none"/>
                <w:lang w:eastAsia="zh-CN"/>
              </w:rPr>
              <w:instrText xml:space="preserve"> REF _Ref10600 \h </w:instrText>
            </w:r>
            <w:r>
              <w:rPr>
                <w:rFonts w:hint="eastAsia"/>
                <w:color w:val="auto"/>
                <w:sz w:val="24"/>
                <w:szCs w:val="24"/>
                <w:highlight w:val="none"/>
                <w:lang w:eastAsia="zh-CN"/>
              </w:rPr>
              <w:fldChar w:fldCharType="separate"/>
            </w:r>
            <w:r>
              <w:rPr>
                <w:rFonts w:hint="default" w:ascii="Times New Roman" w:hAnsi="Times New Roman" w:eastAsia="宋体" w:cs="Times New Roman"/>
                <w:color w:val="auto"/>
                <w:sz w:val="24"/>
                <w:szCs w:val="24"/>
                <w:highlight w:val="none"/>
              </w:rPr>
              <w:t>图</w:t>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STYLEREF 1 \s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2</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2</w:t>
            </w:r>
            <w:r>
              <w:rPr>
                <w:rFonts w:hint="eastAsia"/>
                <w:color w:val="auto"/>
                <w:sz w:val="24"/>
                <w:szCs w:val="24"/>
                <w:highlight w:val="none"/>
                <w:lang w:eastAsia="zh-CN"/>
              </w:rPr>
              <w:fldChar w:fldCharType="end"/>
            </w:r>
            <w:r>
              <w:rPr>
                <w:rFonts w:hint="eastAsia"/>
                <w:color w:val="auto"/>
                <w:sz w:val="24"/>
                <w:szCs w:val="24"/>
                <w:highlight w:val="none"/>
                <w:lang w:eastAsia="zh-CN"/>
              </w:rPr>
              <w:t>。</w:t>
            </w:r>
          </w:p>
          <w:p w14:paraId="2E10FA69">
            <w:pPr>
              <w:pStyle w:val="12"/>
              <w:bidi w:val="0"/>
              <w:rPr>
                <w:rFonts w:hint="eastAsia"/>
                <w:color w:val="auto"/>
                <w:highlight w:val="none"/>
              </w:rPr>
            </w:pPr>
            <w:bookmarkStart w:id="16" w:name="_Ref21452"/>
            <w:r>
              <w:rPr>
                <w:rFonts w:hint="eastAsia"/>
                <w:color w:val="auto"/>
                <w:highlight w:val="none"/>
                <w:lang w:eastAsia="zh-CN"/>
              </w:rPr>
              <w:t>表</w:t>
            </w:r>
            <w:r>
              <w:rPr>
                <w:color w:val="auto"/>
                <w:highlight w:val="none"/>
              </w:rPr>
              <w:fldChar w:fldCharType="begin"/>
            </w:r>
            <w:r>
              <w:rPr>
                <w:color w:val="auto"/>
                <w:highlight w:val="none"/>
              </w:rPr>
              <w:instrText xml:space="preserve"> STYLEREF 1 \s </w:instrText>
            </w:r>
            <w:r>
              <w:rPr>
                <w:color w:val="auto"/>
                <w:highlight w:val="none"/>
              </w:rPr>
              <w:fldChar w:fldCharType="separate"/>
            </w:r>
            <w:r>
              <w:rPr>
                <w:color w:val="auto"/>
                <w:highlight w:val="none"/>
              </w:rPr>
              <w:t>2</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表 \* ARABIC \s 1 </w:instrText>
            </w:r>
            <w:r>
              <w:rPr>
                <w:color w:val="auto"/>
                <w:highlight w:val="none"/>
              </w:rPr>
              <w:fldChar w:fldCharType="separate"/>
            </w:r>
            <w:r>
              <w:rPr>
                <w:color w:val="auto"/>
                <w:highlight w:val="none"/>
              </w:rPr>
              <w:t>10</w:t>
            </w:r>
            <w:r>
              <w:rPr>
                <w:color w:val="auto"/>
                <w:highlight w:val="none"/>
              </w:rPr>
              <w:fldChar w:fldCharType="end"/>
            </w:r>
            <w:bookmarkEnd w:id="16"/>
            <w:r>
              <w:rPr>
                <w:rFonts w:hint="eastAsia"/>
                <w:color w:val="auto"/>
                <w:highlight w:val="none"/>
              </w:rPr>
              <w:t>项目给排水情况一览表（单位：m</w:t>
            </w:r>
            <w:r>
              <w:rPr>
                <w:rFonts w:hint="eastAsia"/>
                <w:color w:val="auto"/>
                <w:highlight w:val="none"/>
                <w:vertAlign w:val="superscript"/>
              </w:rPr>
              <w:t>3</w:t>
            </w:r>
            <w:r>
              <w:rPr>
                <w:rFonts w:hint="eastAsia"/>
                <w:color w:val="auto"/>
                <w:highlight w:val="none"/>
              </w:rPr>
              <w:t>/d）</w:t>
            </w:r>
          </w:p>
          <w:tbl>
            <w:tblPr>
              <w:tblStyle w:val="33"/>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4"/>
              <w:gridCol w:w="1294"/>
              <w:gridCol w:w="1622"/>
              <w:gridCol w:w="1733"/>
              <w:gridCol w:w="1144"/>
              <w:gridCol w:w="1061"/>
              <w:gridCol w:w="859"/>
            </w:tblGrid>
            <w:tr w14:paraId="51069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1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C2EA6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名称</w:t>
                  </w:r>
                </w:p>
              </w:tc>
              <w:tc>
                <w:tcPr>
                  <w:tcW w:w="9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3D2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用水定额</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97C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用水规模</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B0F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用水量</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17FB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新鲜水量</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5F0B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废水量</w:t>
                  </w:r>
                </w:p>
              </w:tc>
            </w:tr>
            <w:tr w14:paraId="16CDF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1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67554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生活污水</w:t>
                  </w:r>
                </w:p>
              </w:tc>
              <w:tc>
                <w:tcPr>
                  <w:tcW w:w="9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536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25m</w:t>
                  </w:r>
                  <w:r>
                    <w:rPr>
                      <w:rStyle w:val="54"/>
                      <w:rFonts w:hint="default" w:ascii="Times New Roman" w:hAnsi="Times New Roman" w:eastAsia="宋体" w:cs="Times New Roman"/>
                      <w:color w:val="auto"/>
                      <w:sz w:val="21"/>
                      <w:szCs w:val="21"/>
                      <w:highlight w:val="none"/>
                      <w:lang w:val="en-US" w:eastAsia="zh-CN" w:bidi="ar"/>
                    </w:rPr>
                    <w:t>3</w:t>
                  </w:r>
                  <w:r>
                    <w:rPr>
                      <w:rStyle w:val="53"/>
                      <w:rFonts w:hint="default" w:ascii="Times New Roman" w:hAnsi="Times New Roman" w:eastAsia="宋体" w:cs="Times New Roman"/>
                      <w:color w:val="auto"/>
                      <w:sz w:val="21"/>
                      <w:szCs w:val="21"/>
                      <w:highlight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w:t>
                  </w:r>
                  <w:r>
                    <w:rPr>
                      <w:rStyle w:val="53"/>
                      <w:rFonts w:hint="default" w:ascii="Times New Roman" w:hAnsi="Times New Roman" w:eastAsia="宋体" w:cs="Times New Roman"/>
                      <w:color w:val="auto"/>
                      <w:sz w:val="21"/>
                      <w:szCs w:val="21"/>
                      <w:highlight w:val="none"/>
                      <w:lang w:val="en-US" w:eastAsia="zh-CN" w:bidi="ar"/>
                    </w:rPr>
                    <w:t>p</w:t>
                  </w:r>
                  <w:r>
                    <w:rPr>
                      <w:rFonts w:hint="default" w:ascii="Times New Roman" w:hAnsi="Times New Roman" w:eastAsia="宋体" w:cs="Times New Roman"/>
                      <w:i w:val="0"/>
                      <w:iCs w:val="0"/>
                      <w:color w:val="auto"/>
                      <w:kern w:val="0"/>
                      <w:sz w:val="21"/>
                      <w:szCs w:val="21"/>
                      <w:highlight w:val="none"/>
                      <w:u w:val="none"/>
                      <w:lang w:val="en-US" w:eastAsia="zh-CN" w:bidi="ar"/>
                    </w:rPr>
                    <w:t>·</w:t>
                  </w:r>
                  <w:r>
                    <w:rPr>
                      <w:rStyle w:val="53"/>
                      <w:rFonts w:hint="default" w:ascii="Times New Roman" w:hAnsi="Times New Roman" w:eastAsia="宋体" w:cs="Times New Roman"/>
                      <w:color w:val="auto"/>
                      <w:sz w:val="21"/>
                      <w:szCs w:val="21"/>
                      <w:highlight w:val="none"/>
                      <w:lang w:val="en-US" w:eastAsia="zh-CN" w:bidi="ar"/>
                    </w:rPr>
                    <w:t>a</w:t>
                  </w: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D8C9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eastAsia" w:ascii="Times New Roman" w:hAnsi="Times New Roman" w:eastAsia="宋体" w:cs="Times New Roman"/>
                      <w:i w:val="0"/>
                      <w:iCs w:val="0"/>
                      <w:color w:val="auto"/>
                      <w:kern w:val="0"/>
                      <w:sz w:val="21"/>
                      <w:szCs w:val="21"/>
                      <w:highlight w:val="none"/>
                      <w:u w:val="none"/>
                      <w:lang w:val="en-US" w:eastAsia="zh-CN" w:bidi="ar"/>
                    </w:rPr>
                    <w:t>1625</w:t>
                  </w:r>
                  <w:r>
                    <w:rPr>
                      <w:rFonts w:hint="default" w:ascii="Times New Roman" w:hAnsi="Times New Roman" w:eastAsia="宋体" w:cs="Times New Roman"/>
                      <w:i w:val="0"/>
                      <w:iCs w:val="0"/>
                      <w:color w:val="auto"/>
                      <w:kern w:val="0"/>
                      <w:sz w:val="21"/>
                      <w:szCs w:val="21"/>
                      <w:highlight w:val="none"/>
                      <w:u w:val="none"/>
                      <w:lang w:val="en-US" w:eastAsia="zh-CN" w:bidi="ar"/>
                    </w:rPr>
                    <w:t>人</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D2E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203.13</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0F06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eastAsia" w:ascii="Times New Roman" w:hAnsi="Times New Roman" w:eastAsia="宋体" w:cs="Times New Roman"/>
                      <w:i w:val="0"/>
                      <w:iCs w:val="0"/>
                      <w:color w:val="auto"/>
                      <w:kern w:val="0"/>
                      <w:sz w:val="21"/>
                      <w:szCs w:val="21"/>
                      <w:highlight w:val="none"/>
                      <w:u w:val="none"/>
                      <w:lang w:val="en-US" w:eastAsia="zh-CN" w:bidi="ar"/>
                    </w:rPr>
                    <w:t>203.13</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0C43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lang w:val="en-US"/>
                    </w:rPr>
                  </w:pPr>
                  <w:r>
                    <w:rPr>
                      <w:rFonts w:hint="eastAsia" w:ascii="Times New Roman" w:hAnsi="Times New Roman" w:eastAsia="宋体" w:cs="Times New Roman"/>
                      <w:i w:val="0"/>
                      <w:iCs w:val="0"/>
                      <w:color w:val="auto"/>
                      <w:kern w:val="0"/>
                      <w:sz w:val="21"/>
                      <w:szCs w:val="21"/>
                      <w:highlight w:val="none"/>
                      <w:u w:val="none"/>
                      <w:lang w:val="en-US" w:eastAsia="zh-CN" w:bidi="ar"/>
                    </w:rPr>
                    <w:t>162.5</w:t>
                  </w:r>
                </w:p>
              </w:tc>
            </w:tr>
            <w:tr w14:paraId="0A8C8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1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4ACA2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食堂用水</w:t>
                  </w:r>
                </w:p>
              </w:tc>
              <w:tc>
                <w:tcPr>
                  <w:tcW w:w="9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CEA9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default" w:ascii="Times New Roman" w:hAnsi="Times New Roman" w:cs="Times New Roman"/>
                      <w:color w:val="auto"/>
                      <w:sz w:val="21"/>
                      <w:szCs w:val="21"/>
                      <w:highlight w:val="none"/>
                      <w:lang w:val="en-US" w:eastAsia="zh-CN"/>
                    </w:rPr>
                    <w:t>9.1m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vertAlign w:val="superscript"/>
                      <w:lang w:val="en-US" w:eastAsia="zh-CN"/>
                    </w:rPr>
                    <w:t>2</w:t>
                  </w:r>
                  <w:r>
                    <w:rPr>
                      <w:rFonts w:hint="default" w:ascii="Times New Roman" w:hAnsi="Times New Roman" w:cs="Times New Roman"/>
                      <w:color w:val="auto"/>
                      <w:sz w:val="21"/>
                      <w:szCs w:val="21"/>
                      <w:highlight w:val="none"/>
                      <w:lang w:val="en-US" w:eastAsia="zh-CN"/>
                    </w:rPr>
                    <w:t>·a）</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4D25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lang w:val="en-US"/>
                    </w:rPr>
                  </w:pPr>
                  <w:r>
                    <w:rPr>
                      <w:rFonts w:hint="eastAsia" w:cs="Times New Roman"/>
                      <w:i w:val="0"/>
                      <w:iCs w:val="0"/>
                      <w:color w:val="auto"/>
                      <w:kern w:val="0"/>
                      <w:sz w:val="21"/>
                      <w:szCs w:val="21"/>
                      <w:highlight w:val="none"/>
                      <w:u w:val="none"/>
                      <w:lang w:val="en-US" w:eastAsia="zh-CN" w:bidi="ar"/>
                    </w:rPr>
                    <w:t>1500m</w:t>
                  </w:r>
                  <w:r>
                    <w:rPr>
                      <w:rFonts w:hint="eastAsia" w:cs="Times New Roman"/>
                      <w:i w:val="0"/>
                      <w:iCs w:val="0"/>
                      <w:color w:val="auto"/>
                      <w:kern w:val="0"/>
                      <w:sz w:val="21"/>
                      <w:szCs w:val="21"/>
                      <w:highlight w:val="none"/>
                      <w:u w:val="none"/>
                      <w:vertAlign w:val="superscript"/>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5823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lang w:val="en-US"/>
                    </w:rPr>
                  </w:pPr>
                  <w:r>
                    <w:rPr>
                      <w:rFonts w:hint="eastAsia" w:cs="Times New Roman"/>
                      <w:i w:val="0"/>
                      <w:iCs w:val="0"/>
                      <w:color w:val="auto"/>
                      <w:kern w:val="0"/>
                      <w:sz w:val="21"/>
                      <w:szCs w:val="21"/>
                      <w:highlight w:val="none"/>
                      <w:u w:val="none"/>
                      <w:lang w:val="en-US" w:eastAsia="zh-CN" w:bidi="ar"/>
                    </w:rPr>
                    <w:t>68.25</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9A3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eastAsia" w:cs="Times New Roman"/>
                      <w:i w:val="0"/>
                      <w:iCs w:val="0"/>
                      <w:color w:val="auto"/>
                      <w:kern w:val="0"/>
                      <w:sz w:val="21"/>
                      <w:szCs w:val="21"/>
                      <w:highlight w:val="none"/>
                      <w:u w:val="none"/>
                      <w:lang w:val="en-US" w:eastAsia="zh-CN" w:bidi="ar"/>
                    </w:rPr>
                    <w:t>68.25</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D349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lang w:val="en-US"/>
                    </w:rPr>
                  </w:pPr>
                  <w:r>
                    <w:rPr>
                      <w:rFonts w:hint="eastAsia" w:cs="Times New Roman"/>
                      <w:i w:val="0"/>
                      <w:iCs w:val="0"/>
                      <w:color w:val="auto"/>
                      <w:kern w:val="0"/>
                      <w:sz w:val="21"/>
                      <w:szCs w:val="21"/>
                      <w:highlight w:val="none"/>
                      <w:u w:val="none"/>
                      <w:lang w:val="en-US" w:eastAsia="zh-CN" w:bidi="ar"/>
                    </w:rPr>
                    <w:t>61.43</w:t>
                  </w:r>
                </w:p>
              </w:tc>
            </w:tr>
            <w:tr w14:paraId="46F8A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1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15E0F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实验室用水</w:t>
                  </w:r>
                </w:p>
              </w:tc>
              <w:tc>
                <w:tcPr>
                  <w:tcW w:w="9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1D8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default" w:ascii="Times New Roman" w:hAnsi="Times New Roman" w:eastAsia="宋体" w:cs="Times New Roman"/>
                      <w:color w:val="auto"/>
                      <w:sz w:val="21"/>
                      <w:szCs w:val="21"/>
                      <w:highlight w:val="none"/>
                      <w:u w:val="none"/>
                      <w:lang w:val="en-US" w:eastAsia="zh-CN"/>
                    </w:rPr>
                    <w:t>3L/人</w:t>
                  </w:r>
                  <w:r>
                    <w:rPr>
                      <w:rFonts w:hint="default" w:ascii="Times New Roman" w:hAnsi="Times New Roman"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u w:val="none"/>
                      <w:lang w:val="en-US" w:eastAsia="zh-CN"/>
                    </w:rPr>
                    <w:t>次</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C3CA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1500人，26次/a</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20D2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0.59</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D66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eastAsia" w:cs="Times New Roman"/>
                      <w:i w:val="0"/>
                      <w:iCs w:val="0"/>
                      <w:color w:val="auto"/>
                      <w:sz w:val="21"/>
                      <w:szCs w:val="21"/>
                      <w:highlight w:val="none"/>
                      <w:u w:val="none"/>
                      <w:lang w:val="en-US" w:eastAsia="zh-CN"/>
                    </w:rPr>
                    <w:t>0.59</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554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0.53</w:t>
                  </w:r>
                </w:p>
              </w:tc>
            </w:tr>
            <w:tr w14:paraId="0D307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1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8AA3A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碱喷淋用水</w:t>
                  </w:r>
                </w:p>
              </w:tc>
              <w:tc>
                <w:tcPr>
                  <w:tcW w:w="9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C926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1D0B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BC17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0.025</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616D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0.025</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DB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0.01</w:t>
                  </w:r>
                </w:p>
              </w:tc>
            </w:tr>
            <w:tr w14:paraId="5C021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1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2303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绿化用水</w:t>
                  </w:r>
                </w:p>
              </w:tc>
              <w:tc>
                <w:tcPr>
                  <w:tcW w:w="9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D9DF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3.6L/（</w:t>
                  </w:r>
                  <w:r>
                    <w:rPr>
                      <w:rStyle w:val="53"/>
                      <w:rFonts w:hint="default" w:ascii="Times New Roman" w:hAnsi="Times New Roman" w:eastAsia="宋体" w:cs="Times New Roman"/>
                      <w:color w:val="auto"/>
                      <w:sz w:val="21"/>
                      <w:szCs w:val="21"/>
                      <w:highlight w:val="none"/>
                      <w:lang w:val="en-US" w:eastAsia="zh-CN" w:bidi="ar"/>
                    </w:rPr>
                    <w:t>m</w:t>
                  </w:r>
                  <w:r>
                    <w:rPr>
                      <w:rStyle w:val="54"/>
                      <w:rFonts w:hint="default" w:ascii="Times New Roman" w:hAnsi="Times New Roman" w:eastAsia="宋体" w:cs="Times New Roman"/>
                      <w:color w:val="auto"/>
                      <w:sz w:val="21"/>
                      <w:szCs w:val="21"/>
                      <w:highlight w:val="none"/>
                      <w:lang w:val="en-US" w:eastAsia="zh-CN" w:bidi="ar"/>
                    </w:rPr>
                    <w:t>2</w:t>
                  </w:r>
                  <w:r>
                    <w:rPr>
                      <w:rFonts w:hint="default" w:ascii="Times New Roman" w:hAnsi="Times New Roman" w:eastAsia="宋体" w:cs="Times New Roman"/>
                      <w:i w:val="0"/>
                      <w:iCs w:val="0"/>
                      <w:color w:val="auto"/>
                      <w:kern w:val="0"/>
                      <w:sz w:val="21"/>
                      <w:szCs w:val="21"/>
                      <w:highlight w:val="none"/>
                      <w:u w:val="none"/>
                      <w:lang w:val="en-US" w:eastAsia="zh-CN" w:bidi="ar"/>
                    </w:rPr>
                    <w:t>·</w:t>
                  </w:r>
                  <w:r>
                    <w:rPr>
                      <w:rStyle w:val="53"/>
                      <w:rFonts w:hint="default" w:ascii="Times New Roman" w:hAnsi="Times New Roman" w:eastAsia="宋体" w:cs="Times New Roman"/>
                      <w:color w:val="auto"/>
                      <w:sz w:val="21"/>
                      <w:szCs w:val="21"/>
                      <w:highlight w:val="none"/>
                      <w:lang w:val="en-US" w:eastAsia="zh-CN" w:bidi="ar"/>
                    </w:rPr>
                    <w:t>d</w:t>
                  </w: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4C6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eastAsia" w:cs="Times New Roman"/>
                      <w:i w:val="0"/>
                      <w:iCs w:val="0"/>
                      <w:color w:val="auto"/>
                      <w:kern w:val="0"/>
                      <w:sz w:val="21"/>
                      <w:szCs w:val="21"/>
                      <w:highlight w:val="none"/>
                      <w:u w:val="none"/>
                      <w:lang w:val="en-US" w:eastAsia="zh-CN" w:bidi="ar"/>
                    </w:rPr>
                    <w:t>3204</w:t>
                  </w:r>
                  <w:r>
                    <w:rPr>
                      <w:rFonts w:hint="default" w:ascii="Times New Roman" w:hAnsi="Times New Roman" w:eastAsia="宋体" w:cs="Times New Roman"/>
                      <w:i w:val="0"/>
                      <w:iCs w:val="0"/>
                      <w:color w:val="auto"/>
                      <w:kern w:val="0"/>
                      <w:sz w:val="21"/>
                      <w:szCs w:val="21"/>
                      <w:highlight w:val="none"/>
                      <w:u w:val="none"/>
                      <w:lang w:val="en-US" w:eastAsia="zh-CN" w:bidi="ar"/>
                    </w:rPr>
                    <w:t>m</w:t>
                  </w:r>
                  <w:r>
                    <w:rPr>
                      <w:rStyle w:val="54"/>
                      <w:rFonts w:hint="default" w:ascii="Times New Roman" w:hAnsi="Times New Roman" w:eastAsia="宋体" w:cs="Times New Roman"/>
                      <w:color w:val="auto"/>
                      <w:sz w:val="21"/>
                      <w:szCs w:val="21"/>
                      <w:highlight w:val="none"/>
                      <w:lang w:val="en-US" w:eastAsia="zh-CN" w:bidi="ar"/>
                    </w:rPr>
                    <w:t>2</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FE7E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lang w:val="en-US"/>
                    </w:rPr>
                  </w:pPr>
                  <w:r>
                    <w:rPr>
                      <w:rFonts w:hint="eastAsia" w:cs="Times New Roman"/>
                      <w:i w:val="0"/>
                      <w:iCs w:val="0"/>
                      <w:color w:val="auto"/>
                      <w:kern w:val="0"/>
                      <w:sz w:val="21"/>
                      <w:szCs w:val="21"/>
                      <w:highlight w:val="none"/>
                      <w:u w:val="none"/>
                      <w:lang w:val="en-US" w:eastAsia="zh-CN" w:bidi="ar"/>
                    </w:rPr>
                    <w:t>11.53</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065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eastAsia" w:cs="Times New Roman"/>
                      <w:i w:val="0"/>
                      <w:iCs w:val="0"/>
                      <w:color w:val="auto"/>
                      <w:kern w:val="0"/>
                      <w:sz w:val="21"/>
                      <w:szCs w:val="21"/>
                      <w:highlight w:val="none"/>
                      <w:u w:val="none"/>
                      <w:lang w:val="en-US" w:eastAsia="zh-CN" w:bidi="ar"/>
                    </w:rPr>
                    <w:t>11.53</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FFDD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r>
            <w:tr w14:paraId="1B1E9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18" w:type="pct"/>
                  <w:vMerge w:val="restart"/>
                  <w:tcBorders>
                    <w:top w:val="single" w:color="000000" w:sz="4" w:space="0"/>
                    <w:left w:val="single" w:color="000000" w:sz="4" w:space="0"/>
                    <w:right w:val="single" w:color="000000" w:sz="4" w:space="0"/>
                  </w:tcBorders>
                  <w:shd w:val="clear" w:color="auto" w:fill="auto"/>
                  <w:vAlign w:val="center"/>
                </w:tcPr>
                <w:p w14:paraId="1A842B1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i w:val="0"/>
                      <w:iCs w:val="0"/>
                      <w:color w:val="auto"/>
                      <w:sz w:val="21"/>
                      <w:szCs w:val="21"/>
                      <w:highlight w:val="none"/>
                      <w:u w:val="none"/>
                      <w:lang w:val="en-US" w:eastAsia="zh-CN"/>
                    </w:rPr>
                  </w:pPr>
                  <w:r>
                    <w:rPr>
                      <w:rFonts w:hint="eastAsia" w:ascii="Times New Roman" w:hAnsi="Times New Roman" w:eastAsia="宋体" w:cs="Times New Roman"/>
                      <w:i w:val="0"/>
                      <w:iCs w:val="0"/>
                      <w:color w:val="auto"/>
                      <w:sz w:val="21"/>
                      <w:szCs w:val="21"/>
                      <w:highlight w:val="none"/>
                      <w:u w:val="none"/>
                      <w:lang w:val="en-US" w:eastAsia="zh-CN"/>
                    </w:rPr>
                    <w:t>合计</w:t>
                  </w:r>
                </w:p>
              </w:tc>
              <w:tc>
                <w:tcPr>
                  <w:tcW w:w="7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24CB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采暖期</w:t>
                  </w:r>
                </w:p>
              </w:tc>
              <w:tc>
                <w:tcPr>
                  <w:tcW w:w="9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DC8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DD0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2AA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271.9</w:t>
                  </w:r>
                  <w:r>
                    <w:rPr>
                      <w:rFonts w:hint="eastAsia" w:cs="Times New Roman"/>
                      <w:i w:val="0"/>
                      <w:iCs w:val="0"/>
                      <w:color w:val="auto"/>
                      <w:kern w:val="0"/>
                      <w:sz w:val="21"/>
                      <w:szCs w:val="21"/>
                      <w:highlight w:val="none"/>
                      <w:u w:val="none"/>
                      <w:lang w:val="en-US" w:eastAsia="zh-CN" w:bidi="ar"/>
                    </w:rPr>
                    <w:t>95</w:t>
                  </w:r>
                </w:p>
              </w:tc>
              <w:tc>
                <w:tcPr>
                  <w:tcW w:w="10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4913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271.9</w:t>
                  </w:r>
                  <w:r>
                    <w:rPr>
                      <w:rFonts w:hint="eastAsia" w:cs="Times New Roman"/>
                      <w:i w:val="0"/>
                      <w:iCs w:val="0"/>
                      <w:color w:val="auto"/>
                      <w:kern w:val="0"/>
                      <w:sz w:val="21"/>
                      <w:szCs w:val="21"/>
                      <w:highlight w:val="none"/>
                      <w:u w:val="none"/>
                      <w:lang w:val="en-US" w:eastAsia="zh-CN" w:bidi="ar"/>
                    </w:rPr>
                    <w:t>95</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589A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224.4</w:t>
                  </w:r>
                  <w:r>
                    <w:rPr>
                      <w:rFonts w:hint="eastAsia" w:cs="Times New Roman"/>
                      <w:i w:val="0"/>
                      <w:iCs w:val="0"/>
                      <w:color w:val="auto"/>
                      <w:kern w:val="0"/>
                      <w:sz w:val="21"/>
                      <w:szCs w:val="21"/>
                      <w:highlight w:val="none"/>
                      <w:u w:val="none"/>
                      <w:lang w:val="en-US" w:eastAsia="zh-CN" w:bidi="ar"/>
                    </w:rPr>
                    <w:t>7</w:t>
                  </w:r>
                </w:p>
              </w:tc>
            </w:tr>
            <w:tr w14:paraId="2B5B9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418" w:type="pct"/>
                  <w:vMerge w:val="continue"/>
                  <w:tcBorders>
                    <w:left w:val="single" w:color="000000" w:sz="4" w:space="0"/>
                    <w:bottom w:val="single" w:color="000000" w:sz="4" w:space="0"/>
                    <w:right w:val="single" w:color="000000" w:sz="4" w:space="0"/>
                  </w:tcBorders>
                  <w:shd w:val="clear" w:color="auto" w:fill="auto"/>
                  <w:vAlign w:val="center"/>
                </w:tcPr>
                <w:p w14:paraId="564E26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p>
              </w:tc>
              <w:tc>
                <w:tcPr>
                  <w:tcW w:w="7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7FA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非采暖期</w:t>
                  </w:r>
                </w:p>
              </w:tc>
              <w:tc>
                <w:tcPr>
                  <w:tcW w:w="9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8DCC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969C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10D1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283.5</w:t>
                  </w:r>
                  <w:r>
                    <w:rPr>
                      <w:rFonts w:hint="eastAsia" w:cs="Times New Roman"/>
                      <w:i w:val="0"/>
                      <w:iCs w:val="0"/>
                      <w:color w:val="auto"/>
                      <w:kern w:val="0"/>
                      <w:sz w:val="21"/>
                      <w:szCs w:val="21"/>
                      <w:highlight w:val="none"/>
                      <w:u w:val="none"/>
                      <w:lang w:val="en-US" w:eastAsia="zh-CN" w:bidi="ar"/>
                    </w:rPr>
                    <w:t>25</w:t>
                  </w:r>
                </w:p>
              </w:tc>
              <w:tc>
                <w:tcPr>
                  <w:tcW w:w="10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231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283.5</w:t>
                  </w:r>
                  <w:r>
                    <w:rPr>
                      <w:rFonts w:hint="eastAsia" w:cs="Times New Roman"/>
                      <w:i w:val="0"/>
                      <w:iCs w:val="0"/>
                      <w:color w:val="auto"/>
                      <w:kern w:val="0"/>
                      <w:sz w:val="21"/>
                      <w:szCs w:val="21"/>
                      <w:highlight w:val="none"/>
                      <w:u w:val="none"/>
                      <w:lang w:val="en-US" w:eastAsia="zh-CN" w:bidi="ar"/>
                    </w:rPr>
                    <w:t>25</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FF2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224.4</w:t>
                  </w:r>
                  <w:r>
                    <w:rPr>
                      <w:rFonts w:hint="eastAsia" w:cs="Times New Roman"/>
                      <w:i w:val="0"/>
                      <w:iCs w:val="0"/>
                      <w:color w:val="auto"/>
                      <w:kern w:val="0"/>
                      <w:sz w:val="21"/>
                      <w:szCs w:val="21"/>
                      <w:highlight w:val="none"/>
                      <w:u w:val="none"/>
                      <w:lang w:val="en-US" w:eastAsia="zh-CN" w:bidi="ar"/>
                    </w:rPr>
                    <w:t>7</w:t>
                  </w:r>
                </w:p>
              </w:tc>
            </w:tr>
          </w:tbl>
          <w:p w14:paraId="2E1C6350">
            <w:pPr>
              <w:rPr>
                <w:rFonts w:hint="eastAsia"/>
                <w:color w:val="auto"/>
                <w:highlight w:val="none"/>
              </w:rPr>
            </w:pPr>
          </w:p>
          <w:p w14:paraId="234ABD95">
            <w:pPr>
              <w:rPr>
                <w:rFonts w:hint="eastAsia"/>
                <w:color w:val="auto"/>
                <w:highlight w:val="none"/>
                <w:lang w:eastAsia="zh-CN"/>
              </w:rPr>
            </w:pPr>
          </w:p>
          <w:p w14:paraId="62995E80">
            <w:pPr>
              <w:pStyle w:val="12"/>
              <w:keepNext w:val="0"/>
              <w:keepLines w:val="0"/>
              <w:pageBreakBefore w:val="0"/>
              <w:widowControl/>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object>
                <v:shape id="_x0000_i1025" o:spt="75" type="#_x0000_t75" style="height:191.05pt;width:373.4pt;" o:ole="t" filled="f" o:preferrelative="t" stroked="f" coordsize="21600,21600">
                  <v:path/>
                  <v:fill on="f" focussize="0,0"/>
                  <v:stroke on="f"/>
                  <v:imagedata r:id="rId11" cropleft="849f" croptop="21549f" cropright="33943f" cropbottom="22402f" o:title=""/>
                  <o:lock v:ext="edit" aspectratio="f"/>
                  <w10:wrap type="none"/>
                  <w10:anchorlock/>
                </v:shape>
                <o:OLEObject Type="Embed" ProgID="Visio.Drawing.15" ShapeID="_x0000_i1025" DrawAspect="Content" ObjectID="_1468075725" r:id="rId10">
                  <o:LockedField>false</o:LockedField>
                </o:OLEObject>
              </w:object>
            </w:r>
          </w:p>
          <w:p w14:paraId="02C242F5">
            <w:pPr>
              <w:pStyle w:val="12"/>
              <w:keepNext w:val="0"/>
              <w:keepLines w:val="0"/>
              <w:pageBreakBefore w:val="0"/>
              <w:widowControl/>
              <w:kinsoku/>
              <w:wordWrap/>
              <w:overflowPunct/>
              <w:topLinePunct w:val="0"/>
              <w:autoSpaceDE/>
              <w:autoSpaceDN/>
              <w:bidi w:val="0"/>
              <w:adjustRightInd/>
              <w:snapToGrid/>
              <w:ind w:firstLine="0" w:firstLineChars="0"/>
              <w:textAlignment w:val="auto"/>
              <w:rPr>
                <w:rFonts w:hint="eastAsia"/>
                <w:color w:val="auto"/>
                <w:highlight w:val="none"/>
                <w:lang w:eastAsia="zh-CN"/>
              </w:rPr>
            </w:pPr>
            <w:r>
              <w:rPr>
                <w:rFonts w:hint="default" w:ascii="Times New Roman" w:hAnsi="Times New Roman" w:eastAsia="宋体" w:cs="Times New Roman"/>
                <w:color w:val="auto"/>
                <w:sz w:val="21"/>
                <w:szCs w:val="21"/>
                <w:highlight w:val="none"/>
              </w:rPr>
              <w:t>图</w:t>
            </w:r>
            <w:r>
              <w:rPr>
                <w:rFonts w:hint="default" w:ascii="Times New Roman" w:hAnsi="Times New Roman" w:eastAsia="宋体" w:cs="Times New Roman"/>
                <w:color w:val="auto"/>
                <w:sz w:val="21"/>
                <w:szCs w:val="21"/>
                <w:highlight w:val="none"/>
              </w:rPr>
              <w:fldChar w:fldCharType="begin"/>
            </w:r>
            <w:r>
              <w:rPr>
                <w:rFonts w:hint="default" w:ascii="Times New Roman" w:hAnsi="Times New Roman" w:eastAsia="宋体" w:cs="Times New Roman"/>
                <w:color w:val="auto"/>
                <w:sz w:val="21"/>
                <w:szCs w:val="21"/>
                <w:highlight w:val="none"/>
              </w:rPr>
              <w:instrText xml:space="preserve"> STYLEREF 1 \s </w:instrText>
            </w:r>
            <w:r>
              <w:rPr>
                <w:rFonts w:hint="default" w:ascii="Times New Roman" w:hAnsi="Times New Roman" w:eastAsia="宋体" w:cs="Times New Roman"/>
                <w:color w:val="auto"/>
                <w:sz w:val="21"/>
                <w:szCs w:val="21"/>
                <w:highlight w:val="none"/>
              </w:rPr>
              <w:fldChar w:fldCharType="separate"/>
            </w:r>
            <w:r>
              <w:rPr>
                <w:rFonts w:hint="default" w:ascii="Times New Roman" w:hAnsi="Times New Roman" w:eastAsia="宋体" w:cs="Times New Roman"/>
                <w:color w:val="auto"/>
                <w:sz w:val="21"/>
                <w:szCs w:val="21"/>
                <w:highlight w:val="none"/>
              </w:rPr>
              <w:t>2</w:t>
            </w:r>
            <w:r>
              <w:rPr>
                <w:rFonts w:hint="default" w:ascii="Times New Roman" w:hAnsi="Times New Roman" w:eastAsia="宋体" w:cs="Times New Roman"/>
                <w:color w:val="auto"/>
                <w:sz w:val="21"/>
                <w:szCs w:val="21"/>
                <w:highlight w:val="none"/>
              </w:rPr>
              <w:fldChar w:fldCharType="end"/>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fldChar w:fldCharType="begin"/>
            </w:r>
            <w:r>
              <w:rPr>
                <w:rFonts w:hint="default" w:ascii="Times New Roman" w:hAnsi="Times New Roman" w:eastAsia="宋体" w:cs="Times New Roman"/>
                <w:color w:val="auto"/>
                <w:sz w:val="21"/>
                <w:szCs w:val="21"/>
                <w:highlight w:val="none"/>
              </w:rPr>
              <w:instrText xml:space="preserve"> SEQ 图 \* ARABIC \s 1 </w:instrText>
            </w:r>
            <w:r>
              <w:rPr>
                <w:rFonts w:hint="default" w:ascii="Times New Roman" w:hAnsi="Times New Roman" w:eastAsia="宋体" w:cs="Times New Roman"/>
                <w:color w:val="auto"/>
                <w:sz w:val="21"/>
                <w:szCs w:val="21"/>
                <w:highlight w:val="none"/>
              </w:rPr>
              <w:fldChar w:fldCharType="separate"/>
            </w:r>
            <w:r>
              <w:rPr>
                <w:rFonts w:hint="default" w:ascii="Times New Roman" w:hAnsi="Times New Roman" w:eastAsia="宋体" w:cs="Times New Roman"/>
                <w:color w:val="auto"/>
                <w:sz w:val="21"/>
                <w:szCs w:val="21"/>
                <w:highlight w:val="none"/>
              </w:rPr>
              <w:t>1</w:t>
            </w:r>
            <w:r>
              <w:rPr>
                <w:rFonts w:hint="default" w:ascii="Times New Roman" w:hAnsi="Times New Roman" w:eastAsia="宋体" w:cs="Times New Roman"/>
                <w:color w:val="auto"/>
                <w:sz w:val="21"/>
                <w:szCs w:val="21"/>
                <w:highlight w:val="none"/>
              </w:rPr>
              <w:fldChar w:fldCharType="end"/>
            </w:r>
            <w:r>
              <w:rPr>
                <w:rFonts w:hint="eastAsia" w:cs="Times New Roman"/>
                <w:color w:val="auto"/>
                <w:sz w:val="21"/>
                <w:szCs w:val="21"/>
                <w:highlight w:val="none"/>
                <w:lang w:val="en-US" w:eastAsia="zh-CN"/>
              </w:rPr>
              <w:t>项目建成后全校非采暖期</w:t>
            </w:r>
            <w:r>
              <w:rPr>
                <w:rFonts w:hint="eastAsia"/>
                <w:color w:val="auto"/>
                <w:highlight w:val="none"/>
                <w:lang w:eastAsia="zh-CN"/>
              </w:rPr>
              <w:t>水平衡图（单位m</w:t>
            </w:r>
            <w:r>
              <w:rPr>
                <w:rFonts w:hint="eastAsia"/>
                <w:color w:val="auto"/>
                <w:highlight w:val="none"/>
                <w:vertAlign w:val="superscript"/>
                <w:lang w:eastAsia="zh-CN"/>
              </w:rPr>
              <w:t>3</w:t>
            </w:r>
            <w:r>
              <w:rPr>
                <w:rFonts w:hint="eastAsia"/>
                <w:color w:val="auto"/>
                <w:highlight w:val="none"/>
                <w:lang w:eastAsia="zh-CN"/>
              </w:rPr>
              <w:t>/d）</w:t>
            </w:r>
          </w:p>
          <w:p w14:paraId="673EB6D5">
            <w:pPr>
              <w:pStyle w:val="12"/>
              <w:keepNext w:val="0"/>
              <w:keepLines w:val="0"/>
              <w:pageBreakBefore w:val="0"/>
              <w:widowControl/>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4"/>
                <w:szCs w:val="24"/>
                <w:highlight w:val="none"/>
              </w:rPr>
              <w:object>
                <v:shape id="_x0000_i1026" o:spt="75" type="#_x0000_t75" style="height:168.3pt;width:393.7pt;" o:ole="t" filled="f" o:preferrelative="t" stroked="f" coordsize="21600,21600">
                  <v:path/>
                  <v:fill on="f" focussize="0,0"/>
                  <v:stroke on="f"/>
                  <v:imagedata r:id="rId13" cropleft="849f" croptop="21549f" cropright="33943f" cropbottom="26839f" o:title=""/>
                  <o:lock v:ext="edit" aspectratio="f"/>
                  <w10:wrap type="none"/>
                  <w10:anchorlock/>
                </v:shape>
                <o:OLEObject Type="Embed" ProgID="Visio.Drawing.15" ShapeID="_x0000_i1026" DrawAspect="Content" ObjectID="_1468075726" r:id="rId12">
                  <o:LockedField>false</o:LockedField>
                </o:OLEObject>
              </w:object>
            </w:r>
          </w:p>
          <w:p w14:paraId="72C91230">
            <w:pPr>
              <w:pStyle w:val="12"/>
              <w:keepNext w:val="0"/>
              <w:keepLines w:val="0"/>
              <w:pageBreakBefore w:val="0"/>
              <w:widowControl/>
              <w:kinsoku/>
              <w:wordWrap/>
              <w:overflowPunct/>
              <w:topLinePunct w:val="0"/>
              <w:autoSpaceDE/>
              <w:autoSpaceDN/>
              <w:bidi w:val="0"/>
              <w:adjustRightInd/>
              <w:snapToGrid/>
              <w:ind w:firstLine="0" w:firstLineChars="0"/>
              <w:textAlignment w:val="auto"/>
              <w:rPr>
                <w:rFonts w:hint="eastAsia"/>
                <w:color w:val="auto"/>
                <w:highlight w:val="none"/>
                <w:lang w:eastAsia="zh-CN"/>
              </w:rPr>
            </w:pPr>
            <w:bookmarkStart w:id="17" w:name="_Ref10600"/>
            <w:bookmarkStart w:id="18" w:name="_Ref10568"/>
            <w:r>
              <w:rPr>
                <w:rFonts w:hint="default" w:ascii="Times New Roman" w:hAnsi="Times New Roman" w:eastAsia="宋体" w:cs="Times New Roman"/>
                <w:color w:val="auto"/>
                <w:sz w:val="21"/>
                <w:szCs w:val="21"/>
                <w:highlight w:val="none"/>
              </w:rPr>
              <w:t>图</w:t>
            </w:r>
            <w:r>
              <w:rPr>
                <w:rFonts w:hint="default" w:ascii="Times New Roman" w:hAnsi="Times New Roman" w:eastAsia="宋体" w:cs="Times New Roman"/>
                <w:color w:val="auto"/>
                <w:sz w:val="21"/>
                <w:szCs w:val="21"/>
                <w:highlight w:val="none"/>
              </w:rPr>
              <w:fldChar w:fldCharType="begin"/>
            </w:r>
            <w:r>
              <w:rPr>
                <w:rFonts w:hint="default" w:ascii="Times New Roman" w:hAnsi="Times New Roman" w:eastAsia="宋体" w:cs="Times New Roman"/>
                <w:color w:val="auto"/>
                <w:sz w:val="21"/>
                <w:szCs w:val="21"/>
                <w:highlight w:val="none"/>
              </w:rPr>
              <w:instrText xml:space="preserve"> STYLEREF 1 \s </w:instrText>
            </w:r>
            <w:r>
              <w:rPr>
                <w:rFonts w:hint="default" w:ascii="Times New Roman" w:hAnsi="Times New Roman" w:eastAsia="宋体" w:cs="Times New Roman"/>
                <w:color w:val="auto"/>
                <w:sz w:val="21"/>
                <w:szCs w:val="21"/>
                <w:highlight w:val="none"/>
              </w:rPr>
              <w:fldChar w:fldCharType="separate"/>
            </w:r>
            <w:r>
              <w:rPr>
                <w:rFonts w:hint="default" w:ascii="Times New Roman" w:hAnsi="Times New Roman" w:eastAsia="宋体" w:cs="Times New Roman"/>
                <w:color w:val="auto"/>
                <w:sz w:val="21"/>
                <w:szCs w:val="21"/>
                <w:highlight w:val="none"/>
              </w:rPr>
              <w:t>2</w:t>
            </w:r>
            <w:r>
              <w:rPr>
                <w:rFonts w:hint="default" w:ascii="Times New Roman" w:hAnsi="Times New Roman" w:eastAsia="宋体" w:cs="Times New Roman"/>
                <w:color w:val="auto"/>
                <w:sz w:val="21"/>
                <w:szCs w:val="21"/>
                <w:highlight w:val="none"/>
              </w:rPr>
              <w:fldChar w:fldCharType="end"/>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fldChar w:fldCharType="begin"/>
            </w:r>
            <w:r>
              <w:rPr>
                <w:rFonts w:hint="default" w:ascii="Times New Roman" w:hAnsi="Times New Roman" w:eastAsia="宋体" w:cs="Times New Roman"/>
                <w:color w:val="auto"/>
                <w:sz w:val="21"/>
                <w:szCs w:val="21"/>
                <w:highlight w:val="none"/>
              </w:rPr>
              <w:instrText xml:space="preserve"> SEQ 图 \* ARABIC \s 1 </w:instrText>
            </w:r>
            <w:r>
              <w:rPr>
                <w:rFonts w:hint="default" w:ascii="Times New Roman" w:hAnsi="Times New Roman" w:eastAsia="宋体" w:cs="Times New Roman"/>
                <w:color w:val="auto"/>
                <w:sz w:val="21"/>
                <w:szCs w:val="21"/>
                <w:highlight w:val="none"/>
              </w:rPr>
              <w:fldChar w:fldCharType="separate"/>
            </w:r>
            <w:r>
              <w:rPr>
                <w:rFonts w:hint="default" w:ascii="Times New Roman" w:hAnsi="Times New Roman" w:eastAsia="宋体" w:cs="Times New Roman"/>
                <w:color w:val="auto"/>
                <w:sz w:val="21"/>
                <w:szCs w:val="21"/>
                <w:highlight w:val="none"/>
              </w:rPr>
              <w:t>2</w:t>
            </w:r>
            <w:r>
              <w:rPr>
                <w:rFonts w:hint="default" w:ascii="Times New Roman" w:hAnsi="Times New Roman" w:eastAsia="宋体" w:cs="Times New Roman"/>
                <w:color w:val="auto"/>
                <w:sz w:val="21"/>
                <w:szCs w:val="21"/>
                <w:highlight w:val="none"/>
              </w:rPr>
              <w:fldChar w:fldCharType="end"/>
            </w:r>
            <w:bookmarkEnd w:id="17"/>
            <w:r>
              <w:rPr>
                <w:rFonts w:hint="eastAsia" w:cs="Times New Roman"/>
                <w:color w:val="auto"/>
                <w:sz w:val="21"/>
                <w:szCs w:val="21"/>
                <w:highlight w:val="none"/>
                <w:lang w:val="en-US" w:eastAsia="zh-CN"/>
              </w:rPr>
              <w:t>项目建成后全校采暖期</w:t>
            </w:r>
            <w:r>
              <w:rPr>
                <w:rFonts w:hint="eastAsia"/>
                <w:color w:val="auto"/>
                <w:highlight w:val="none"/>
                <w:lang w:eastAsia="zh-CN"/>
              </w:rPr>
              <w:t>水平衡图（单位m</w:t>
            </w:r>
            <w:r>
              <w:rPr>
                <w:rFonts w:hint="eastAsia"/>
                <w:color w:val="auto"/>
                <w:highlight w:val="none"/>
                <w:vertAlign w:val="superscript"/>
                <w:lang w:eastAsia="zh-CN"/>
              </w:rPr>
              <w:t>3</w:t>
            </w:r>
            <w:r>
              <w:rPr>
                <w:rFonts w:hint="eastAsia"/>
                <w:color w:val="auto"/>
                <w:highlight w:val="none"/>
                <w:lang w:eastAsia="zh-CN"/>
              </w:rPr>
              <w:t>/d）</w:t>
            </w:r>
            <w:bookmarkEnd w:id="18"/>
          </w:p>
          <w:p w14:paraId="584AF27D">
            <w:pPr>
              <w:rPr>
                <w:rFonts w:hint="eastAsia"/>
                <w:color w:val="auto"/>
                <w:highlight w:val="none"/>
                <w:lang w:eastAsia="zh-CN"/>
              </w:rPr>
            </w:pPr>
          </w:p>
          <w:p w14:paraId="7E0C38E4">
            <w:pPr>
              <w:pStyle w:val="3"/>
              <w:numPr>
                <w:ilvl w:val="1"/>
                <w:numId w:val="0"/>
              </w:numPr>
              <w:ind w:left="38" w:leftChars="0"/>
              <w:rPr>
                <w:rFonts w:hint="default"/>
                <w:color w:val="auto"/>
                <w:highlight w:val="none"/>
                <w:lang w:val="en-US" w:eastAsia="zh-CN"/>
              </w:rPr>
            </w:pPr>
          </w:p>
        </w:tc>
      </w:tr>
      <w:tr w14:paraId="59C8EC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662" w:type="dxa"/>
            <w:vAlign w:val="center"/>
          </w:tcPr>
          <w:p w14:paraId="2BBE9298">
            <w:pPr>
              <w:pStyle w:val="3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eastAsia="zh-CN"/>
              </w:rPr>
            </w:pPr>
            <w:r>
              <w:rPr>
                <w:rFonts w:hint="eastAsia"/>
                <w:color w:val="auto"/>
                <w:highlight w:val="none"/>
                <w:lang w:eastAsia="zh-CN"/>
              </w:rPr>
              <w:t>工艺流程和产排污环节</w:t>
            </w:r>
          </w:p>
        </w:tc>
        <w:tc>
          <w:tcPr>
            <w:tcW w:w="8524" w:type="dxa"/>
            <w:vAlign w:val="center"/>
          </w:tcPr>
          <w:p w14:paraId="342F77D4">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eastAsia"/>
                <w:b/>
                <w:bCs/>
                <w:color w:val="auto"/>
                <w:highlight w:val="none"/>
                <w:lang w:val="en-US" w:eastAsia="zh-CN"/>
              </w:rPr>
            </w:pPr>
            <w:bookmarkStart w:id="19" w:name="_Toc19579"/>
            <w:bookmarkStart w:id="20" w:name="_Toc27071"/>
            <w:r>
              <w:rPr>
                <w:rFonts w:hint="eastAsia"/>
                <w:b/>
                <w:bCs/>
                <w:color w:val="auto"/>
                <w:highlight w:val="none"/>
                <w:lang w:val="en-US" w:eastAsia="zh-CN"/>
              </w:rPr>
              <w:t>工艺流程和产排污环节</w:t>
            </w:r>
            <w:bookmarkEnd w:id="19"/>
            <w:bookmarkEnd w:id="20"/>
          </w:p>
          <w:p w14:paraId="124577FE">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b/>
                <w:bCs/>
                <w:color w:val="auto"/>
                <w:sz w:val="24"/>
                <w:szCs w:val="24"/>
                <w:highlight w:val="none"/>
                <w:lang w:val="en-US" w:eastAsia="zh-CN"/>
              </w:rPr>
            </w:pPr>
            <w:r>
              <w:rPr>
                <w:rFonts w:hint="eastAsia"/>
                <w:b/>
                <w:bCs/>
                <w:color w:val="auto"/>
                <w:sz w:val="24"/>
                <w:szCs w:val="24"/>
                <w:highlight w:val="none"/>
                <w:lang w:val="en-US" w:eastAsia="zh-CN"/>
              </w:rPr>
              <w:t>2.7.1施工期工艺流程</w:t>
            </w:r>
          </w:p>
          <w:p w14:paraId="372C0823">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项目施工期主要包括厂址地表平整、地基挖掘、主体建设、设备安装等。在施工阶段除施工机械作业、建筑材料运输外，还伴随有施工人员活动，从而产生施工噪声、施工扬尘、运输车辆和施工机械排放废气、施工废水、建筑垃圾和生活污水、生活垃圾。</w:t>
            </w:r>
          </w:p>
          <w:p w14:paraId="6884464C">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项目施工期工艺流程及产污环节见</w:t>
            </w:r>
            <w:r>
              <w:rPr>
                <w:rFonts w:hint="eastAsia" w:cs="Times New Roman"/>
                <w:b w:val="0"/>
                <w:bCs w:val="0"/>
                <w:color w:val="auto"/>
                <w:sz w:val="24"/>
                <w:szCs w:val="24"/>
                <w:highlight w:val="none"/>
                <w:lang w:val="en-US" w:eastAsia="zh-CN"/>
              </w:rPr>
              <w:fldChar w:fldCharType="begin"/>
            </w:r>
            <w:r>
              <w:rPr>
                <w:rFonts w:hint="eastAsia" w:cs="Times New Roman"/>
                <w:b w:val="0"/>
                <w:bCs w:val="0"/>
                <w:color w:val="auto"/>
                <w:sz w:val="24"/>
                <w:szCs w:val="24"/>
                <w:highlight w:val="none"/>
                <w:lang w:val="en-US" w:eastAsia="zh-CN"/>
              </w:rPr>
              <w:instrText xml:space="preserve"> REF _Ref27702 \h </w:instrText>
            </w:r>
            <w:r>
              <w:rPr>
                <w:rFonts w:hint="eastAsia" w:cs="Times New Roman"/>
                <w:b w:val="0"/>
                <w:bCs w:val="0"/>
                <w:color w:val="auto"/>
                <w:sz w:val="24"/>
                <w:szCs w:val="24"/>
                <w:highlight w:val="none"/>
                <w:lang w:val="en-US" w:eastAsia="zh-CN"/>
              </w:rPr>
              <w:fldChar w:fldCharType="separate"/>
            </w:r>
            <w:r>
              <w:rPr>
                <w:rFonts w:hint="default" w:ascii="Times New Roman" w:hAnsi="Times New Roman" w:eastAsia="宋体" w:cs="Times New Roman"/>
                <w:color w:val="auto"/>
                <w:sz w:val="24"/>
                <w:szCs w:val="24"/>
                <w:highlight w:val="none"/>
              </w:rPr>
              <w:t>图</w:t>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STYLEREF 1 \s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2</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3</w:t>
            </w:r>
            <w:r>
              <w:rPr>
                <w:rFonts w:hint="eastAsia" w:cs="Times New Roman"/>
                <w:b w:val="0"/>
                <w:bCs w:val="0"/>
                <w:color w:val="auto"/>
                <w:sz w:val="24"/>
                <w:szCs w:val="24"/>
                <w:highlight w:val="none"/>
                <w:lang w:val="en-US" w:eastAsia="zh-CN"/>
              </w:rPr>
              <w:fldChar w:fldCharType="end"/>
            </w:r>
            <w:r>
              <w:rPr>
                <w:rFonts w:hint="eastAsia" w:cs="Times New Roman"/>
                <w:b w:val="0"/>
                <w:bCs w:val="0"/>
                <w:color w:val="auto"/>
                <w:sz w:val="24"/>
                <w:szCs w:val="24"/>
                <w:highlight w:val="none"/>
                <w:lang w:val="en-US" w:eastAsia="zh-CN"/>
              </w:rPr>
              <w:t>。</w:t>
            </w:r>
          </w:p>
          <w:p w14:paraId="126F0C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z w:val="24"/>
                <w:szCs w:val="24"/>
                <w:highlight w:val="none"/>
                <w:lang w:val="en-US" w:eastAsia="zh-CN"/>
              </w:rPr>
            </w:pPr>
            <w:r>
              <w:rPr>
                <w:rFonts w:hint="default" w:ascii="Times New Roman" w:hAnsi="Times New Roman" w:eastAsia="宋体" w:cs="Times New Roman"/>
                <w:color w:val="auto"/>
                <w:sz w:val="24"/>
                <w:szCs w:val="24"/>
                <w:highlight w:val="none"/>
              </w:rPr>
              <w:object>
                <v:shape id="_x0000_i1027" o:spt="75" type="#_x0000_t75" style="height:116.5pt;width:339.9pt;" o:ole="t" filled="f" o:preferrelative="t" stroked="f" coordsize="21600,21600">
                  <v:path/>
                  <v:fill on="f" focussize="0,0"/>
                  <v:stroke on="f"/>
                  <v:imagedata r:id="rId15" cropleft="849f" croptop="21549f" cropright="36705f" cropbottom="31536f" o:title=""/>
                  <o:lock v:ext="edit" aspectratio="f"/>
                  <w10:wrap type="none"/>
                  <w10:anchorlock/>
                </v:shape>
                <o:OLEObject Type="Embed" ProgID="Visio.Drawing.15" ShapeID="_x0000_i1027" DrawAspect="Content" ObjectID="_1468075727" r:id="rId14">
                  <o:LockedField>false</o:LockedField>
                </o:OLEObject>
              </w:object>
            </w:r>
          </w:p>
          <w:p w14:paraId="77E4BD2F">
            <w:pPr>
              <w:pStyle w:val="12"/>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color w:val="auto"/>
                <w:highlight w:val="none"/>
                <w:lang w:val="en-US" w:eastAsia="zh-CN"/>
              </w:rPr>
            </w:pPr>
            <w:bookmarkStart w:id="21" w:name="_Ref27702"/>
            <w:r>
              <w:rPr>
                <w:rFonts w:hint="default" w:ascii="Times New Roman" w:hAnsi="Times New Roman" w:eastAsia="宋体" w:cs="Times New Roman"/>
                <w:color w:val="auto"/>
                <w:sz w:val="21"/>
                <w:szCs w:val="21"/>
                <w:highlight w:val="none"/>
              </w:rPr>
              <w:t>图</w:t>
            </w:r>
            <w:r>
              <w:rPr>
                <w:rFonts w:hint="default" w:ascii="Times New Roman" w:hAnsi="Times New Roman" w:eastAsia="宋体" w:cs="Times New Roman"/>
                <w:color w:val="auto"/>
                <w:sz w:val="21"/>
                <w:szCs w:val="21"/>
                <w:highlight w:val="none"/>
              </w:rPr>
              <w:fldChar w:fldCharType="begin"/>
            </w:r>
            <w:r>
              <w:rPr>
                <w:rFonts w:hint="default" w:ascii="Times New Roman" w:hAnsi="Times New Roman" w:eastAsia="宋体" w:cs="Times New Roman"/>
                <w:color w:val="auto"/>
                <w:sz w:val="21"/>
                <w:szCs w:val="21"/>
                <w:highlight w:val="none"/>
              </w:rPr>
              <w:instrText xml:space="preserve"> STYLEREF 1 \s </w:instrText>
            </w:r>
            <w:r>
              <w:rPr>
                <w:rFonts w:hint="default" w:ascii="Times New Roman" w:hAnsi="Times New Roman" w:eastAsia="宋体" w:cs="Times New Roman"/>
                <w:color w:val="auto"/>
                <w:sz w:val="21"/>
                <w:szCs w:val="21"/>
                <w:highlight w:val="none"/>
              </w:rPr>
              <w:fldChar w:fldCharType="separate"/>
            </w:r>
            <w:r>
              <w:rPr>
                <w:rFonts w:hint="default" w:ascii="Times New Roman" w:hAnsi="Times New Roman" w:eastAsia="宋体" w:cs="Times New Roman"/>
                <w:color w:val="auto"/>
                <w:sz w:val="21"/>
                <w:szCs w:val="21"/>
                <w:highlight w:val="none"/>
              </w:rPr>
              <w:t>2</w:t>
            </w:r>
            <w:r>
              <w:rPr>
                <w:rFonts w:hint="default" w:ascii="Times New Roman" w:hAnsi="Times New Roman" w:eastAsia="宋体" w:cs="Times New Roman"/>
                <w:color w:val="auto"/>
                <w:sz w:val="21"/>
                <w:szCs w:val="21"/>
                <w:highlight w:val="none"/>
              </w:rPr>
              <w:fldChar w:fldCharType="end"/>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fldChar w:fldCharType="begin"/>
            </w:r>
            <w:r>
              <w:rPr>
                <w:rFonts w:hint="default" w:ascii="Times New Roman" w:hAnsi="Times New Roman" w:eastAsia="宋体" w:cs="Times New Roman"/>
                <w:color w:val="auto"/>
                <w:sz w:val="21"/>
                <w:szCs w:val="21"/>
                <w:highlight w:val="none"/>
              </w:rPr>
              <w:instrText xml:space="preserve"> SEQ 图 \* ARABIC \s 1 </w:instrText>
            </w:r>
            <w:r>
              <w:rPr>
                <w:rFonts w:hint="default" w:ascii="Times New Roman" w:hAnsi="Times New Roman" w:eastAsia="宋体" w:cs="Times New Roman"/>
                <w:color w:val="auto"/>
                <w:sz w:val="21"/>
                <w:szCs w:val="21"/>
                <w:highlight w:val="none"/>
              </w:rPr>
              <w:fldChar w:fldCharType="separate"/>
            </w:r>
            <w:r>
              <w:rPr>
                <w:rFonts w:hint="default" w:ascii="Times New Roman" w:hAnsi="Times New Roman" w:eastAsia="宋体" w:cs="Times New Roman"/>
                <w:color w:val="auto"/>
                <w:sz w:val="21"/>
                <w:szCs w:val="21"/>
                <w:highlight w:val="none"/>
              </w:rPr>
              <w:t>3</w:t>
            </w:r>
            <w:r>
              <w:rPr>
                <w:rFonts w:hint="default" w:ascii="Times New Roman" w:hAnsi="Times New Roman" w:eastAsia="宋体" w:cs="Times New Roman"/>
                <w:color w:val="auto"/>
                <w:sz w:val="21"/>
                <w:szCs w:val="21"/>
                <w:highlight w:val="none"/>
              </w:rPr>
              <w:fldChar w:fldCharType="end"/>
            </w:r>
            <w:bookmarkEnd w:id="21"/>
            <w:r>
              <w:rPr>
                <w:rFonts w:hint="eastAsia" w:cs="Times New Roman"/>
                <w:color w:val="auto"/>
                <w:sz w:val="21"/>
                <w:szCs w:val="21"/>
                <w:highlight w:val="none"/>
                <w:lang w:val="en-US" w:eastAsia="zh-CN"/>
              </w:rPr>
              <w:t>施工期工艺流程及产排污环节图</w:t>
            </w:r>
          </w:p>
          <w:p w14:paraId="0189851D">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b/>
                <w:bCs/>
                <w:color w:val="auto"/>
                <w:sz w:val="24"/>
                <w:szCs w:val="24"/>
                <w:highlight w:val="none"/>
                <w:lang w:val="en-US" w:eastAsia="zh-CN"/>
              </w:rPr>
            </w:pPr>
            <w:r>
              <w:rPr>
                <w:rFonts w:hint="eastAsia"/>
                <w:b/>
                <w:bCs/>
                <w:color w:val="auto"/>
                <w:sz w:val="24"/>
                <w:szCs w:val="24"/>
                <w:highlight w:val="none"/>
                <w:lang w:val="en-US" w:eastAsia="zh-CN"/>
              </w:rPr>
              <w:t>2.7.2运营期工艺流程</w:t>
            </w:r>
          </w:p>
          <w:p w14:paraId="13C804CF">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本项目运营期产排污主要来源于师生日常教学生活活动，工艺流程及产排污环节图见</w:t>
            </w:r>
            <w:r>
              <w:rPr>
                <w:rFonts w:hint="eastAsia" w:cs="Times New Roman"/>
                <w:b w:val="0"/>
                <w:bCs w:val="0"/>
                <w:color w:val="auto"/>
                <w:sz w:val="24"/>
                <w:szCs w:val="24"/>
                <w:highlight w:val="none"/>
                <w:lang w:val="en-US" w:eastAsia="zh-CN"/>
              </w:rPr>
              <w:fldChar w:fldCharType="begin"/>
            </w:r>
            <w:r>
              <w:rPr>
                <w:rFonts w:hint="eastAsia" w:cs="Times New Roman"/>
                <w:b w:val="0"/>
                <w:bCs w:val="0"/>
                <w:color w:val="auto"/>
                <w:sz w:val="24"/>
                <w:szCs w:val="24"/>
                <w:highlight w:val="none"/>
                <w:lang w:val="en-US" w:eastAsia="zh-CN"/>
              </w:rPr>
              <w:instrText xml:space="preserve"> REF _Ref27747 \h </w:instrText>
            </w:r>
            <w:r>
              <w:rPr>
                <w:rFonts w:hint="eastAsia" w:cs="Times New Roman"/>
                <w:b w:val="0"/>
                <w:bCs w:val="0"/>
                <w:color w:val="auto"/>
                <w:sz w:val="24"/>
                <w:szCs w:val="24"/>
                <w:highlight w:val="none"/>
                <w:lang w:val="en-US" w:eastAsia="zh-CN"/>
              </w:rPr>
              <w:fldChar w:fldCharType="separate"/>
            </w:r>
            <w:r>
              <w:rPr>
                <w:rFonts w:hint="default" w:ascii="Times New Roman" w:hAnsi="Times New Roman" w:eastAsia="宋体" w:cs="Times New Roman"/>
                <w:color w:val="auto"/>
                <w:sz w:val="24"/>
                <w:szCs w:val="24"/>
                <w:highlight w:val="none"/>
              </w:rPr>
              <w:t>图</w:t>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STYLEREF 1 \s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2</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4</w:t>
            </w:r>
            <w:r>
              <w:rPr>
                <w:rFonts w:hint="eastAsia" w:cs="Times New Roman"/>
                <w:b w:val="0"/>
                <w:bCs w:val="0"/>
                <w:color w:val="auto"/>
                <w:sz w:val="24"/>
                <w:szCs w:val="24"/>
                <w:highlight w:val="none"/>
                <w:lang w:val="en-US" w:eastAsia="zh-CN"/>
              </w:rPr>
              <w:fldChar w:fldCharType="end"/>
            </w:r>
            <w:r>
              <w:rPr>
                <w:rFonts w:hint="eastAsia" w:cs="Times New Roman"/>
                <w:b w:val="0"/>
                <w:bCs w:val="0"/>
                <w:color w:val="auto"/>
                <w:sz w:val="24"/>
                <w:szCs w:val="24"/>
                <w:highlight w:val="none"/>
                <w:lang w:val="en-US" w:eastAsia="zh-CN"/>
              </w:rPr>
              <w:t>。</w:t>
            </w:r>
          </w:p>
          <w:p w14:paraId="707560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sz w:val="24"/>
                <w:szCs w:val="24"/>
                <w:highlight w:val="none"/>
                <w:lang w:val="en-US" w:eastAsia="zh-CN"/>
              </w:rPr>
            </w:pPr>
            <w:r>
              <w:rPr>
                <w:rFonts w:hint="default" w:ascii="Times New Roman" w:hAnsi="Times New Roman" w:eastAsia="宋体" w:cs="Times New Roman"/>
                <w:color w:val="auto"/>
                <w:sz w:val="24"/>
                <w:szCs w:val="24"/>
                <w:highlight w:val="none"/>
              </w:rPr>
              <w:object>
                <v:shape id="_x0000_i1028" o:spt="75" type="#_x0000_t75" style="height:239.15pt;width:274.95pt;" o:ole="t" filled="f" o:preferrelative="t" stroked="f" coordsize="21600,21600">
                  <v:path/>
                  <v:fill on="f" focussize="0,0"/>
                  <v:stroke on="f"/>
                  <v:imagedata r:id="rId17" cropleft="849f" croptop="16291f" cropright="42550f" cropbottom="22461f" o:title=""/>
                  <o:lock v:ext="edit" aspectratio="f"/>
                  <w10:wrap type="none"/>
                  <w10:anchorlock/>
                </v:shape>
                <o:OLEObject Type="Embed" ProgID="Visio.Drawing.15" ShapeID="_x0000_i1028" DrawAspect="Content" ObjectID="_1468075728" r:id="rId16">
                  <o:LockedField>false</o:LockedField>
                </o:OLEObject>
              </w:object>
            </w:r>
          </w:p>
          <w:p w14:paraId="5DD5A2F5">
            <w:pPr>
              <w:pStyle w:val="12"/>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color w:val="auto"/>
                <w:highlight w:val="none"/>
                <w:lang w:val="en-US" w:eastAsia="zh-CN"/>
              </w:rPr>
            </w:pPr>
            <w:bookmarkStart w:id="22" w:name="_Ref27747"/>
            <w:r>
              <w:rPr>
                <w:rFonts w:hint="default" w:ascii="Times New Roman" w:hAnsi="Times New Roman" w:eastAsia="宋体" w:cs="Times New Roman"/>
                <w:color w:val="auto"/>
                <w:sz w:val="21"/>
                <w:szCs w:val="21"/>
                <w:highlight w:val="none"/>
              </w:rPr>
              <w:t>图</w:t>
            </w:r>
            <w:r>
              <w:rPr>
                <w:rFonts w:hint="default" w:ascii="Times New Roman" w:hAnsi="Times New Roman" w:eastAsia="宋体" w:cs="Times New Roman"/>
                <w:color w:val="auto"/>
                <w:sz w:val="21"/>
                <w:szCs w:val="21"/>
                <w:highlight w:val="none"/>
              </w:rPr>
              <w:fldChar w:fldCharType="begin"/>
            </w:r>
            <w:r>
              <w:rPr>
                <w:rFonts w:hint="default" w:ascii="Times New Roman" w:hAnsi="Times New Roman" w:eastAsia="宋体" w:cs="Times New Roman"/>
                <w:color w:val="auto"/>
                <w:sz w:val="21"/>
                <w:szCs w:val="21"/>
                <w:highlight w:val="none"/>
              </w:rPr>
              <w:instrText xml:space="preserve"> STYLEREF 1 \s </w:instrText>
            </w:r>
            <w:r>
              <w:rPr>
                <w:rFonts w:hint="default" w:ascii="Times New Roman" w:hAnsi="Times New Roman" w:eastAsia="宋体" w:cs="Times New Roman"/>
                <w:color w:val="auto"/>
                <w:sz w:val="21"/>
                <w:szCs w:val="21"/>
                <w:highlight w:val="none"/>
              </w:rPr>
              <w:fldChar w:fldCharType="separate"/>
            </w:r>
            <w:r>
              <w:rPr>
                <w:rFonts w:hint="default" w:ascii="Times New Roman" w:hAnsi="Times New Roman" w:eastAsia="宋体" w:cs="Times New Roman"/>
                <w:color w:val="auto"/>
                <w:sz w:val="21"/>
                <w:szCs w:val="21"/>
                <w:highlight w:val="none"/>
              </w:rPr>
              <w:t>2</w:t>
            </w:r>
            <w:r>
              <w:rPr>
                <w:rFonts w:hint="default" w:ascii="Times New Roman" w:hAnsi="Times New Roman" w:eastAsia="宋体" w:cs="Times New Roman"/>
                <w:color w:val="auto"/>
                <w:sz w:val="21"/>
                <w:szCs w:val="21"/>
                <w:highlight w:val="none"/>
              </w:rPr>
              <w:fldChar w:fldCharType="end"/>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fldChar w:fldCharType="begin"/>
            </w:r>
            <w:r>
              <w:rPr>
                <w:rFonts w:hint="default" w:ascii="Times New Roman" w:hAnsi="Times New Roman" w:eastAsia="宋体" w:cs="Times New Roman"/>
                <w:color w:val="auto"/>
                <w:sz w:val="21"/>
                <w:szCs w:val="21"/>
                <w:highlight w:val="none"/>
              </w:rPr>
              <w:instrText xml:space="preserve"> SEQ 图 \* ARABIC \s 1 </w:instrText>
            </w:r>
            <w:r>
              <w:rPr>
                <w:rFonts w:hint="default" w:ascii="Times New Roman" w:hAnsi="Times New Roman" w:eastAsia="宋体" w:cs="Times New Roman"/>
                <w:color w:val="auto"/>
                <w:sz w:val="21"/>
                <w:szCs w:val="21"/>
                <w:highlight w:val="none"/>
              </w:rPr>
              <w:fldChar w:fldCharType="separate"/>
            </w:r>
            <w:r>
              <w:rPr>
                <w:rFonts w:hint="default" w:ascii="Times New Roman" w:hAnsi="Times New Roman" w:eastAsia="宋体" w:cs="Times New Roman"/>
                <w:color w:val="auto"/>
                <w:sz w:val="21"/>
                <w:szCs w:val="21"/>
                <w:highlight w:val="none"/>
              </w:rPr>
              <w:t>4</w:t>
            </w:r>
            <w:r>
              <w:rPr>
                <w:rFonts w:hint="default" w:ascii="Times New Roman" w:hAnsi="Times New Roman" w:eastAsia="宋体" w:cs="Times New Roman"/>
                <w:color w:val="auto"/>
                <w:sz w:val="21"/>
                <w:szCs w:val="21"/>
                <w:highlight w:val="none"/>
              </w:rPr>
              <w:fldChar w:fldCharType="end"/>
            </w:r>
            <w:bookmarkEnd w:id="22"/>
            <w:r>
              <w:rPr>
                <w:rFonts w:hint="eastAsia" w:cs="Times New Roman"/>
                <w:color w:val="auto"/>
                <w:sz w:val="21"/>
                <w:szCs w:val="21"/>
                <w:highlight w:val="none"/>
                <w:lang w:val="en-US" w:eastAsia="zh-CN"/>
              </w:rPr>
              <w:t>运营期工艺流程及产排污环节图</w:t>
            </w:r>
          </w:p>
          <w:p w14:paraId="7D7D492F">
            <w:pPr>
              <w:keepNext w:val="0"/>
              <w:keepLines w:val="0"/>
              <w:pageBreakBefore w:val="0"/>
              <w:widowControl w:val="0"/>
              <w:kinsoku/>
              <w:wordWrap/>
              <w:overflowPunct/>
              <w:topLinePunct w:val="0"/>
              <w:autoSpaceDE/>
              <w:autoSpaceDN/>
              <w:bidi w:val="0"/>
              <w:adjustRightInd/>
              <w:snapToGrid/>
              <w:spacing w:line="360" w:lineRule="auto"/>
              <w:ind w:firstLine="482" w:firstLineChars="200"/>
              <w:rPr>
                <w:rFonts w:hint="default" w:ascii="Times New Roman" w:hAnsi="Times New Roman" w:eastAsia="宋体" w:cs="Times New Roman"/>
                <w:b w:val="0"/>
                <w:bCs w:val="0"/>
                <w:color w:val="auto"/>
                <w:sz w:val="24"/>
                <w:szCs w:val="24"/>
                <w:highlight w:val="none"/>
                <w:lang w:val="en-US" w:eastAsia="zh-CN"/>
              </w:rPr>
            </w:pPr>
            <w:r>
              <w:rPr>
                <w:rFonts w:hint="eastAsia" w:cs="Times New Roman"/>
                <w:b/>
                <w:bCs/>
                <w:color w:val="auto"/>
                <w:sz w:val="24"/>
                <w:szCs w:val="24"/>
                <w:highlight w:val="none"/>
                <w:lang w:val="en-US" w:eastAsia="zh-CN"/>
              </w:rPr>
              <w:t>2.7.3产排污环节</w:t>
            </w:r>
          </w:p>
          <w:p w14:paraId="08DB0DA1">
            <w:pPr>
              <w:keepNext w:val="0"/>
              <w:keepLines w:val="0"/>
              <w:pageBreakBefore w:val="0"/>
              <w:widowControl w:val="0"/>
              <w:kinsoku/>
              <w:wordWrap/>
              <w:overflowPunct/>
              <w:topLinePunct w:val="0"/>
              <w:autoSpaceDE/>
              <w:autoSpaceDN/>
              <w:bidi w:val="0"/>
              <w:adjustRightInd/>
              <w:snapToGrid/>
              <w:spacing w:line="360" w:lineRule="auto"/>
              <w:ind w:firstLine="480" w:firstLineChars="200"/>
              <w:rPr>
                <w:rFonts w:ascii="Times New Roman" w:hAnsi="Times New Roman" w:cs="Times New Roman"/>
                <w:b w:val="0"/>
                <w:bCs w:val="0"/>
                <w:color w:val="auto"/>
                <w:sz w:val="24"/>
                <w:szCs w:val="24"/>
                <w:highlight w:val="none"/>
              </w:rPr>
            </w:pPr>
            <w:r>
              <w:rPr>
                <w:rFonts w:hint="eastAsia" w:ascii="Times New Roman" w:hAnsi="Times New Roman" w:cs="Times New Roman"/>
                <w:b w:val="0"/>
                <w:bCs w:val="0"/>
                <w:color w:val="auto"/>
                <w:sz w:val="24"/>
                <w:szCs w:val="24"/>
                <w:highlight w:val="none"/>
              </w:rPr>
              <w:t>①废气</w:t>
            </w:r>
          </w:p>
          <w:p w14:paraId="2444B4D6">
            <w:pPr>
              <w:keepNext w:val="0"/>
              <w:keepLines w:val="0"/>
              <w:pageBreakBefore w:val="0"/>
              <w:widowControl w:val="0"/>
              <w:kinsoku/>
              <w:wordWrap/>
              <w:overflowPunct/>
              <w:topLinePunct w:val="0"/>
              <w:autoSpaceDE/>
              <w:autoSpaceDN/>
              <w:bidi w:val="0"/>
              <w:adjustRightInd/>
              <w:snapToGrid/>
              <w:spacing w:line="360" w:lineRule="auto"/>
              <w:ind w:firstLine="480" w:firstLineChars="200"/>
              <w:rPr>
                <w:rFonts w:hint="default"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实验废气：实验过程产生的废气；</w:t>
            </w:r>
          </w:p>
          <w:p w14:paraId="5FCFFEBB">
            <w:pPr>
              <w:keepNext w:val="0"/>
              <w:keepLines w:val="0"/>
              <w:pageBreakBefore w:val="0"/>
              <w:widowControl w:val="0"/>
              <w:kinsoku/>
              <w:wordWrap/>
              <w:overflowPunct/>
              <w:topLinePunct w:val="0"/>
              <w:autoSpaceDE/>
              <w:autoSpaceDN/>
              <w:bidi w:val="0"/>
              <w:adjustRightInd/>
              <w:snapToGrid/>
              <w:spacing w:line="360" w:lineRule="auto"/>
              <w:ind w:firstLine="480" w:firstLineChars="200"/>
              <w:rPr>
                <w:rFonts w:hint="default"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食堂油烟：食堂运行时产生的废气。</w:t>
            </w:r>
          </w:p>
          <w:p w14:paraId="202B4C09">
            <w:pPr>
              <w:keepNext w:val="0"/>
              <w:keepLines w:val="0"/>
              <w:pageBreakBefore w:val="0"/>
              <w:widowControl w:val="0"/>
              <w:kinsoku/>
              <w:wordWrap/>
              <w:overflowPunct/>
              <w:topLinePunct w:val="0"/>
              <w:autoSpaceDE/>
              <w:autoSpaceDN/>
              <w:bidi w:val="0"/>
              <w:adjustRightInd/>
              <w:snapToGrid/>
              <w:spacing w:line="360" w:lineRule="auto"/>
              <w:ind w:firstLine="480" w:firstLineChars="200"/>
              <w:rPr>
                <w:rFonts w:ascii="Times New Roman" w:hAnsi="Times New Roman" w:cs="Times New Roman"/>
                <w:b w:val="0"/>
                <w:bCs w:val="0"/>
                <w:color w:val="auto"/>
                <w:sz w:val="24"/>
                <w:szCs w:val="24"/>
                <w:highlight w:val="none"/>
              </w:rPr>
            </w:pPr>
            <w:r>
              <w:rPr>
                <w:rFonts w:hint="eastAsia" w:ascii="Times New Roman" w:hAnsi="Times New Roman" w:cs="Times New Roman"/>
                <w:b w:val="0"/>
                <w:bCs w:val="0"/>
                <w:color w:val="auto"/>
                <w:sz w:val="24"/>
                <w:szCs w:val="24"/>
                <w:highlight w:val="none"/>
              </w:rPr>
              <w:t>②</w:t>
            </w:r>
            <w:r>
              <w:rPr>
                <w:rFonts w:ascii="Times New Roman" w:hAnsi="Times New Roman" w:cs="Times New Roman"/>
                <w:b w:val="0"/>
                <w:bCs w:val="0"/>
                <w:color w:val="auto"/>
                <w:sz w:val="24"/>
                <w:szCs w:val="24"/>
                <w:highlight w:val="none"/>
              </w:rPr>
              <w:t>废水</w:t>
            </w:r>
          </w:p>
          <w:p w14:paraId="0A21F44D">
            <w:pPr>
              <w:keepNext w:val="0"/>
              <w:keepLines w:val="0"/>
              <w:pageBreakBefore w:val="0"/>
              <w:widowControl w:val="0"/>
              <w:kinsoku/>
              <w:wordWrap/>
              <w:overflowPunct/>
              <w:topLinePunct w:val="0"/>
              <w:autoSpaceDE/>
              <w:autoSpaceDN/>
              <w:bidi w:val="0"/>
              <w:adjustRightInd/>
              <w:snapToGrid/>
              <w:spacing w:line="360" w:lineRule="auto"/>
              <w:ind w:firstLine="480" w:firstLineChars="200"/>
              <w:rPr>
                <w:rFonts w:hint="eastAsia" w:ascii="Times New Roman" w:hAnsi="Times New Roman" w:eastAsia="宋体"/>
                <w:b w:val="0"/>
                <w:bCs w:val="0"/>
                <w:color w:val="auto"/>
                <w:sz w:val="24"/>
                <w:szCs w:val="24"/>
                <w:highlight w:val="none"/>
                <w:lang w:eastAsia="zh-CN"/>
              </w:rPr>
            </w:pPr>
            <w:r>
              <w:rPr>
                <w:rFonts w:hint="eastAsia" w:cs="Times New Roman"/>
                <w:b w:val="0"/>
                <w:bCs w:val="0"/>
                <w:color w:val="auto"/>
                <w:sz w:val="24"/>
                <w:szCs w:val="24"/>
                <w:highlight w:val="none"/>
                <w:lang w:val="en-US" w:eastAsia="zh-CN"/>
              </w:rPr>
              <w:t>生活污水</w:t>
            </w:r>
            <w:r>
              <w:rPr>
                <w:rFonts w:hint="eastAsia" w:ascii="Times New Roman" w:hAnsi="Times New Roman" w:cs="Times New Roman"/>
                <w:b w:val="0"/>
                <w:bCs w:val="0"/>
                <w:color w:val="auto"/>
                <w:sz w:val="24"/>
                <w:szCs w:val="24"/>
                <w:highlight w:val="none"/>
              </w:rPr>
              <w:t>：</w:t>
            </w:r>
            <w:r>
              <w:rPr>
                <w:rFonts w:hint="eastAsia" w:cs="Times New Roman"/>
                <w:b w:val="0"/>
                <w:bCs w:val="0"/>
                <w:color w:val="auto"/>
                <w:sz w:val="24"/>
                <w:szCs w:val="24"/>
                <w:highlight w:val="none"/>
                <w:lang w:val="en-US" w:eastAsia="zh-CN"/>
              </w:rPr>
              <w:t>师生</w:t>
            </w:r>
            <w:r>
              <w:rPr>
                <w:rFonts w:hint="eastAsia" w:ascii="Times New Roman" w:hAnsi="Times New Roman" w:cs="Times New Roman"/>
                <w:b w:val="0"/>
                <w:bCs w:val="0"/>
                <w:color w:val="auto"/>
                <w:sz w:val="24"/>
                <w:szCs w:val="24"/>
                <w:highlight w:val="none"/>
              </w:rPr>
              <w:t>生活产生的污水。污染物为</w:t>
            </w:r>
            <w:r>
              <w:rPr>
                <w:rFonts w:hint="eastAsia" w:cs="Times New Roman"/>
                <w:b w:val="0"/>
                <w:bCs w:val="0"/>
                <w:color w:val="auto"/>
                <w:sz w:val="24"/>
                <w:szCs w:val="24"/>
                <w:highlight w:val="none"/>
                <w:lang w:val="en-US" w:eastAsia="zh-CN"/>
              </w:rPr>
              <w:t>pH值、</w:t>
            </w:r>
            <w:r>
              <w:rPr>
                <w:rFonts w:hint="eastAsia" w:cs="Times New Roman"/>
                <w:b w:val="0"/>
                <w:bCs w:val="0"/>
                <w:color w:val="auto"/>
                <w:sz w:val="24"/>
                <w:szCs w:val="24"/>
                <w:highlight w:val="none"/>
                <w:lang w:val="en-US" w:eastAsia="zh-CN" w:bidi="ar"/>
              </w:rPr>
              <w:t>COD</w:t>
            </w:r>
            <w:r>
              <w:rPr>
                <w:rFonts w:hint="eastAsia" w:ascii="Times New Roman" w:hAnsi="Times New Roman" w:cs="Times New Roman"/>
                <w:b w:val="0"/>
                <w:bCs w:val="0"/>
                <w:color w:val="auto"/>
                <w:sz w:val="24"/>
                <w:szCs w:val="24"/>
                <w:highlight w:val="none"/>
                <w:lang w:bidi="ar"/>
              </w:rPr>
              <w:t>、BOD</w:t>
            </w:r>
            <w:r>
              <w:rPr>
                <w:rFonts w:hint="eastAsia" w:ascii="Times New Roman" w:hAnsi="Times New Roman" w:cs="Times New Roman"/>
                <w:b w:val="0"/>
                <w:bCs w:val="0"/>
                <w:color w:val="auto"/>
                <w:sz w:val="24"/>
                <w:szCs w:val="24"/>
                <w:highlight w:val="none"/>
                <w:vertAlign w:val="subscript"/>
                <w:lang w:bidi="ar"/>
              </w:rPr>
              <w:t>5</w:t>
            </w:r>
            <w:r>
              <w:rPr>
                <w:rFonts w:hint="eastAsia" w:ascii="Times New Roman" w:hAnsi="Times New Roman" w:cs="Times New Roman"/>
                <w:b w:val="0"/>
                <w:bCs w:val="0"/>
                <w:color w:val="auto"/>
                <w:sz w:val="24"/>
                <w:szCs w:val="24"/>
                <w:highlight w:val="none"/>
                <w:lang w:bidi="ar"/>
              </w:rPr>
              <w:t>、</w:t>
            </w:r>
            <w:r>
              <w:rPr>
                <w:rFonts w:hint="eastAsia" w:cs="Times New Roman"/>
                <w:b w:val="0"/>
                <w:bCs w:val="0"/>
                <w:color w:val="auto"/>
                <w:sz w:val="24"/>
                <w:szCs w:val="24"/>
                <w:highlight w:val="none"/>
                <w:lang w:val="en-US" w:eastAsia="zh-CN" w:bidi="ar"/>
              </w:rPr>
              <w:t>SS</w:t>
            </w:r>
            <w:r>
              <w:rPr>
                <w:rFonts w:hint="eastAsia" w:ascii="Times New Roman" w:hAnsi="Times New Roman" w:cs="Times New Roman"/>
                <w:b w:val="0"/>
                <w:bCs w:val="0"/>
                <w:color w:val="auto"/>
                <w:sz w:val="24"/>
                <w:szCs w:val="24"/>
                <w:highlight w:val="none"/>
                <w:lang w:bidi="ar"/>
              </w:rPr>
              <w:t>、NH</w:t>
            </w:r>
            <w:r>
              <w:rPr>
                <w:rFonts w:hint="eastAsia" w:ascii="Times New Roman" w:hAnsi="Times New Roman" w:cs="Times New Roman"/>
                <w:b w:val="0"/>
                <w:bCs w:val="0"/>
                <w:color w:val="auto"/>
                <w:sz w:val="24"/>
                <w:szCs w:val="24"/>
                <w:highlight w:val="none"/>
                <w:vertAlign w:val="subscript"/>
                <w:lang w:bidi="ar"/>
              </w:rPr>
              <w:t>3</w:t>
            </w:r>
            <w:r>
              <w:rPr>
                <w:rFonts w:hint="eastAsia" w:ascii="Times New Roman" w:hAnsi="Times New Roman" w:cs="Times New Roman"/>
                <w:b w:val="0"/>
                <w:bCs w:val="0"/>
                <w:color w:val="auto"/>
                <w:sz w:val="24"/>
                <w:szCs w:val="24"/>
                <w:highlight w:val="none"/>
                <w:lang w:bidi="ar"/>
              </w:rPr>
              <w:t>-N</w:t>
            </w:r>
            <w:r>
              <w:rPr>
                <w:rFonts w:hint="eastAsia" w:cs="Times New Roman"/>
                <w:b w:val="0"/>
                <w:bCs w:val="0"/>
                <w:color w:val="auto"/>
                <w:sz w:val="24"/>
                <w:szCs w:val="24"/>
                <w:highlight w:val="none"/>
                <w:lang w:eastAsia="zh-CN" w:bidi="ar"/>
              </w:rPr>
              <w:t>；</w:t>
            </w:r>
          </w:p>
          <w:p w14:paraId="405169B3">
            <w:pPr>
              <w:keepNext w:val="0"/>
              <w:keepLines w:val="0"/>
              <w:pageBreakBefore w:val="0"/>
              <w:widowControl w:val="0"/>
              <w:kinsoku/>
              <w:wordWrap/>
              <w:overflowPunct/>
              <w:topLinePunct w:val="0"/>
              <w:autoSpaceDE/>
              <w:autoSpaceDN/>
              <w:bidi w:val="0"/>
              <w:adjustRightInd/>
              <w:snapToGrid/>
              <w:spacing w:line="360" w:lineRule="auto"/>
              <w:ind w:firstLine="480" w:firstLineChars="200"/>
              <w:rPr>
                <w:rFonts w:hint="eastAsia" w:ascii="Times New Roman" w:hAnsi="Times New Roman" w:eastAsia="宋体"/>
                <w:b w:val="0"/>
                <w:bCs w:val="0"/>
                <w:color w:val="auto"/>
                <w:sz w:val="24"/>
                <w:szCs w:val="24"/>
                <w:highlight w:val="none"/>
                <w:lang w:eastAsia="zh-CN"/>
              </w:rPr>
            </w:pPr>
            <w:r>
              <w:rPr>
                <w:rFonts w:hint="eastAsia" w:cs="Times New Roman"/>
                <w:b w:val="0"/>
                <w:bCs w:val="0"/>
                <w:color w:val="auto"/>
                <w:sz w:val="24"/>
                <w:szCs w:val="24"/>
                <w:highlight w:val="none"/>
                <w:lang w:val="en-US" w:eastAsia="zh-CN"/>
              </w:rPr>
              <w:t>食堂废水：食堂运行</w:t>
            </w:r>
            <w:r>
              <w:rPr>
                <w:rFonts w:hint="eastAsia" w:ascii="Times New Roman" w:hAnsi="Times New Roman" w:cs="Times New Roman"/>
                <w:b w:val="0"/>
                <w:bCs w:val="0"/>
                <w:color w:val="auto"/>
                <w:sz w:val="24"/>
                <w:szCs w:val="24"/>
                <w:highlight w:val="none"/>
              </w:rPr>
              <w:t>产生的</w:t>
            </w:r>
            <w:r>
              <w:rPr>
                <w:rFonts w:hint="eastAsia" w:cs="Times New Roman"/>
                <w:b w:val="0"/>
                <w:bCs w:val="0"/>
                <w:color w:val="auto"/>
                <w:sz w:val="24"/>
                <w:szCs w:val="24"/>
                <w:highlight w:val="none"/>
                <w:lang w:val="en-US" w:eastAsia="zh-CN"/>
              </w:rPr>
              <w:t>废水</w:t>
            </w:r>
            <w:r>
              <w:rPr>
                <w:rFonts w:hint="eastAsia" w:ascii="Times New Roman" w:hAnsi="Times New Roman" w:cs="Times New Roman"/>
                <w:b w:val="0"/>
                <w:bCs w:val="0"/>
                <w:color w:val="auto"/>
                <w:sz w:val="24"/>
                <w:szCs w:val="24"/>
                <w:highlight w:val="none"/>
              </w:rPr>
              <w:t>。污染物为</w:t>
            </w:r>
            <w:r>
              <w:rPr>
                <w:rFonts w:hint="eastAsia" w:cs="Times New Roman"/>
                <w:b w:val="0"/>
                <w:bCs w:val="0"/>
                <w:color w:val="auto"/>
                <w:sz w:val="24"/>
                <w:szCs w:val="24"/>
                <w:highlight w:val="none"/>
                <w:lang w:val="en-US" w:eastAsia="zh-CN"/>
              </w:rPr>
              <w:t>pH值、</w:t>
            </w:r>
            <w:r>
              <w:rPr>
                <w:rFonts w:hint="eastAsia" w:cs="Times New Roman"/>
                <w:b w:val="0"/>
                <w:bCs w:val="0"/>
                <w:color w:val="auto"/>
                <w:sz w:val="24"/>
                <w:szCs w:val="24"/>
                <w:highlight w:val="none"/>
                <w:lang w:val="en-US" w:eastAsia="zh-CN" w:bidi="ar"/>
              </w:rPr>
              <w:t>COD</w:t>
            </w:r>
            <w:r>
              <w:rPr>
                <w:rFonts w:hint="eastAsia" w:ascii="Times New Roman" w:hAnsi="Times New Roman" w:cs="Times New Roman"/>
                <w:b w:val="0"/>
                <w:bCs w:val="0"/>
                <w:color w:val="auto"/>
                <w:sz w:val="24"/>
                <w:szCs w:val="24"/>
                <w:highlight w:val="none"/>
                <w:lang w:bidi="ar"/>
              </w:rPr>
              <w:t>、BOD</w:t>
            </w:r>
            <w:r>
              <w:rPr>
                <w:rFonts w:hint="eastAsia" w:ascii="Times New Roman" w:hAnsi="Times New Roman" w:cs="Times New Roman"/>
                <w:b w:val="0"/>
                <w:bCs w:val="0"/>
                <w:color w:val="auto"/>
                <w:sz w:val="24"/>
                <w:szCs w:val="24"/>
                <w:highlight w:val="none"/>
                <w:vertAlign w:val="subscript"/>
                <w:lang w:bidi="ar"/>
              </w:rPr>
              <w:t>5</w:t>
            </w:r>
            <w:r>
              <w:rPr>
                <w:rFonts w:hint="eastAsia" w:ascii="Times New Roman" w:hAnsi="Times New Roman" w:cs="Times New Roman"/>
                <w:b w:val="0"/>
                <w:bCs w:val="0"/>
                <w:color w:val="auto"/>
                <w:sz w:val="24"/>
                <w:szCs w:val="24"/>
                <w:highlight w:val="none"/>
                <w:lang w:bidi="ar"/>
              </w:rPr>
              <w:t>、</w:t>
            </w:r>
            <w:r>
              <w:rPr>
                <w:rFonts w:hint="eastAsia" w:cs="Times New Roman"/>
                <w:b w:val="0"/>
                <w:bCs w:val="0"/>
                <w:color w:val="auto"/>
                <w:sz w:val="24"/>
                <w:szCs w:val="24"/>
                <w:highlight w:val="none"/>
                <w:lang w:val="en-US" w:eastAsia="zh-CN" w:bidi="ar"/>
              </w:rPr>
              <w:t>SS</w:t>
            </w:r>
            <w:r>
              <w:rPr>
                <w:rFonts w:hint="eastAsia" w:ascii="Times New Roman" w:hAnsi="Times New Roman" w:cs="Times New Roman"/>
                <w:b w:val="0"/>
                <w:bCs w:val="0"/>
                <w:color w:val="auto"/>
                <w:sz w:val="24"/>
                <w:szCs w:val="24"/>
                <w:highlight w:val="none"/>
                <w:lang w:bidi="ar"/>
              </w:rPr>
              <w:t>、NH</w:t>
            </w:r>
            <w:r>
              <w:rPr>
                <w:rFonts w:hint="eastAsia" w:ascii="Times New Roman" w:hAnsi="Times New Roman" w:cs="Times New Roman"/>
                <w:b w:val="0"/>
                <w:bCs w:val="0"/>
                <w:color w:val="auto"/>
                <w:sz w:val="24"/>
                <w:szCs w:val="24"/>
                <w:highlight w:val="none"/>
                <w:vertAlign w:val="subscript"/>
                <w:lang w:bidi="ar"/>
              </w:rPr>
              <w:t>3</w:t>
            </w:r>
            <w:r>
              <w:rPr>
                <w:rFonts w:hint="eastAsia" w:ascii="Times New Roman" w:hAnsi="Times New Roman" w:cs="Times New Roman"/>
                <w:b w:val="0"/>
                <w:bCs w:val="0"/>
                <w:color w:val="auto"/>
                <w:sz w:val="24"/>
                <w:szCs w:val="24"/>
                <w:highlight w:val="none"/>
                <w:lang w:bidi="ar"/>
              </w:rPr>
              <w:t>-N、动植物油</w:t>
            </w:r>
            <w:r>
              <w:rPr>
                <w:rFonts w:hint="eastAsia" w:cs="Times New Roman"/>
                <w:b w:val="0"/>
                <w:bCs w:val="0"/>
                <w:color w:val="auto"/>
                <w:sz w:val="24"/>
                <w:szCs w:val="24"/>
                <w:highlight w:val="none"/>
                <w:lang w:eastAsia="zh-CN" w:bidi="ar"/>
              </w:rPr>
              <w:t>；</w:t>
            </w:r>
          </w:p>
          <w:p w14:paraId="47BA0A5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rPr>
                <w:rFonts w:hint="eastAsia" w:eastAsia="宋体"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实验废水：实验室实验产生的废水，主要为废酸液、废碱液等，</w:t>
            </w:r>
            <w:r>
              <w:rPr>
                <w:rFonts w:hint="eastAsia" w:ascii="Times New Roman" w:hAnsi="Times New Roman" w:cs="Times New Roman"/>
                <w:b w:val="0"/>
                <w:bCs w:val="0"/>
                <w:color w:val="auto"/>
                <w:sz w:val="24"/>
                <w:szCs w:val="24"/>
                <w:highlight w:val="none"/>
              </w:rPr>
              <w:t>污染物为</w:t>
            </w:r>
            <w:r>
              <w:rPr>
                <w:rFonts w:hint="eastAsia" w:cs="Times New Roman"/>
                <w:b w:val="0"/>
                <w:bCs w:val="0"/>
                <w:color w:val="auto"/>
                <w:sz w:val="24"/>
                <w:szCs w:val="24"/>
                <w:highlight w:val="none"/>
                <w:lang w:val="en-US" w:eastAsia="zh-CN"/>
              </w:rPr>
              <w:t>pH值、</w:t>
            </w:r>
            <w:r>
              <w:rPr>
                <w:rFonts w:hint="eastAsia" w:cs="Times New Roman"/>
                <w:b w:val="0"/>
                <w:bCs w:val="0"/>
                <w:color w:val="auto"/>
                <w:sz w:val="24"/>
                <w:szCs w:val="24"/>
                <w:highlight w:val="none"/>
                <w:lang w:val="en-US" w:eastAsia="zh-CN" w:bidi="ar"/>
              </w:rPr>
              <w:t>COD</w:t>
            </w:r>
            <w:r>
              <w:rPr>
                <w:rFonts w:hint="eastAsia" w:ascii="Times New Roman" w:hAnsi="Times New Roman" w:cs="Times New Roman"/>
                <w:b w:val="0"/>
                <w:bCs w:val="0"/>
                <w:color w:val="auto"/>
                <w:sz w:val="24"/>
                <w:szCs w:val="24"/>
                <w:highlight w:val="none"/>
                <w:lang w:bidi="ar"/>
              </w:rPr>
              <w:t>、BOD</w:t>
            </w:r>
            <w:r>
              <w:rPr>
                <w:rFonts w:hint="eastAsia" w:ascii="Times New Roman" w:hAnsi="Times New Roman" w:cs="Times New Roman"/>
                <w:b w:val="0"/>
                <w:bCs w:val="0"/>
                <w:color w:val="auto"/>
                <w:sz w:val="24"/>
                <w:szCs w:val="24"/>
                <w:highlight w:val="none"/>
                <w:vertAlign w:val="subscript"/>
                <w:lang w:bidi="ar"/>
              </w:rPr>
              <w:t>5</w:t>
            </w:r>
            <w:r>
              <w:rPr>
                <w:rFonts w:hint="eastAsia" w:ascii="Times New Roman" w:hAnsi="Times New Roman" w:cs="Times New Roman"/>
                <w:b w:val="0"/>
                <w:bCs w:val="0"/>
                <w:color w:val="auto"/>
                <w:sz w:val="24"/>
                <w:szCs w:val="24"/>
                <w:highlight w:val="none"/>
                <w:lang w:bidi="ar"/>
              </w:rPr>
              <w:t>、</w:t>
            </w:r>
            <w:r>
              <w:rPr>
                <w:rFonts w:hint="eastAsia" w:cs="Times New Roman"/>
                <w:b w:val="0"/>
                <w:bCs w:val="0"/>
                <w:color w:val="auto"/>
                <w:sz w:val="24"/>
                <w:szCs w:val="24"/>
                <w:highlight w:val="none"/>
                <w:lang w:val="en-US" w:eastAsia="zh-CN" w:bidi="ar"/>
              </w:rPr>
              <w:t>SS</w:t>
            </w:r>
            <w:r>
              <w:rPr>
                <w:rFonts w:hint="eastAsia" w:ascii="Times New Roman" w:hAnsi="Times New Roman" w:cs="Times New Roman"/>
                <w:b w:val="0"/>
                <w:bCs w:val="0"/>
                <w:color w:val="auto"/>
                <w:sz w:val="24"/>
                <w:szCs w:val="24"/>
                <w:highlight w:val="none"/>
                <w:lang w:bidi="ar"/>
              </w:rPr>
              <w:t>、NH</w:t>
            </w:r>
            <w:r>
              <w:rPr>
                <w:rFonts w:hint="eastAsia" w:ascii="Times New Roman" w:hAnsi="Times New Roman" w:cs="Times New Roman"/>
                <w:b w:val="0"/>
                <w:bCs w:val="0"/>
                <w:color w:val="auto"/>
                <w:sz w:val="24"/>
                <w:szCs w:val="24"/>
                <w:highlight w:val="none"/>
                <w:vertAlign w:val="subscript"/>
                <w:lang w:bidi="ar"/>
              </w:rPr>
              <w:t>3</w:t>
            </w:r>
            <w:r>
              <w:rPr>
                <w:rFonts w:hint="eastAsia" w:ascii="Times New Roman" w:hAnsi="Times New Roman" w:cs="Times New Roman"/>
                <w:b w:val="0"/>
                <w:bCs w:val="0"/>
                <w:color w:val="auto"/>
                <w:sz w:val="24"/>
                <w:szCs w:val="24"/>
                <w:highlight w:val="none"/>
                <w:lang w:bidi="ar"/>
              </w:rPr>
              <w:t>-N</w:t>
            </w:r>
            <w:r>
              <w:rPr>
                <w:rFonts w:hint="eastAsia" w:cs="Times New Roman"/>
                <w:b w:val="0"/>
                <w:bCs w:val="0"/>
                <w:color w:val="auto"/>
                <w:sz w:val="24"/>
                <w:szCs w:val="24"/>
                <w:highlight w:val="none"/>
                <w:lang w:eastAsia="zh-CN"/>
              </w:rPr>
              <w:t>；</w:t>
            </w:r>
          </w:p>
          <w:p w14:paraId="0727C1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rPr>
                <w:rFonts w:ascii="Times New Roman" w:hAnsi="Times New Roman" w:cs="Times New Roman"/>
                <w:b w:val="0"/>
                <w:bCs w:val="0"/>
                <w:color w:val="auto"/>
                <w:sz w:val="24"/>
                <w:szCs w:val="24"/>
                <w:highlight w:val="none"/>
              </w:rPr>
            </w:pPr>
            <w:r>
              <w:rPr>
                <w:rFonts w:hint="eastAsia" w:cs="Times New Roman"/>
                <w:b w:val="0"/>
                <w:bCs w:val="0"/>
                <w:color w:val="auto"/>
                <w:sz w:val="24"/>
                <w:szCs w:val="24"/>
                <w:highlight w:val="none"/>
                <w:lang w:val="en-US" w:eastAsia="zh-CN"/>
              </w:rPr>
              <w:t>碱喷淋废水</w:t>
            </w:r>
            <w:r>
              <w:rPr>
                <w:rFonts w:hint="eastAsia" w:ascii="Times New Roman" w:hAnsi="Times New Roman" w:cs="Times New Roman"/>
                <w:b w:val="0"/>
                <w:bCs w:val="0"/>
                <w:color w:val="auto"/>
                <w:sz w:val="24"/>
                <w:szCs w:val="24"/>
                <w:highlight w:val="none"/>
              </w:rPr>
              <w:t>：</w:t>
            </w:r>
            <w:r>
              <w:rPr>
                <w:rFonts w:hint="eastAsia" w:cs="Times New Roman"/>
                <w:b w:val="0"/>
                <w:bCs w:val="0"/>
                <w:color w:val="auto"/>
                <w:sz w:val="24"/>
                <w:szCs w:val="24"/>
                <w:highlight w:val="none"/>
                <w:lang w:val="en-US" w:eastAsia="zh-CN"/>
              </w:rPr>
              <w:t>碱喷淋产生的废水，主要为废碱液等，</w:t>
            </w:r>
            <w:r>
              <w:rPr>
                <w:rFonts w:hint="eastAsia" w:ascii="Times New Roman" w:hAnsi="Times New Roman" w:cs="Times New Roman"/>
                <w:b w:val="0"/>
                <w:bCs w:val="0"/>
                <w:color w:val="auto"/>
                <w:sz w:val="24"/>
                <w:szCs w:val="24"/>
                <w:highlight w:val="none"/>
              </w:rPr>
              <w:t>污染物为</w:t>
            </w:r>
            <w:r>
              <w:rPr>
                <w:rFonts w:hint="eastAsia" w:cs="Times New Roman"/>
                <w:b w:val="0"/>
                <w:bCs w:val="0"/>
                <w:color w:val="auto"/>
                <w:sz w:val="24"/>
                <w:szCs w:val="24"/>
                <w:highlight w:val="none"/>
                <w:lang w:val="en-US" w:eastAsia="zh-CN"/>
              </w:rPr>
              <w:t>pH值、</w:t>
            </w:r>
            <w:r>
              <w:rPr>
                <w:rFonts w:hint="eastAsia" w:cs="Times New Roman"/>
                <w:b w:val="0"/>
                <w:bCs w:val="0"/>
                <w:color w:val="auto"/>
                <w:sz w:val="24"/>
                <w:szCs w:val="24"/>
                <w:highlight w:val="none"/>
                <w:lang w:val="en-US" w:eastAsia="zh-CN" w:bidi="ar"/>
              </w:rPr>
              <w:t>COD</w:t>
            </w:r>
            <w:r>
              <w:rPr>
                <w:rFonts w:hint="eastAsia" w:ascii="Times New Roman" w:hAnsi="Times New Roman" w:cs="Times New Roman"/>
                <w:b w:val="0"/>
                <w:bCs w:val="0"/>
                <w:color w:val="auto"/>
                <w:sz w:val="24"/>
                <w:szCs w:val="24"/>
                <w:highlight w:val="none"/>
                <w:lang w:bidi="ar"/>
              </w:rPr>
              <w:t>、BOD</w:t>
            </w:r>
            <w:r>
              <w:rPr>
                <w:rFonts w:hint="eastAsia" w:ascii="Times New Roman" w:hAnsi="Times New Roman" w:cs="Times New Roman"/>
                <w:b w:val="0"/>
                <w:bCs w:val="0"/>
                <w:color w:val="auto"/>
                <w:sz w:val="24"/>
                <w:szCs w:val="24"/>
                <w:highlight w:val="none"/>
                <w:vertAlign w:val="subscript"/>
                <w:lang w:bidi="ar"/>
              </w:rPr>
              <w:t>5</w:t>
            </w:r>
            <w:r>
              <w:rPr>
                <w:rFonts w:hint="eastAsia" w:ascii="Times New Roman" w:hAnsi="Times New Roman" w:cs="Times New Roman"/>
                <w:b w:val="0"/>
                <w:bCs w:val="0"/>
                <w:color w:val="auto"/>
                <w:sz w:val="24"/>
                <w:szCs w:val="24"/>
                <w:highlight w:val="none"/>
                <w:lang w:bidi="ar"/>
              </w:rPr>
              <w:t>、</w:t>
            </w:r>
            <w:r>
              <w:rPr>
                <w:rFonts w:hint="eastAsia" w:cs="Times New Roman"/>
                <w:b w:val="0"/>
                <w:bCs w:val="0"/>
                <w:color w:val="auto"/>
                <w:sz w:val="24"/>
                <w:szCs w:val="24"/>
                <w:highlight w:val="none"/>
                <w:lang w:val="en-US" w:eastAsia="zh-CN" w:bidi="ar"/>
              </w:rPr>
              <w:t>SS</w:t>
            </w:r>
            <w:r>
              <w:rPr>
                <w:rFonts w:hint="eastAsia" w:ascii="Times New Roman" w:hAnsi="Times New Roman" w:cs="Times New Roman"/>
                <w:b w:val="0"/>
                <w:bCs w:val="0"/>
                <w:color w:val="auto"/>
                <w:sz w:val="24"/>
                <w:szCs w:val="24"/>
                <w:highlight w:val="none"/>
                <w:lang w:bidi="ar"/>
              </w:rPr>
              <w:t>、NH</w:t>
            </w:r>
            <w:r>
              <w:rPr>
                <w:rFonts w:hint="eastAsia" w:ascii="Times New Roman" w:hAnsi="Times New Roman" w:cs="Times New Roman"/>
                <w:b w:val="0"/>
                <w:bCs w:val="0"/>
                <w:color w:val="auto"/>
                <w:sz w:val="24"/>
                <w:szCs w:val="24"/>
                <w:highlight w:val="none"/>
                <w:vertAlign w:val="subscript"/>
                <w:lang w:bidi="ar"/>
              </w:rPr>
              <w:t>3</w:t>
            </w:r>
            <w:r>
              <w:rPr>
                <w:rFonts w:hint="eastAsia" w:ascii="Times New Roman" w:hAnsi="Times New Roman" w:cs="Times New Roman"/>
                <w:b w:val="0"/>
                <w:bCs w:val="0"/>
                <w:color w:val="auto"/>
                <w:sz w:val="24"/>
                <w:szCs w:val="24"/>
                <w:highlight w:val="none"/>
                <w:lang w:bidi="ar"/>
              </w:rPr>
              <w:t>-N</w:t>
            </w:r>
            <w:r>
              <w:rPr>
                <w:rFonts w:hint="eastAsia" w:ascii="Times New Roman" w:hAnsi="Times New Roman" w:cs="Times New Roman"/>
                <w:b w:val="0"/>
                <w:bCs w:val="0"/>
                <w:color w:val="auto"/>
                <w:sz w:val="24"/>
                <w:szCs w:val="24"/>
                <w:highlight w:val="none"/>
              </w:rPr>
              <w:t>。</w:t>
            </w:r>
          </w:p>
          <w:p w14:paraId="09223F4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rPr>
                <w:rFonts w:ascii="Times New Roman" w:hAnsi="Times New Roman" w:cs="Times New Roman"/>
                <w:b w:val="0"/>
                <w:bCs w:val="0"/>
                <w:color w:val="auto"/>
                <w:sz w:val="24"/>
                <w:szCs w:val="24"/>
                <w:highlight w:val="none"/>
              </w:rPr>
            </w:pPr>
            <w:r>
              <w:rPr>
                <w:rFonts w:hint="eastAsia" w:ascii="Times New Roman" w:hAnsi="Times New Roman" w:cs="Times New Roman"/>
                <w:b w:val="0"/>
                <w:bCs w:val="0"/>
                <w:color w:val="auto"/>
                <w:sz w:val="24"/>
                <w:szCs w:val="24"/>
                <w:highlight w:val="none"/>
              </w:rPr>
              <w:t>③</w:t>
            </w:r>
            <w:r>
              <w:rPr>
                <w:rFonts w:ascii="Times New Roman" w:hAnsi="Times New Roman" w:cs="Times New Roman"/>
                <w:b w:val="0"/>
                <w:bCs w:val="0"/>
                <w:color w:val="auto"/>
                <w:sz w:val="24"/>
                <w:szCs w:val="24"/>
                <w:highlight w:val="none"/>
              </w:rPr>
              <w:t>噪声</w:t>
            </w:r>
          </w:p>
          <w:p w14:paraId="446BA809">
            <w:pPr>
              <w:pStyle w:val="11"/>
              <w:keepNext w:val="0"/>
              <w:keepLines w:val="0"/>
              <w:pageBreakBefore w:val="0"/>
              <w:widowControl w:val="0"/>
              <w:kinsoku/>
              <w:wordWrap/>
              <w:overflowPunct/>
              <w:topLinePunct w:val="0"/>
              <w:autoSpaceDE/>
              <w:autoSpaceDN/>
              <w:bidi w:val="0"/>
              <w:adjustRightInd/>
              <w:snapToGrid/>
              <w:spacing w:line="360" w:lineRule="auto"/>
              <w:ind w:firstLineChars="200"/>
              <w:jc w:val="left"/>
              <w:rPr>
                <w:rFonts w:hint="eastAsia" w:ascii="Times New Roman" w:hAnsi="Times New Roman" w:eastAsia="宋体" w:cs="Times New Roman"/>
                <w:b w:val="0"/>
                <w:bCs w:val="0"/>
                <w:color w:val="auto"/>
                <w:sz w:val="24"/>
                <w:szCs w:val="24"/>
                <w:highlight w:val="none"/>
                <w:lang w:eastAsia="zh-CN"/>
              </w:rPr>
            </w:pPr>
            <w:r>
              <w:rPr>
                <w:rFonts w:hint="eastAsia" w:ascii="Times New Roman" w:hAnsi="Times New Roman" w:cs="Times New Roman"/>
                <w:b w:val="0"/>
                <w:bCs w:val="0"/>
                <w:color w:val="auto"/>
                <w:sz w:val="24"/>
                <w:szCs w:val="24"/>
                <w:highlight w:val="none"/>
              </w:rPr>
              <w:t>风机噪声：风机运行时产生的噪声</w:t>
            </w:r>
            <w:r>
              <w:rPr>
                <w:rFonts w:hint="eastAsia" w:cs="Times New Roman"/>
                <w:b w:val="0"/>
                <w:bCs w:val="0"/>
                <w:color w:val="auto"/>
                <w:sz w:val="24"/>
                <w:szCs w:val="24"/>
                <w:highlight w:val="none"/>
                <w:lang w:eastAsia="zh-CN"/>
              </w:rPr>
              <w:t>；</w:t>
            </w:r>
          </w:p>
          <w:p w14:paraId="7A14F972">
            <w:pPr>
              <w:pStyle w:val="11"/>
              <w:keepNext w:val="0"/>
              <w:keepLines w:val="0"/>
              <w:pageBreakBefore w:val="0"/>
              <w:widowControl w:val="0"/>
              <w:kinsoku/>
              <w:wordWrap/>
              <w:overflowPunct/>
              <w:topLinePunct w:val="0"/>
              <w:autoSpaceDE/>
              <w:autoSpaceDN/>
              <w:bidi w:val="0"/>
              <w:adjustRightInd/>
              <w:snapToGrid/>
              <w:spacing w:line="360" w:lineRule="auto"/>
              <w:ind w:firstLineChars="200"/>
              <w:jc w:val="left"/>
              <w:rPr>
                <w:rFonts w:hint="default"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空调机组噪声：空调机组运行时产生的噪声；</w:t>
            </w:r>
          </w:p>
          <w:p w14:paraId="739F9D34">
            <w:pPr>
              <w:pStyle w:val="11"/>
              <w:keepNext w:val="0"/>
              <w:keepLines w:val="0"/>
              <w:pageBreakBefore w:val="0"/>
              <w:widowControl w:val="0"/>
              <w:kinsoku/>
              <w:wordWrap/>
              <w:overflowPunct/>
              <w:topLinePunct w:val="0"/>
              <w:autoSpaceDE/>
              <w:autoSpaceDN/>
              <w:bidi w:val="0"/>
              <w:adjustRightInd/>
              <w:snapToGrid/>
              <w:spacing w:line="360" w:lineRule="auto"/>
              <w:ind w:firstLineChars="200"/>
              <w:jc w:val="left"/>
              <w:rPr>
                <w:rFonts w:hint="default"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水泵噪声：水泵运行时产生的噪声；</w:t>
            </w:r>
          </w:p>
          <w:p w14:paraId="5F905433">
            <w:pPr>
              <w:pStyle w:val="11"/>
              <w:keepNext w:val="0"/>
              <w:keepLines w:val="0"/>
              <w:pageBreakBefore w:val="0"/>
              <w:widowControl w:val="0"/>
              <w:kinsoku/>
              <w:wordWrap/>
              <w:overflowPunct/>
              <w:topLinePunct w:val="0"/>
              <w:autoSpaceDE/>
              <w:autoSpaceDN/>
              <w:bidi w:val="0"/>
              <w:adjustRightInd/>
              <w:snapToGrid/>
              <w:spacing w:line="360" w:lineRule="auto"/>
              <w:ind w:firstLineChars="200"/>
              <w:jc w:val="left"/>
              <w:rPr>
                <w:rFonts w:hint="default" w:ascii="Times New Roman" w:hAnsi="Times New Roman" w:cs="Times New Roman"/>
                <w:b w:val="0"/>
                <w:bCs w:val="0"/>
                <w:color w:val="auto"/>
                <w:sz w:val="24"/>
                <w:szCs w:val="24"/>
                <w:highlight w:val="none"/>
                <w:lang w:val="en-US"/>
              </w:rPr>
            </w:pPr>
            <w:r>
              <w:rPr>
                <w:rFonts w:hint="eastAsia" w:cs="Times New Roman"/>
                <w:b w:val="0"/>
                <w:bCs w:val="0"/>
                <w:color w:val="auto"/>
                <w:sz w:val="24"/>
                <w:szCs w:val="24"/>
                <w:highlight w:val="none"/>
                <w:lang w:val="en-US" w:eastAsia="zh-CN"/>
              </w:rPr>
              <w:t>车辆噪声：车辆行驶时产生的噪声。</w:t>
            </w:r>
          </w:p>
          <w:p w14:paraId="4B5A45A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rPr>
                <w:rFonts w:ascii="Times New Roman" w:hAnsi="Times New Roman" w:cs="Times New Roman"/>
                <w:b w:val="0"/>
                <w:bCs w:val="0"/>
                <w:color w:val="auto"/>
                <w:sz w:val="24"/>
                <w:szCs w:val="24"/>
                <w:highlight w:val="none"/>
              </w:rPr>
            </w:pPr>
            <w:r>
              <w:rPr>
                <w:rFonts w:hint="eastAsia" w:ascii="Times New Roman" w:hAnsi="Times New Roman" w:cs="Times New Roman"/>
                <w:b w:val="0"/>
                <w:bCs w:val="0"/>
                <w:color w:val="auto"/>
                <w:sz w:val="24"/>
                <w:szCs w:val="24"/>
                <w:highlight w:val="none"/>
              </w:rPr>
              <w:t>④</w:t>
            </w:r>
            <w:r>
              <w:rPr>
                <w:rFonts w:ascii="Times New Roman" w:hAnsi="Times New Roman" w:cs="Times New Roman"/>
                <w:b w:val="0"/>
                <w:bCs w:val="0"/>
                <w:color w:val="auto"/>
                <w:sz w:val="24"/>
                <w:szCs w:val="24"/>
                <w:highlight w:val="none"/>
              </w:rPr>
              <w:t>固体废物</w:t>
            </w:r>
          </w:p>
          <w:p w14:paraId="35BB77AC">
            <w:pPr>
              <w:pStyle w:val="11"/>
              <w:keepNext w:val="0"/>
              <w:keepLines w:val="0"/>
              <w:pageBreakBefore w:val="0"/>
              <w:widowControl w:val="0"/>
              <w:kinsoku/>
              <w:wordWrap/>
              <w:overflowPunct/>
              <w:topLinePunct w:val="0"/>
              <w:autoSpaceDE/>
              <w:autoSpaceDN/>
              <w:bidi w:val="0"/>
              <w:adjustRightInd/>
              <w:snapToGrid/>
              <w:spacing w:line="360" w:lineRule="auto"/>
              <w:ind w:firstLineChars="200"/>
              <w:jc w:val="left"/>
              <w:rPr>
                <w:rFonts w:hint="eastAsia" w:ascii="Times New Roman" w:hAnsi="Times New Roman" w:eastAsia="宋体"/>
                <w:b w:val="0"/>
                <w:bCs w:val="0"/>
                <w:color w:val="auto"/>
                <w:sz w:val="24"/>
                <w:szCs w:val="24"/>
                <w:highlight w:val="none"/>
                <w:lang w:eastAsia="zh-CN"/>
              </w:rPr>
            </w:pPr>
            <w:r>
              <w:rPr>
                <w:rFonts w:hint="eastAsia"/>
                <w:b w:val="0"/>
                <w:bCs w:val="0"/>
                <w:color w:val="auto"/>
                <w:sz w:val="24"/>
                <w:szCs w:val="24"/>
                <w:highlight w:val="none"/>
                <w:lang w:val="en-US" w:eastAsia="zh-CN"/>
              </w:rPr>
              <w:t>餐厨垃圾</w:t>
            </w:r>
            <w:r>
              <w:rPr>
                <w:rFonts w:hint="eastAsia" w:ascii="Times New Roman" w:hAnsi="Times New Roman"/>
                <w:b w:val="0"/>
                <w:bCs w:val="0"/>
                <w:color w:val="auto"/>
                <w:sz w:val="24"/>
                <w:szCs w:val="24"/>
                <w:highlight w:val="none"/>
              </w:rPr>
              <w:t>：</w:t>
            </w:r>
            <w:r>
              <w:rPr>
                <w:rFonts w:hint="eastAsia"/>
                <w:b w:val="0"/>
                <w:bCs w:val="0"/>
                <w:color w:val="auto"/>
                <w:sz w:val="24"/>
                <w:szCs w:val="24"/>
                <w:highlight w:val="none"/>
                <w:lang w:val="en-US" w:eastAsia="zh-CN"/>
              </w:rPr>
              <w:t>食堂运行产生的餐厨垃圾</w:t>
            </w:r>
            <w:r>
              <w:rPr>
                <w:rFonts w:hint="eastAsia"/>
                <w:b w:val="0"/>
                <w:bCs w:val="0"/>
                <w:color w:val="auto"/>
                <w:sz w:val="24"/>
                <w:szCs w:val="24"/>
                <w:highlight w:val="none"/>
                <w:lang w:eastAsia="zh-CN"/>
              </w:rPr>
              <w:t>；</w:t>
            </w:r>
          </w:p>
          <w:p w14:paraId="48BF4E05">
            <w:pPr>
              <w:pStyle w:val="29"/>
              <w:keepNext w:val="0"/>
              <w:keepLines w:val="0"/>
              <w:pageBreakBefore w:val="0"/>
              <w:widowControl w:val="0"/>
              <w:kinsoku/>
              <w:wordWrap/>
              <w:overflowPunct/>
              <w:topLinePunct w:val="0"/>
              <w:autoSpaceDE/>
              <w:autoSpaceDN/>
              <w:bidi w:val="0"/>
              <w:adjustRightInd/>
              <w:snapToGrid/>
              <w:spacing w:before="0" w:after="0" w:line="360" w:lineRule="auto"/>
              <w:ind w:firstLine="480" w:firstLineChars="200"/>
              <w:jc w:val="left"/>
              <w:rPr>
                <w:rFonts w:hint="default" w:ascii="Times New Roman" w:hAnsi="Times New Roman" w:eastAsia="宋体"/>
                <w:b w:val="0"/>
                <w:bCs w:val="0"/>
                <w:color w:val="auto"/>
                <w:sz w:val="24"/>
                <w:szCs w:val="24"/>
                <w:highlight w:val="none"/>
                <w:lang w:val="en-US"/>
              </w:rPr>
            </w:pPr>
            <w:r>
              <w:rPr>
                <w:rFonts w:hint="eastAsia" w:ascii="Times New Roman" w:hAnsi="Times New Roman" w:eastAsia="宋体"/>
                <w:b w:val="0"/>
                <w:bCs w:val="0"/>
                <w:color w:val="auto"/>
                <w:sz w:val="24"/>
                <w:szCs w:val="24"/>
                <w:highlight w:val="none"/>
                <w:lang w:val="en-US" w:eastAsia="zh-CN"/>
              </w:rPr>
              <w:t>隔油池废油脂：隔油池隔油产生的废油脂；</w:t>
            </w:r>
          </w:p>
          <w:p w14:paraId="4485D7EE">
            <w:pPr>
              <w:pStyle w:val="29"/>
              <w:keepNext w:val="0"/>
              <w:keepLines w:val="0"/>
              <w:pageBreakBefore w:val="0"/>
              <w:widowControl w:val="0"/>
              <w:kinsoku/>
              <w:wordWrap/>
              <w:overflowPunct/>
              <w:topLinePunct w:val="0"/>
              <w:autoSpaceDE/>
              <w:autoSpaceDN/>
              <w:bidi w:val="0"/>
              <w:adjustRightInd/>
              <w:snapToGrid/>
              <w:spacing w:before="0" w:after="0" w:line="360" w:lineRule="auto"/>
              <w:ind w:firstLine="480" w:firstLineChars="200"/>
              <w:jc w:val="left"/>
              <w:rPr>
                <w:rFonts w:hint="default" w:ascii="Times New Roman" w:hAnsi="Times New Roman" w:eastAsia="宋体"/>
                <w:b w:val="0"/>
                <w:bCs w:val="0"/>
                <w:color w:val="auto"/>
                <w:sz w:val="24"/>
                <w:szCs w:val="24"/>
                <w:highlight w:val="none"/>
                <w:lang w:val="en-US" w:eastAsia="zh-CN"/>
              </w:rPr>
            </w:pPr>
            <w:r>
              <w:rPr>
                <w:rFonts w:hint="eastAsia" w:ascii="Times New Roman" w:hAnsi="Times New Roman" w:eastAsia="宋体"/>
                <w:b w:val="0"/>
                <w:bCs w:val="0"/>
                <w:color w:val="auto"/>
                <w:sz w:val="24"/>
                <w:szCs w:val="24"/>
                <w:highlight w:val="none"/>
                <w:lang w:val="en-US" w:eastAsia="zh-CN"/>
              </w:rPr>
              <w:t>实验室废气治理废活性炭：实验室废气治理过程吸附装置更换的废活性炭；</w:t>
            </w:r>
          </w:p>
          <w:p w14:paraId="4C7515DD">
            <w:pPr>
              <w:pStyle w:val="29"/>
              <w:keepNext w:val="0"/>
              <w:keepLines w:val="0"/>
              <w:pageBreakBefore w:val="0"/>
              <w:widowControl w:val="0"/>
              <w:kinsoku/>
              <w:wordWrap/>
              <w:overflowPunct/>
              <w:topLinePunct w:val="0"/>
              <w:autoSpaceDE/>
              <w:autoSpaceDN/>
              <w:bidi w:val="0"/>
              <w:adjustRightInd/>
              <w:snapToGrid/>
              <w:spacing w:before="0" w:after="0" w:line="360" w:lineRule="auto"/>
              <w:ind w:firstLine="480" w:firstLineChars="200"/>
              <w:jc w:val="left"/>
              <w:rPr>
                <w:rFonts w:hint="default" w:ascii="Times New Roman" w:hAnsi="Times New Roman" w:eastAsia="宋体"/>
                <w:b w:val="0"/>
                <w:bCs w:val="0"/>
                <w:color w:val="auto"/>
                <w:sz w:val="24"/>
                <w:szCs w:val="24"/>
                <w:highlight w:val="none"/>
                <w:lang w:val="en-US" w:eastAsia="zh-CN"/>
              </w:rPr>
            </w:pPr>
            <w:r>
              <w:rPr>
                <w:rFonts w:hint="eastAsia" w:ascii="Times New Roman" w:hAnsi="Times New Roman" w:eastAsia="宋体"/>
                <w:b w:val="0"/>
                <w:bCs w:val="0"/>
                <w:color w:val="auto"/>
                <w:sz w:val="24"/>
                <w:szCs w:val="24"/>
                <w:highlight w:val="none"/>
                <w:lang w:val="en-US" w:eastAsia="zh-CN"/>
              </w:rPr>
              <w:t>实验室危险废物：实验室日常产生的危险废物；</w:t>
            </w:r>
          </w:p>
          <w:p w14:paraId="1EEF3E92">
            <w:pPr>
              <w:pStyle w:val="29"/>
              <w:keepNext w:val="0"/>
              <w:keepLines w:val="0"/>
              <w:pageBreakBefore w:val="0"/>
              <w:widowControl w:val="0"/>
              <w:kinsoku/>
              <w:wordWrap/>
              <w:overflowPunct/>
              <w:topLinePunct w:val="0"/>
              <w:autoSpaceDE/>
              <w:autoSpaceDN/>
              <w:bidi w:val="0"/>
              <w:adjustRightInd/>
              <w:snapToGrid/>
              <w:spacing w:before="0" w:after="0" w:line="360" w:lineRule="auto"/>
              <w:ind w:firstLine="480" w:firstLineChars="200"/>
              <w:jc w:val="left"/>
              <w:rPr>
                <w:rFonts w:hint="default"/>
                <w:color w:val="auto"/>
                <w:highlight w:val="none"/>
                <w:lang w:val="en-US" w:eastAsia="zh-CN"/>
              </w:rPr>
            </w:pPr>
            <w:r>
              <w:rPr>
                <w:rFonts w:hint="eastAsia" w:ascii="Times New Roman" w:hAnsi="Times New Roman" w:eastAsia="宋体"/>
                <w:b w:val="0"/>
                <w:bCs w:val="0"/>
                <w:color w:val="auto"/>
                <w:sz w:val="24"/>
                <w:szCs w:val="24"/>
                <w:highlight w:val="none"/>
                <w:lang w:val="en-US" w:eastAsia="zh-CN"/>
              </w:rPr>
              <w:t>生活垃圾：职工生活产生的生活垃圾。</w:t>
            </w:r>
          </w:p>
        </w:tc>
      </w:tr>
      <w:tr w14:paraId="154D6C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018" w:hRule="atLeast"/>
          <w:jc w:val="center"/>
        </w:trPr>
        <w:tc>
          <w:tcPr>
            <w:tcW w:w="662" w:type="dxa"/>
            <w:vAlign w:val="center"/>
          </w:tcPr>
          <w:p w14:paraId="76223F7A">
            <w:pPr>
              <w:pStyle w:val="3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eastAsia="zh-CN"/>
              </w:rPr>
            </w:pPr>
            <w:r>
              <w:rPr>
                <w:rFonts w:hint="eastAsia"/>
                <w:color w:val="auto"/>
                <w:highlight w:val="none"/>
                <w:lang w:eastAsia="zh-CN"/>
              </w:rPr>
              <w:t>与项目有关的原有环境污染问题</w:t>
            </w:r>
          </w:p>
        </w:tc>
        <w:tc>
          <w:tcPr>
            <w:tcW w:w="8524" w:type="dxa"/>
            <w:vAlign w:val="center"/>
          </w:tcPr>
          <w:p w14:paraId="43F59282">
            <w:pPr>
              <w:keepNext w:val="0"/>
              <w:keepLines w:val="0"/>
              <w:pageBreakBefore w:val="0"/>
              <w:widowControl w:val="0"/>
              <w:kinsoku/>
              <w:wordWrap/>
              <w:overflowPunct/>
              <w:topLinePunct w:val="0"/>
              <w:autoSpaceDE/>
              <w:autoSpaceDN/>
              <w:bidi w:val="0"/>
              <w:adjustRightInd/>
              <w:snapToGrid/>
              <w:textAlignment w:val="auto"/>
              <w:rPr>
                <w:rFonts w:hint="eastAsia"/>
                <w:color w:val="auto"/>
                <w:highlight w:val="none"/>
                <w:lang w:val="en-US" w:eastAsia="zh-CN"/>
              </w:rPr>
            </w:pPr>
            <w:r>
              <w:rPr>
                <w:rFonts w:hint="eastAsia"/>
                <w:color w:val="auto"/>
                <w:highlight w:val="none"/>
                <w:lang w:val="en-US" w:eastAsia="zh-CN"/>
              </w:rPr>
              <w:t>本项目为新建项目。根据现场调查，项目所占场地原为常平集团三铁有限公司用地，原用于铁矿石炼铁生产，该公司已于2008年停产并实施拆除工作。经现场调查，目前场地内仅剩余1栋办公楼，该办公楼将在本项目建设前全部拆除，场地其余区域已完成全部清拆工作，场地内存在部分建筑垃圾。</w:t>
            </w:r>
          </w:p>
          <w:p w14:paraId="43B08FDA">
            <w:pPr>
              <w:keepNext w:val="0"/>
              <w:keepLines w:val="0"/>
              <w:pageBreakBefore w:val="0"/>
              <w:widowControl w:val="0"/>
              <w:kinsoku/>
              <w:wordWrap/>
              <w:overflowPunct/>
              <w:topLinePunct w:val="0"/>
              <w:autoSpaceDE/>
              <w:autoSpaceDN/>
              <w:bidi w:val="0"/>
              <w:adjustRightInd/>
              <w:snapToGrid/>
              <w:textAlignment w:val="auto"/>
              <w:rPr>
                <w:rFonts w:hint="default"/>
                <w:color w:val="auto"/>
                <w:highlight w:val="none"/>
                <w:lang w:val="en-US" w:eastAsia="zh-CN"/>
              </w:rPr>
            </w:pPr>
            <w:r>
              <w:rPr>
                <w:rFonts w:hint="eastAsia"/>
                <w:color w:val="auto"/>
                <w:highlight w:val="none"/>
                <w:lang w:val="en-US" w:eastAsia="zh-CN"/>
              </w:rPr>
              <w:t>依据《山西省土壤污染防治条例》相关规定，本项目占用地块正在开展土壤污染初步调查工作，现场采样已完成，暂未取得监测数据，待调查结果满足《土壤环境质量 建设用地土壤污染风险管控标准（试行）》（GB36600-2018）中第二类用地筛选值要求后，方可启动项目开工建设工作。</w:t>
            </w:r>
          </w:p>
        </w:tc>
      </w:tr>
    </w:tbl>
    <w:p w14:paraId="26692480">
      <w:pPr>
        <w:rPr>
          <w:rFonts w:hint="eastAsia"/>
          <w:color w:val="auto"/>
          <w:highlight w:val="none"/>
          <w:lang w:eastAsia="zh-CN"/>
        </w:rPr>
      </w:pPr>
      <w:r>
        <w:rPr>
          <w:rFonts w:hint="eastAsia"/>
          <w:color w:val="auto"/>
          <w:highlight w:val="none"/>
          <w:lang w:eastAsia="zh-CN"/>
        </w:rPr>
        <w:br w:type="page"/>
      </w:r>
    </w:p>
    <w:p w14:paraId="46CB8B51">
      <w:pPr>
        <w:pStyle w:val="2"/>
        <w:bidi w:val="0"/>
        <w:rPr>
          <w:rFonts w:hint="eastAsia"/>
          <w:color w:val="auto"/>
          <w:highlight w:val="none"/>
          <w:lang w:eastAsia="zh-CN"/>
        </w:rPr>
      </w:pPr>
      <w:bookmarkStart w:id="23" w:name="_Toc5935"/>
      <w:bookmarkStart w:id="24" w:name="_Toc1149"/>
      <w:r>
        <w:rPr>
          <w:rFonts w:hint="eastAsia"/>
          <w:color w:val="auto"/>
          <w:highlight w:val="none"/>
          <w:lang w:eastAsia="zh-CN"/>
        </w:rPr>
        <w:t>区域环境质量现状、环境保护目标及评价标准</w:t>
      </w:r>
      <w:bookmarkEnd w:id="23"/>
      <w:bookmarkEnd w:id="24"/>
    </w:p>
    <w:tbl>
      <w:tblPr>
        <w:tblStyle w:val="34"/>
        <w:tblW w:w="499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60"/>
        <w:gridCol w:w="8815"/>
      </w:tblGrid>
      <w:tr w14:paraId="41E7C2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1" w:type="dxa"/>
            <w:vAlign w:val="center"/>
          </w:tcPr>
          <w:p w14:paraId="381845C0">
            <w:pPr>
              <w:pStyle w:val="3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eastAsia="zh-CN"/>
              </w:rPr>
            </w:pPr>
            <w:r>
              <w:rPr>
                <w:rFonts w:hint="eastAsia"/>
                <w:color w:val="auto"/>
                <w:highlight w:val="none"/>
                <w:lang w:eastAsia="zh-CN"/>
              </w:rPr>
              <w:t>区域环境质量现状</w:t>
            </w:r>
          </w:p>
        </w:tc>
        <w:tc>
          <w:tcPr>
            <w:tcW w:w="8815" w:type="dxa"/>
            <w:vAlign w:val="center"/>
          </w:tcPr>
          <w:p w14:paraId="070A48FC">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textAlignment w:val="auto"/>
              <w:rPr>
                <w:rFonts w:hint="default"/>
                <w:color w:val="auto"/>
                <w:highlight w:val="none"/>
                <w:lang w:val="en-US" w:eastAsia="zh-CN"/>
              </w:rPr>
            </w:pPr>
            <w:r>
              <w:rPr>
                <w:rFonts w:hint="eastAsia"/>
                <w:b/>
                <w:bCs/>
                <w:color w:val="auto"/>
                <w:highlight w:val="none"/>
                <w:lang w:val="en-US" w:eastAsia="zh-CN"/>
              </w:rPr>
              <w:t>略</w:t>
            </w:r>
          </w:p>
        </w:tc>
      </w:tr>
      <w:tr w14:paraId="19E7CE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1" w:type="dxa"/>
            <w:vAlign w:val="center"/>
          </w:tcPr>
          <w:p w14:paraId="6320D861">
            <w:pPr>
              <w:pStyle w:val="3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eastAsia="zh-CN"/>
              </w:rPr>
            </w:pPr>
            <w:r>
              <w:rPr>
                <w:rFonts w:hint="eastAsia"/>
                <w:color w:val="auto"/>
                <w:highlight w:val="none"/>
                <w:lang w:eastAsia="zh-CN"/>
              </w:rPr>
              <w:t>环境保护目标</w:t>
            </w:r>
          </w:p>
        </w:tc>
        <w:tc>
          <w:tcPr>
            <w:tcW w:w="8815" w:type="dxa"/>
            <w:vAlign w:val="center"/>
          </w:tcPr>
          <w:p w14:paraId="58A9D110">
            <w:pPr>
              <w:pStyle w:val="3"/>
              <w:keepNext w:val="0"/>
              <w:keepLines w:val="0"/>
              <w:pageBreakBefore w:val="0"/>
              <w:widowControl w:val="0"/>
              <w:kinsoku/>
              <w:wordWrap/>
              <w:overflowPunct/>
              <w:topLinePunct w:val="0"/>
              <w:autoSpaceDE/>
              <w:autoSpaceDN/>
              <w:bidi w:val="0"/>
              <w:adjustRightInd/>
              <w:snapToGrid/>
              <w:ind w:left="0" w:leftChars="0" w:firstLine="482" w:firstLineChars="200"/>
              <w:textAlignment w:val="auto"/>
              <w:rPr>
                <w:rFonts w:hint="eastAsia"/>
                <w:b/>
                <w:bCs/>
                <w:color w:val="auto"/>
                <w:highlight w:val="none"/>
                <w:lang w:val="en-US" w:eastAsia="zh-CN"/>
              </w:rPr>
            </w:pPr>
            <w:bookmarkStart w:id="25" w:name="_Toc6307"/>
            <w:bookmarkStart w:id="26" w:name="_Toc22165"/>
            <w:r>
              <w:rPr>
                <w:rFonts w:hint="eastAsia"/>
                <w:b/>
                <w:bCs/>
                <w:color w:val="auto"/>
                <w:highlight w:val="none"/>
                <w:lang w:val="en-US" w:eastAsia="zh-CN"/>
              </w:rPr>
              <w:t>大气环境</w:t>
            </w:r>
            <w:bookmarkEnd w:id="25"/>
            <w:bookmarkEnd w:id="26"/>
          </w:p>
          <w:p w14:paraId="237D40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snapToGrid w:val="0"/>
                <w:color w:val="auto"/>
                <w:kern w:val="10"/>
                <w:sz w:val="24"/>
                <w:highlight w:val="none"/>
                <w:lang w:val="en-US" w:eastAsia="zh-CN"/>
              </w:rPr>
            </w:pPr>
            <w:r>
              <w:rPr>
                <w:rFonts w:hint="default" w:ascii="Times New Roman" w:hAnsi="Times New Roman" w:eastAsia="宋体" w:cs="Times New Roman"/>
                <w:bCs/>
                <w:snapToGrid w:val="0"/>
                <w:color w:val="auto"/>
                <w:kern w:val="10"/>
                <w:sz w:val="24"/>
                <w:highlight w:val="none"/>
                <w:lang w:val="en-US" w:eastAsia="zh-CN"/>
              </w:rPr>
              <w:t>环境空气保护目标指自然保护区、风景名胜区、居住区、文化区和农村地区中人群较集中的区域。</w:t>
            </w:r>
          </w:p>
          <w:p w14:paraId="475464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snapToGrid w:val="0"/>
                <w:color w:val="auto"/>
                <w:kern w:val="10"/>
                <w:sz w:val="24"/>
                <w:highlight w:val="none"/>
                <w:lang w:val="en-US" w:eastAsia="zh-CN"/>
              </w:rPr>
            </w:pPr>
            <w:r>
              <w:rPr>
                <w:rFonts w:hint="default" w:ascii="Times New Roman" w:hAnsi="Times New Roman" w:eastAsia="宋体" w:cs="Times New Roman"/>
                <w:bCs/>
                <w:snapToGrid w:val="0"/>
                <w:color w:val="auto"/>
                <w:kern w:val="10"/>
                <w:sz w:val="24"/>
                <w:highlight w:val="none"/>
                <w:lang w:val="en-US" w:eastAsia="zh-CN"/>
              </w:rPr>
              <w:t>本项目厂界外500米范围内有居住区环境空气保护目标。</w:t>
            </w:r>
          </w:p>
          <w:p w14:paraId="2D9FB20E">
            <w:pPr>
              <w:pStyle w:val="3"/>
              <w:keepNext w:val="0"/>
              <w:keepLines w:val="0"/>
              <w:pageBreakBefore w:val="0"/>
              <w:widowControl w:val="0"/>
              <w:kinsoku/>
              <w:wordWrap/>
              <w:overflowPunct/>
              <w:topLinePunct w:val="0"/>
              <w:autoSpaceDE/>
              <w:autoSpaceDN/>
              <w:bidi w:val="0"/>
              <w:adjustRightInd/>
              <w:snapToGrid/>
              <w:ind w:left="0" w:leftChars="0" w:firstLine="482" w:firstLineChars="200"/>
              <w:textAlignment w:val="auto"/>
              <w:rPr>
                <w:rFonts w:hint="default" w:ascii="Times New Roman" w:hAnsi="Times New Roman" w:eastAsia="宋体" w:cs="宋体"/>
                <w:b/>
                <w:bCs/>
                <w:color w:val="auto"/>
                <w:highlight w:val="none"/>
                <w:lang w:val="en-US" w:eastAsia="zh-CN"/>
              </w:rPr>
            </w:pPr>
            <w:r>
              <w:rPr>
                <w:rFonts w:hint="default" w:ascii="Times New Roman" w:hAnsi="Times New Roman" w:eastAsia="宋体" w:cs="宋体"/>
                <w:b/>
                <w:bCs/>
                <w:color w:val="auto"/>
                <w:highlight w:val="none"/>
                <w:lang w:val="en-US" w:eastAsia="zh-CN"/>
              </w:rPr>
              <w:t>声环境</w:t>
            </w:r>
          </w:p>
          <w:p w14:paraId="5F0DB6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snapToGrid w:val="0"/>
                <w:color w:val="auto"/>
                <w:kern w:val="10"/>
                <w:sz w:val="24"/>
                <w:highlight w:val="none"/>
                <w:lang w:val="en-US" w:eastAsia="zh-CN"/>
              </w:rPr>
            </w:pPr>
            <w:r>
              <w:rPr>
                <w:rFonts w:hint="default" w:ascii="Times New Roman" w:hAnsi="Times New Roman" w:eastAsia="宋体" w:cs="Times New Roman"/>
                <w:bCs/>
                <w:snapToGrid w:val="0"/>
                <w:color w:val="auto"/>
                <w:kern w:val="10"/>
                <w:sz w:val="24"/>
                <w:highlight w:val="none"/>
                <w:lang w:val="en-US" w:eastAsia="zh-CN"/>
              </w:rPr>
              <w:t>厂界外50m范围内无声环境保护目标。</w:t>
            </w:r>
          </w:p>
          <w:p w14:paraId="593E5740">
            <w:pPr>
              <w:pStyle w:val="3"/>
              <w:keepNext w:val="0"/>
              <w:keepLines w:val="0"/>
              <w:pageBreakBefore w:val="0"/>
              <w:widowControl w:val="0"/>
              <w:kinsoku/>
              <w:wordWrap/>
              <w:overflowPunct/>
              <w:topLinePunct w:val="0"/>
              <w:autoSpaceDE/>
              <w:autoSpaceDN/>
              <w:bidi w:val="0"/>
              <w:adjustRightInd/>
              <w:snapToGrid/>
              <w:ind w:left="0" w:leftChars="0" w:firstLine="482" w:firstLineChars="200"/>
              <w:textAlignment w:val="auto"/>
              <w:rPr>
                <w:rFonts w:hint="default" w:ascii="Times New Roman" w:hAnsi="Times New Roman" w:eastAsia="宋体" w:cs="宋体"/>
                <w:b/>
                <w:bCs/>
                <w:color w:val="auto"/>
                <w:highlight w:val="none"/>
                <w:lang w:val="en-US" w:eastAsia="zh-CN"/>
              </w:rPr>
            </w:pPr>
            <w:r>
              <w:rPr>
                <w:rFonts w:hint="default" w:ascii="Times New Roman" w:hAnsi="Times New Roman" w:eastAsia="宋体" w:cs="宋体"/>
                <w:b/>
                <w:bCs/>
                <w:color w:val="auto"/>
                <w:highlight w:val="none"/>
                <w:lang w:val="en-US" w:eastAsia="zh-CN"/>
              </w:rPr>
              <w:t>地下水环境</w:t>
            </w:r>
          </w:p>
          <w:p w14:paraId="528F43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snapToGrid w:val="0"/>
                <w:color w:val="auto"/>
                <w:kern w:val="10"/>
                <w:sz w:val="24"/>
                <w:highlight w:val="none"/>
                <w:lang w:val="en-US" w:eastAsia="zh-CN"/>
              </w:rPr>
            </w:pPr>
            <w:r>
              <w:rPr>
                <w:rFonts w:hint="default" w:ascii="Times New Roman" w:hAnsi="Times New Roman" w:eastAsia="宋体" w:cs="Times New Roman"/>
                <w:bCs/>
                <w:snapToGrid w:val="0"/>
                <w:color w:val="auto"/>
                <w:kern w:val="10"/>
                <w:sz w:val="24"/>
                <w:highlight w:val="none"/>
              </w:rPr>
              <w:t>本项目厂界500m范围内无地下水集中式饮用水水源和热水、矿泉水、温泉等特殊地下水资</w:t>
            </w:r>
            <w:r>
              <w:rPr>
                <w:rFonts w:hint="default" w:ascii="Times New Roman" w:hAnsi="Times New Roman" w:eastAsia="宋体" w:cs="Times New Roman"/>
                <w:bCs/>
                <w:snapToGrid w:val="0"/>
                <w:color w:val="auto"/>
                <w:kern w:val="10"/>
                <w:sz w:val="24"/>
                <w:highlight w:val="none"/>
                <w:lang w:val="en-US" w:eastAsia="zh-CN"/>
              </w:rPr>
              <w:t>源。</w:t>
            </w:r>
          </w:p>
          <w:p w14:paraId="31962794">
            <w:pPr>
              <w:pStyle w:val="3"/>
              <w:keepNext w:val="0"/>
              <w:keepLines w:val="0"/>
              <w:pageBreakBefore w:val="0"/>
              <w:widowControl w:val="0"/>
              <w:kinsoku/>
              <w:wordWrap/>
              <w:overflowPunct/>
              <w:topLinePunct w:val="0"/>
              <w:autoSpaceDE/>
              <w:autoSpaceDN/>
              <w:bidi w:val="0"/>
              <w:adjustRightInd/>
              <w:snapToGrid/>
              <w:ind w:left="0" w:leftChars="0" w:firstLine="482" w:firstLineChars="200"/>
              <w:textAlignment w:val="auto"/>
              <w:rPr>
                <w:rFonts w:hint="default" w:ascii="Times New Roman" w:hAnsi="Times New Roman" w:eastAsia="宋体" w:cs="宋体"/>
                <w:b/>
                <w:bCs/>
                <w:color w:val="auto"/>
                <w:highlight w:val="none"/>
                <w:lang w:val="en-US" w:eastAsia="zh-CN"/>
              </w:rPr>
            </w:pPr>
            <w:r>
              <w:rPr>
                <w:rFonts w:hint="default" w:ascii="Times New Roman" w:hAnsi="Times New Roman" w:eastAsia="宋体" w:cs="宋体"/>
                <w:b/>
                <w:bCs/>
                <w:color w:val="auto"/>
                <w:highlight w:val="none"/>
                <w:lang w:val="en-US" w:eastAsia="zh-CN"/>
              </w:rPr>
              <w:t>生态环境</w:t>
            </w:r>
          </w:p>
          <w:p w14:paraId="04A15B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snapToGrid w:val="0"/>
                <w:color w:val="auto"/>
                <w:kern w:val="10"/>
                <w:sz w:val="24"/>
                <w:highlight w:val="none"/>
                <w:lang w:val="en-US" w:eastAsia="zh-CN"/>
              </w:rPr>
            </w:pPr>
            <w:r>
              <w:rPr>
                <w:rFonts w:hint="default" w:ascii="Times New Roman" w:hAnsi="Times New Roman" w:eastAsia="宋体" w:cs="Times New Roman"/>
                <w:bCs/>
                <w:snapToGrid w:val="0"/>
                <w:color w:val="auto"/>
                <w:kern w:val="10"/>
                <w:sz w:val="24"/>
                <w:highlight w:val="none"/>
                <w:lang w:val="en-US" w:eastAsia="zh-CN"/>
              </w:rPr>
              <w:t>项目用地范围内不涉及生态环境保护目标。</w:t>
            </w:r>
          </w:p>
          <w:p w14:paraId="0F48B4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snapToGrid w:val="0"/>
                <w:color w:val="auto"/>
                <w:kern w:val="10"/>
                <w:sz w:val="24"/>
                <w:highlight w:val="none"/>
                <w:lang w:val="en-US" w:eastAsia="zh-CN"/>
              </w:rPr>
            </w:pPr>
            <w:r>
              <w:rPr>
                <w:rFonts w:hint="default" w:ascii="Times New Roman" w:hAnsi="Times New Roman" w:eastAsia="宋体" w:cs="Times New Roman"/>
                <w:bCs/>
                <w:snapToGrid w:val="0"/>
                <w:color w:val="auto"/>
                <w:kern w:val="10"/>
                <w:sz w:val="24"/>
                <w:highlight w:val="none"/>
                <w:lang w:val="en-US" w:eastAsia="zh-CN"/>
              </w:rPr>
              <w:t>主要环境保护目标内容见</w:t>
            </w:r>
            <w:r>
              <w:rPr>
                <w:rFonts w:hint="default" w:ascii="Times New Roman" w:hAnsi="Times New Roman" w:eastAsia="宋体" w:cs="Times New Roman"/>
                <w:b w:val="0"/>
                <w:bCs/>
                <w:snapToGrid w:val="0"/>
                <w:color w:val="auto"/>
                <w:kern w:val="10"/>
                <w:sz w:val="24"/>
                <w:szCs w:val="24"/>
                <w:highlight w:val="none"/>
                <w:lang w:val="en-US" w:eastAsia="zh-CN"/>
              </w:rPr>
              <w:fldChar w:fldCharType="begin"/>
            </w:r>
            <w:r>
              <w:rPr>
                <w:rFonts w:hint="default" w:ascii="Times New Roman" w:hAnsi="Times New Roman" w:eastAsia="宋体" w:cs="Times New Roman"/>
                <w:b w:val="0"/>
                <w:bCs/>
                <w:snapToGrid w:val="0"/>
                <w:color w:val="auto"/>
                <w:kern w:val="10"/>
                <w:sz w:val="24"/>
                <w:szCs w:val="24"/>
                <w:highlight w:val="none"/>
                <w:lang w:val="en-US" w:eastAsia="zh-CN"/>
              </w:rPr>
              <w:instrText xml:space="preserve"> REF _Ref23438 \h </w:instrText>
            </w:r>
            <w:r>
              <w:rPr>
                <w:rFonts w:hint="default" w:ascii="Times New Roman" w:hAnsi="Times New Roman" w:eastAsia="宋体" w:cs="Times New Roman"/>
                <w:b w:val="0"/>
                <w:bCs/>
                <w:snapToGrid w:val="0"/>
                <w:color w:val="auto"/>
                <w:kern w:val="10"/>
                <w:sz w:val="24"/>
                <w:szCs w:val="24"/>
                <w:highlight w:val="none"/>
                <w:lang w:val="en-US" w:eastAsia="zh-CN"/>
              </w:rPr>
              <w:fldChar w:fldCharType="separate"/>
            </w:r>
            <w:r>
              <w:rPr>
                <w:rFonts w:hint="default" w:ascii="Times New Roman" w:hAnsi="Times New Roman" w:eastAsia="宋体" w:cs="Times New Roman"/>
                <w:b w:val="0"/>
                <w:bCs/>
                <w:color w:val="auto"/>
                <w:sz w:val="24"/>
                <w:szCs w:val="24"/>
                <w:highlight w:val="none"/>
                <w:lang w:eastAsia="zh-CN"/>
              </w:rPr>
              <w:t>表</w:t>
            </w:r>
            <w:r>
              <w:rPr>
                <w:rFonts w:hint="default" w:ascii="Times New Roman" w:hAnsi="Times New Roman" w:eastAsia="宋体" w:cs="Times New Roman"/>
                <w:b w:val="0"/>
                <w:bCs/>
                <w:color w:val="auto"/>
                <w:sz w:val="24"/>
                <w:szCs w:val="24"/>
                <w:highlight w:val="none"/>
              </w:rPr>
              <w:fldChar w:fldCharType="begin"/>
            </w:r>
            <w:r>
              <w:rPr>
                <w:rFonts w:hint="default" w:ascii="Times New Roman" w:hAnsi="Times New Roman" w:eastAsia="宋体" w:cs="Times New Roman"/>
                <w:b w:val="0"/>
                <w:bCs/>
                <w:color w:val="auto"/>
                <w:sz w:val="24"/>
                <w:szCs w:val="24"/>
                <w:highlight w:val="none"/>
              </w:rPr>
              <w:instrText xml:space="preserve"> STYLEREF 1 \s </w:instrText>
            </w:r>
            <w:r>
              <w:rPr>
                <w:rFonts w:hint="default" w:ascii="Times New Roman" w:hAnsi="Times New Roman" w:eastAsia="宋体" w:cs="Times New Roman"/>
                <w:b w:val="0"/>
                <w:bCs/>
                <w:color w:val="auto"/>
                <w:sz w:val="24"/>
                <w:szCs w:val="24"/>
                <w:highlight w:val="none"/>
              </w:rPr>
              <w:fldChar w:fldCharType="separate"/>
            </w:r>
            <w:r>
              <w:rPr>
                <w:rFonts w:hint="default" w:ascii="Times New Roman" w:hAnsi="Times New Roman" w:eastAsia="宋体" w:cs="Times New Roman"/>
                <w:b w:val="0"/>
                <w:bCs/>
                <w:color w:val="auto"/>
                <w:sz w:val="24"/>
                <w:szCs w:val="24"/>
                <w:highlight w:val="none"/>
              </w:rPr>
              <w:t>3</w:t>
            </w:r>
            <w:r>
              <w:rPr>
                <w:rFonts w:hint="default" w:ascii="Times New Roman" w:hAnsi="Times New Roman" w:eastAsia="宋体" w:cs="Times New Roman"/>
                <w:b w:val="0"/>
                <w:bCs/>
                <w:color w:val="auto"/>
                <w:sz w:val="24"/>
                <w:szCs w:val="24"/>
                <w:highlight w:val="none"/>
              </w:rPr>
              <w:fldChar w:fldCharType="end"/>
            </w:r>
            <w:r>
              <w:rPr>
                <w:rFonts w:hint="default" w:ascii="Times New Roman" w:hAnsi="Times New Roman" w:eastAsia="宋体" w:cs="Times New Roman"/>
                <w:b w:val="0"/>
                <w:bCs/>
                <w:color w:val="auto"/>
                <w:sz w:val="24"/>
                <w:szCs w:val="24"/>
                <w:highlight w:val="none"/>
                <w:lang w:eastAsia="zh-CN"/>
              </w:rPr>
              <w:t>-</w:t>
            </w:r>
            <w:r>
              <w:rPr>
                <w:rFonts w:hint="default" w:ascii="Times New Roman" w:hAnsi="Times New Roman" w:eastAsia="宋体" w:cs="Times New Roman"/>
                <w:b w:val="0"/>
                <w:bCs/>
                <w:color w:val="auto"/>
                <w:sz w:val="24"/>
                <w:szCs w:val="24"/>
                <w:highlight w:val="none"/>
              </w:rPr>
              <w:t>3</w:t>
            </w:r>
            <w:r>
              <w:rPr>
                <w:rFonts w:hint="default" w:ascii="Times New Roman" w:hAnsi="Times New Roman" w:eastAsia="宋体" w:cs="Times New Roman"/>
                <w:b w:val="0"/>
                <w:bCs/>
                <w:snapToGrid w:val="0"/>
                <w:color w:val="auto"/>
                <w:kern w:val="10"/>
                <w:sz w:val="24"/>
                <w:szCs w:val="24"/>
                <w:highlight w:val="none"/>
                <w:lang w:val="en-US" w:eastAsia="zh-CN"/>
              </w:rPr>
              <w:fldChar w:fldCharType="end"/>
            </w:r>
            <w:r>
              <w:rPr>
                <w:rFonts w:hint="default" w:ascii="Times New Roman" w:hAnsi="Times New Roman" w:eastAsia="宋体" w:cs="Times New Roman"/>
                <w:bCs/>
                <w:snapToGrid w:val="0"/>
                <w:color w:val="auto"/>
                <w:kern w:val="10"/>
                <w:sz w:val="24"/>
                <w:highlight w:val="none"/>
                <w:lang w:val="en-US" w:eastAsia="zh-CN"/>
              </w:rPr>
              <w:t>，环境保护目标图见</w:t>
            </w:r>
            <w:r>
              <w:rPr>
                <w:rFonts w:hint="default" w:ascii="Times New Roman" w:hAnsi="Times New Roman" w:eastAsia="宋体" w:cs="Times New Roman"/>
                <w:bCs/>
                <w:snapToGrid w:val="0"/>
                <w:color w:val="auto"/>
                <w:kern w:val="10"/>
                <w:sz w:val="24"/>
                <w:highlight w:val="none"/>
                <w:lang w:val="en-US" w:eastAsia="zh-CN"/>
              </w:rPr>
              <w:fldChar w:fldCharType="begin"/>
            </w:r>
            <w:r>
              <w:rPr>
                <w:rFonts w:hint="default" w:ascii="Times New Roman" w:hAnsi="Times New Roman" w:eastAsia="宋体" w:cs="Times New Roman"/>
                <w:bCs/>
                <w:snapToGrid w:val="0"/>
                <w:color w:val="auto"/>
                <w:kern w:val="10"/>
                <w:sz w:val="24"/>
                <w:highlight w:val="none"/>
                <w:lang w:val="en-US" w:eastAsia="zh-CN"/>
              </w:rPr>
              <w:instrText xml:space="preserve"> REF _Ref26764 \n \h </w:instrText>
            </w:r>
            <w:r>
              <w:rPr>
                <w:rFonts w:hint="default" w:ascii="Times New Roman" w:hAnsi="Times New Roman" w:eastAsia="宋体" w:cs="Times New Roman"/>
                <w:bCs/>
                <w:snapToGrid w:val="0"/>
                <w:color w:val="auto"/>
                <w:kern w:val="10"/>
                <w:sz w:val="24"/>
                <w:highlight w:val="none"/>
                <w:lang w:val="en-US" w:eastAsia="zh-CN"/>
              </w:rPr>
              <w:fldChar w:fldCharType="separate"/>
            </w:r>
            <w:r>
              <w:rPr>
                <w:rFonts w:hint="default" w:ascii="Times New Roman" w:hAnsi="Times New Roman" w:eastAsia="宋体" w:cs="Times New Roman"/>
                <w:bCs/>
                <w:snapToGrid w:val="0"/>
                <w:color w:val="auto"/>
                <w:kern w:val="10"/>
                <w:sz w:val="24"/>
                <w:highlight w:val="none"/>
                <w:lang w:val="en-US" w:eastAsia="zh-CN"/>
              </w:rPr>
              <w:t>附图15</w:t>
            </w:r>
            <w:r>
              <w:rPr>
                <w:rFonts w:hint="default" w:ascii="Times New Roman" w:hAnsi="Times New Roman" w:eastAsia="宋体" w:cs="Times New Roman"/>
                <w:bCs/>
                <w:snapToGrid w:val="0"/>
                <w:color w:val="auto"/>
                <w:kern w:val="10"/>
                <w:sz w:val="24"/>
                <w:highlight w:val="none"/>
                <w:lang w:val="en-US" w:eastAsia="zh-CN"/>
              </w:rPr>
              <w:fldChar w:fldCharType="end"/>
            </w:r>
            <w:r>
              <w:rPr>
                <w:rFonts w:hint="default" w:ascii="Times New Roman" w:hAnsi="Times New Roman" w:eastAsia="宋体" w:cs="Times New Roman"/>
                <w:bCs/>
                <w:snapToGrid w:val="0"/>
                <w:color w:val="auto"/>
                <w:kern w:val="10"/>
                <w:sz w:val="24"/>
                <w:highlight w:val="none"/>
                <w:lang w:val="en-US" w:eastAsia="zh-CN"/>
              </w:rPr>
              <w:t>。</w:t>
            </w:r>
          </w:p>
          <w:p w14:paraId="5299ABB5">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bookmarkStart w:id="27" w:name="_Ref23438"/>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lang w:eastAsia="zh-CN"/>
              </w:rPr>
              <w:fldChar w:fldCharType="begin"/>
            </w:r>
            <w:r>
              <w:rPr>
                <w:rFonts w:hint="default" w:ascii="Times New Roman" w:hAnsi="Times New Roman" w:eastAsia="宋体" w:cs="Times New Roman"/>
                <w:b/>
                <w:bCs/>
                <w:color w:val="auto"/>
                <w:sz w:val="21"/>
                <w:szCs w:val="21"/>
                <w:highlight w:val="none"/>
                <w:lang w:eastAsia="zh-CN"/>
              </w:rPr>
              <w:instrText xml:space="preserve"> STYLEREF 1 \s </w:instrText>
            </w:r>
            <w:r>
              <w:rPr>
                <w:rFonts w:hint="default" w:ascii="Times New Roman" w:hAnsi="Times New Roman" w:eastAsia="宋体" w:cs="Times New Roman"/>
                <w:b/>
                <w:bCs/>
                <w:color w:val="auto"/>
                <w:sz w:val="21"/>
                <w:szCs w:val="21"/>
                <w:highlight w:val="none"/>
                <w:lang w:eastAsia="zh-CN"/>
              </w:rPr>
              <w:fldChar w:fldCharType="separate"/>
            </w:r>
            <w:r>
              <w:rPr>
                <w:rFonts w:hint="default" w:ascii="Times New Roman" w:hAnsi="Times New Roman" w:eastAsia="宋体" w:cs="Times New Roman"/>
                <w:b/>
                <w:bCs/>
                <w:color w:val="auto"/>
                <w:sz w:val="21"/>
                <w:szCs w:val="21"/>
                <w:highlight w:val="none"/>
                <w:lang w:eastAsia="zh-CN"/>
              </w:rPr>
              <w:t>3</w:t>
            </w:r>
            <w:r>
              <w:rPr>
                <w:rFonts w:hint="default" w:ascii="Times New Roman" w:hAnsi="Times New Roman" w:eastAsia="宋体" w:cs="Times New Roman"/>
                <w:b/>
                <w:bCs/>
                <w:color w:val="auto"/>
                <w:sz w:val="21"/>
                <w:szCs w:val="21"/>
                <w:highlight w:val="none"/>
                <w:lang w:eastAsia="zh-CN"/>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lang w:eastAsia="zh-CN"/>
              </w:rPr>
              <w:fldChar w:fldCharType="begin"/>
            </w:r>
            <w:r>
              <w:rPr>
                <w:rFonts w:hint="default" w:ascii="Times New Roman" w:hAnsi="Times New Roman" w:eastAsia="宋体" w:cs="Times New Roman"/>
                <w:b/>
                <w:bCs/>
                <w:color w:val="auto"/>
                <w:sz w:val="21"/>
                <w:szCs w:val="21"/>
                <w:highlight w:val="none"/>
                <w:lang w:eastAsia="zh-CN"/>
              </w:rPr>
              <w:instrText xml:space="preserve"> SEQ 表 \* ARABIC \s 1 </w:instrText>
            </w:r>
            <w:r>
              <w:rPr>
                <w:rFonts w:hint="default" w:ascii="Times New Roman" w:hAnsi="Times New Roman" w:eastAsia="宋体" w:cs="Times New Roman"/>
                <w:b/>
                <w:bCs/>
                <w:color w:val="auto"/>
                <w:sz w:val="21"/>
                <w:szCs w:val="21"/>
                <w:highlight w:val="none"/>
                <w:lang w:eastAsia="zh-CN"/>
              </w:rPr>
              <w:fldChar w:fldCharType="separate"/>
            </w:r>
            <w:r>
              <w:rPr>
                <w:rFonts w:hint="default" w:ascii="Times New Roman" w:hAnsi="Times New Roman" w:eastAsia="宋体" w:cs="Times New Roman"/>
                <w:b/>
                <w:bCs/>
                <w:color w:val="auto"/>
                <w:sz w:val="21"/>
                <w:szCs w:val="21"/>
                <w:highlight w:val="none"/>
                <w:lang w:eastAsia="zh-CN"/>
              </w:rPr>
              <w:t>3</w:t>
            </w:r>
            <w:r>
              <w:rPr>
                <w:rFonts w:hint="default" w:ascii="Times New Roman" w:hAnsi="Times New Roman" w:eastAsia="宋体" w:cs="Times New Roman"/>
                <w:b/>
                <w:bCs/>
                <w:color w:val="auto"/>
                <w:sz w:val="21"/>
                <w:szCs w:val="21"/>
                <w:highlight w:val="none"/>
                <w:lang w:eastAsia="zh-CN"/>
              </w:rPr>
              <w:fldChar w:fldCharType="end"/>
            </w:r>
            <w:bookmarkEnd w:id="27"/>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lang w:eastAsia="zh-CN"/>
              </w:rPr>
              <w:t>主要环境保护目标一览表</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0"/>
              <w:gridCol w:w="1570"/>
              <w:gridCol w:w="1415"/>
              <w:gridCol w:w="890"/>
              <w:gridCol w:w="953"/>
              <w:gridCol w:w="871"/>
              <w:gridCol w:w="689"/>
              <w:gridCol w:w="896"/>
            </w:tblGrid>
            <w:tr w14:paraId="421F7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pct"/>
                  <w:vMerge w:val="restart"/>
                  <w:noWrap w:val="0"/>
                  <w:vAlign w:val="center"/>
                </w:tcPr>
                <w:p w14:paraId="52F59E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lang w:val="en-US" w:eastAsia="zh-CN"/>
                    </w:rPr>
                  </w:pPr>
                  <w:r>
                    <w:rPr>
                      <w:rFonts w:hint="default" w:ascii="Times New Roman" w:hAnsi="Times New Roman" w:eastAsia="宋体" w:cs="Times New Roman"/>
                      <w:bCs/>
                      <w:snapToGrid w:val="0"/>
                      <w:color w:val="auto"/>
                      <w:kern w:val="10"/>
                      <w:sz w:val="21"/>
                      <w:szCs w:val="21"/>
                      <w:highlight w:val="none"/>
                      <w:lang w:val="en-US" w:eastAsia="zh-CN"/>
                    </w:rPr>
                    <w:t>保护目标名称</w:t>
                  </w:r>
                </w:p>
              </w:tc>
              <w:tc>
                <w:tcPr>
                  <w:tcW w:w="1738" w:type="pct"/>
                  <w:gridSpan w:val="2"/>
                  <w:noWrap w:val="0"/>
                  <w:vAlign w:val="center"/>
                </w:tcPr>
                <w:p w14:paraId="15947C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lang w:val="en-US" w:eastAsia="zh-CN"/>
                    </w:rPr>
                  </w:pPr>
                  <w:r>
                    <w:rPr>
                      <w:rFonts w:hint="default" w:ascii="Times New Roman" w:hAnsi="Times New Roman" w:eastAsia="宋体" w:cs="Times New Roman"/>
                      <w:bCs/>
                      <w:snapToGrid w:val="0"/>
                      <w:color w:val="auto"/>
                      <w:kern w:val="10"/>
                      <w:sz w:val="21"/>
                      <w:szCs w:val="21"/>
                      <w:highlight w:val="none"/>
                      <w:lang w:val="en-US" w:eastAsia="zh-CN"/>
                    </w:rPr>
                    <w:t>坐标</w:t>
                  </w:r>
                </w:p>
              </w:tc>
              <w:tc>
                <w:tcPr>
                  <w:tcW w:w="518" w:type="pct"/>
                  <w:vMerge w:val="restart"/>
                  <w:noWrap w:val="0"/>
                  <w:vAlign w:val="center"/>
                </w:tcPr>
                <w:p w14:paraId="79C4E7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lang w:val="en-US" w:eastAsia="zh-CN"/>
                    </w:rPr>
                  </w:pPr>
                  <w:r>
                    <w:rPr>
                      <w:rFonts w:hint="default" w:ascii="Times New Roman" w:hAnsi="Times New Roman" w:eastAsia="宋体" w:cs="Times New Roman"/>
                      <w:bCs/>
                      <w:snapToGrid w:val="0"/>
                      <w:color w:val="auto"/>
                      <w:kern w:val="10"/>
                      <w:sz w:val="21"/>
                      <w:szCs w:val="21"/>
                      <w:highlight w:val="none"/>
                      <w:lang w:val="en-US" w:eastAsia="zh-CN"/>
                    </w:rPr>
                    <w:t>保护对象</w:t>
                  </w:r>
                </w:p>
              </w:tc>
              <w:tc>
                <w:tcPr>
                  <w:tcW w:w="555" w:type="pct"/>
                  <w:vMerge w:val="restart"/>
                  <w:noWrap w:val="0"/>
                  <w:vAlign w:val="center"/>
                </w:tcPr>
                <w:p w14:paraId="60566E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lang w:val="en-US" w:eastAsia="zh-CN"/>
                    </w:rPr>
                  </w:pPr>
                  <w:r>
                    <w:rPr>
                      <w:rFonts w:hint="default" w:ascii="Times New Roman" w:hAnsi="Times New Roman" w:eastAsia="宋体" w:cs="Times New Roman"/>
                      <w:bCs/>
                      <w:snapToGrid w:val="0"/>
                      <w:color w:val="auto"/>
                      <w:kern w:val="10"/>
                      <w:sz w:val="21"/>
                      <w:szCs w:val="21"/>
                      <w:highlight w:val="none"/>
                      <w:lang w:val="en-US" w:eastAsia="zh-CN"/>
                    </w:rPr>
                    <w:t>保护内容</w:t>
                  </w:r>
                </w:p>
              </w:tc>
              <w:tc>
                <w:tcPr>
                  <w:tcW w:w="507" w:type="pct"/>
                  <w:vMerge w:val="restart"/>
                  <w:noWrap w:val="0"/>
                  <w:vAlign w:val="center"/>
                </w:tcPr>
                <w:p w14:paraId="030667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lang w:val="en-US" w:eastAsia="zh-CN"/>
                    </w:rPr>
                  </w:pPr>
                  <w:r>
                    <w:rPr>
                      <w:rFonts w:hint="default" w:ascii="Times New Roman" w:hAnsi="Times New Roman" w:eastAsia="宋体" w:cs="Times New Roman"/>
                      <w:bCs/>
                      <w:snapToGrid w:val="0"/>
                      <w:color w:val="auto"/>
                      <w:kern w:val="10"/>
                      <w:sz w:val="21"/>
                      <w:szCs w:val="21"/>
                      <w:highlight w:val="none"/>
                      <w:lang w:val="en-US" w:eastAsia="zh-CN"/>
                    </w:rPr>
                    <w:t>环境</w:t>
                  </w:r>
                </w:p>
                <w:p w14:paraId="75B113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lang w:val="en-US" w:eastAsia="zh-CN"/>
                    </w:rPr>
                  </w:pPr>
                  <w:r>
                    <w:rPr>
                      <w:rFonts w:hint="default" w:ascii="Times New Roman" w:hAnsi="Times New Roman" w:eastAsia="宋体" w:cs="Times New Roman"/>
                      <w:bCs/>
                      <w:snapToGrid w:val="0"/>
                      <w:color w:val="auto"/>
                      <w:kern w:val="10"/>
                      <w:sz w:val="21"/>
                      <w:szCs w:val="21"/>
                      <w:highlight w:val="none"/>
                      <w:lang w:val="en-US" w:eastAsia="zh-CN"/>
                    </w:rPr>
                    <w:t>功能区</w:t>
                  </w:r>
                </w:p>
              </w:tc>
              <w:tc>
                <w:tcPr>
                  <w:tcW w:w="401" w:type="pct"/>
                  <w:vMerge w:val="restart"/>
                  <w:noWrap w:val="0"/>
                  <w:vAlign w:val="center"/>
                </w:tcPr>
                <w:p w14:paraId="307758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lang w:val="en-US" w:eastAsia="zh-CN"/>
                    </w:rPr>
                  </w:pPr>
                  <w:r>
                    <w:rPr>
                      <w:rFonts w:hint="default" w:ascii="Times New Roman" w:hAnsi="Times New Roman" w:eastAsia="宋体" w:cs="Times New Roman"/>
                      <w:bCs/>
                      <w:snapToGrid w:val="0"/>
                      <w:color w:val="auto"/>
                      <w:kern w:val="10"/>
                      <w:sz w:val="21"/>
                      <w:szCs w:val="21"/>
                      <w:highlight w:val="none"/>
                      <w:lang w:val="en-US" w:eastAsia="zh-CN"/>
                    </w:rPr>
                    <w:t>相对方位</w:t>
                  </w:r>
                </w:p>
              </w:tc>
              <w:tc>
                <w:tcPr>
                  <w:tcW w:w="521" w:type="pct"/>
                  <w:vMerge w:val="restart"/>
                  <w:noWrap w:val="0"/>
                  <w:vAlign w:val="center"/>
                </w:tcPr>
                <w:p w14:paraId="08A68E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lang w:val="en-US" w:eastAsia="zh-CN"/>
                    </w:rPr>
                  </w:pPr>
                  <w:r>
                    <w:rPr>
                      <w:rFonts w:hint="default" w:ascii="Times New Roman" w:hAnsi="Times New Roman" w:eastAsia="宋体" w:cs="Times New Roman"/>
                      <w:bCs/>
                      <w:snapToGrid w:val="0"/>
                      <w:color w:val="auto"/>
                      <w:kern w:val="10"/>
                      <w:sz w:val="21"/>
                      <w:szCs w:val="21"/>
                      <w:highlight w:val="none"/>
                      <w:lang w:val="en-US" w:eastAsia="zh-CN"/>
                    </w:rPr>
                    <w:t>距厂界距离</w:t>
                  </w:r>
                </w:p>
              </w:tc>
            </w:tr>
            <w:tr w14:paraId="10146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pct"/>
                  <w:vMerge w:val="continue"/>
                  <w:noWrap w:val="0"/>
                  <w:vAlign w:val="center"/>
                </w:tcPr>
                <w:p w14:paraId="457FBF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lang w:val="en-US" w:eastAsia="zh-CN"/>
                    </w:rPr>
                  </w:pPr>
                </w:p>
              </w:tc>
              <w:tc>
                <w:tcPr>
                  <w:tcW w:w="914" w:type="pct"/>
                  <w:noWrap w:val="0"/>
                  <w:vAlign w:val="center"/>
                </w:tcPr>
                <w:p w14:paraId="67AF7F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lang w:val="en-US" w:eastAsia="zh-CN"/>
                    </w:rPr>
                  </w:pPr>
                  <w:r>
                    <w:rPr>
                      <w:rFonts w:hint="default" w:ascii="Times New Roman" w:hAnsi="Times New Roman" w:eastAsia="宋体" w:cs="Times New Roman"/>
                      <w:bCs/>
                      <w:snapToGrid w:val="0"/>
                      <w:color w:val="auto"/>
                      <w:kern w:val="10"/>
                      <w:sz w:val="21"/>
                      <w:szCs w:val="21"/>
                      <w:highlight w:val="none"/>
                      <w:lang w:val="en-US" w:eastAsia="zh-CN"/>
                    </w:rPr>
                    <w:t>经度</w:t>
                  </w:r>
                </w:p>
              </w:tc>
              <w:tc>
                <w:tcPr>
                  <w:tcW w:w="823" w:type="pct"/>
                  <w:noWrap w:val="0"/>
                  <w:vAlign w:val="center"/>
                </w:tcPr>
                <w:p w14:paraId="03F24E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lang w:val="en-US" w:eastAsia="zh-CN"/>
                    </w:rPr>
                  </w:pPr>
                  <w:r>
                    <w:rPr>
                      <w:rFonts w:hint="default" w:ascii="Times New Roman" w:hAnsi="Times New Roman" w:eastAsia="宋体" w:cs="Times New Roman"/>
                      <w:bCs/>
                      <w:snapToGrid w:val="0"/>
                      <w:color w:val="auto"/>
                      <w:kern w:val="10"/>
                      <w:sz w:val="21"/>
                      <w:szCs w:val="21"/>
                      <w:highlight w:val="none"/>
                      <w:lang w:val="en-US" w:eastAsia="zh-CN"/>
                    </w:rPr>
                    <w:t>纬度</w:t>
                  </w:r>
                </w:p>
              </w:tc>
              <w:tc>
                <w:tcPr>
                  <w:tcW w:w="518" w:type="pct"/>
                  <w:vMerge w:val="continue"/>
                  <w:noWrap w:val="0"/>
                  <w:vAlign w:val="center"/>
                </w:tcPr>
                <w:p w14:paraId="53FB3B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lang w:val="en-US" w:eastAsia="zh-CN"/>
                    </w:rPr>
                  </w:pPr>
                </w:p>
              </w:tc>
              <w:tc>
                <w:tcPr>
                  <w:tcW w:w="555" w:type="pct"/>
                  <w:vMerge w:val="continue"/>
                  <w:noWrap w:val="0"/>
                  <w:vAlign w:val="center"/>
                </w:tcPr>
                <w:p w14:paraId="300FCE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rPr>
                  </w:pPr>
                </w:p>
              </w:tc>
              <w:tc>
                <w:tcPr>
                  <w:tcW w:w="507" w:type="pct"/>
                  <w:vMerge w:val="continue"/>
                  <w:noWrap w:val="0"/>
                  <w:vAlign w:val="center"/>
                </w:tcPr>
                <w:p w14:paraId="2EE61C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rPr>
                  </w:pPr>
                </w:p>
              </w:tc>
              <w:tc>
                <w:tcPr>
                  <w:tcW w:w="401" w:type="pct"/>
                  <w:vMerge w:val="continue"/>
                  <w:noWrap w:val="0"/>
                  <w:vAlign w:val="center"/>
                </w:tcPr>
                <w:p w14:paraId="653D44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rPr>
                  </w:pPr>
                </w:p>
              </w:tc>
              <w:tc>
                <w:tcPr>
                  <w:tcW w:w="521" w:type="pct"/>
                  <w:vMerge w:val="continue"/>
                  <w:noWrap w:val="0"/>
                  <w:vAlign w:val="center"/>
                </w:tcPr>
                <w:p w14:paraId="596FAC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napToGrid w:val="0"/>
                      <w:color w:val="auto"/>
                      <w:kern w:val="10"/>
                      <w:sz w:val="21"/>
                      <w:szCs w:val="21"/>
                      <w:highlight w:val="none"/>
                    </w:rPr>
                  </w:pPr>
                </w:p>
              </w:tc>
            </w:tr>
            <w:tr w14:paraId="17C0A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pct"/>
                  <w:noWrap w:val="0"/>
                  <w:vAlign w:val="center"/>
                </w:tcPr>
                <w:p w14:paraId="5C246F44">
                  <w:pPr>
                    <w:pStyle w:val="52"/>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bCs/>
                      <w:snapToGrid w:val="0"/>
                      <w:color w:val="auto"/>
                      <w:kern w:val="10"/>
                      <w:sz w:val="21"/>
                      <w:szCs w:val="21"/>
                      <w:highlight w:val="none"/>
                      <w:lang w:val="en-US" w:eastAsia="zh-CN"/>
                    </w:rPr>
                  </w:pPr>
                  <w:r>
                    <w:rPr>
                      <w:rFonts w:hint="eastAsia" w:ascii="Times New Roman" w:hAnsi="Times New Roman" w:cs="Times New Roman"/>
                      <w:color w:val="auto"/>
                      <w:spacing w:val="1"/>
                      <w:sz w:val="21"/>
                      <w:szCs w:val="21"/>
                      <w:highlight w:val="none"/>
                      <w:lang w:val="en-US" w:eastAsia="zh-CN"/>
                    </w:rPr>
                    <w:t>常平村</w:t>
                  </w:r>
                </w:p>
              </w:tc>
              <w:tc>
                <w:tcPr>
                  <w:tcW w:w="914" w:type="pct"/>
                  <w:noWrap w:val="0"/>
                  <w:vAlign w:val="center"/>
                </w:tcPr>
                <w:p w14:paraId="6519FE46">
                  <w:pPr>
                    <w:pStyle w:val="43"/>
                    <w:keepNext w:val="0"/>
                    <w:keepLines w:val="0"/>
                    <w:pageBreakBefore w:val="0"/>
                    <w:widowControl/>
                    <w:kinsoku/>
                    <w:wordWrap/>
                    <w:overflowPunct/>
                    <w:topLinePunct w:val="0"/>
                    <w:autoSpaceDE/>
                    <w:autoSpaceDN/>
                    <w:bidi w:val="0"/>
                    <w:adjustRightInd w:val="0"/>
                    <w:snapToGrid w:val="0"/>
                    <w:ind w:firstLine="0" w:firstLineChars="0"/>
                    <w:textAlignment w:val="auto"/>
                    <w:rPr>
                      <w:rFonts w:hint="default" w:ascii="Times New Roman" w:hAnsi="Times New Roman" w:eastAsia="宋体" w:cs="Times New Roman"/>
                      <w:color w:val="auto"/>
                      <w:kern w:val="10"/>
                      <w:sz w:val="21"/>
                      <w:szCs w:val="21"/>
                      <w:highlight w:val="none"/>
                      <w:lang w:val="en-US" w:eastAsia="zh-CN"/>
                    </w:rPr>
                  </w:pPr>
                  <w:r>
                    <w:rPr>
                      <w:rFonts w:hint="default" w:ascii="Times New Roman" w:hAnsi="Times New Roman" w:cs="Times New Roman"/>
                      <w:color w:val="auto"/>
                      <w:sz w:val="21"/>
                      <w:szCs w:val="21"/>
                      <w:highlight w:val="none"/>
                      <w:lang w:val="en-US" w:eastAsia="zh-CN"/>
                    </w:rPr>
                    <w:t>113°14′20.022″</w:t>
                  </w:r>
                </w:p>
              </w:tc>
              <w:tc>
                <w:tcPr>
                  <w:tcW w:w="823" w:type="pct"/>
                  <w:noWrap w:val="0"/>
                  <w:vAlign w:val="center"/>
                </w:tcPr>
                <w:p w14:paraId="6C235DEB">
                  <w:pPr>
                    <w:pStyle w:val="43"/>
                    <w:keepNext w:val="0"/>
                    <w:keepLines w:val="0"/>
                    <w:pageBreakBefore w:val="0"/>
                    <w:widowControl/>
                    <w:kinsoku/>
                    <w:wordWrap/>
                    <w:overflowPunct/>
                    <w:topLinePunct w:val="0"/>
                    <w:autoSpaceDE/>
                    <w:autoSpaceDN/>
                    <w:bidi w:val="0"/>
                    <w:adjustRightInd w:val="0"/>
                    <w:snapToGrid w:val="0"/>
                    <w:ind w:firstLine="0" w:firstLineChars="0"/>
                    <w:textAlignment w:val="auto"/>
                    <w:rPr>
                      <w:rFonts w:hint="default" w:ascii="Times New Roman" w:hAnsi="Times New Roman" w:eastAsia="宋体" w:cs="Times New Roman"/>
                      <w:color w:val="auto"/>
                      <w:kern w:val="10"/>
                      <w:sz w:val="21"/>
                      <w:szCs w:val="21"/>
                      <w:highlight w:val="none"/>
                      <w:lang w:val="en-US" w:eastAsia="zh-CN"/>
                    </w:rPr>
                  </w:pPr>
                  <w:r>
                    <w:rPr>
                      <w:rFonts w:hint="default" w:ascii="Times New Roman" w:hAnsi="Times New Roman" w:cs="Times New Roman"/>
                      <w:color w:val="auto"/>
                      <w:sz w:val="21"/>
                      <w:szCs w:val="21"/>
                      <w:highlight w:val="none"/>
                      <w:lang w:eastAsia="zh-CN"/>
                    </w:rPr>
                    <w:t>36°7′49.460″</w:t>
                  </w:r>
                </w:p>
              </w:tc>
              <w:tc>
                <w:tcPr>
                  <w:tcW w:w="518" w:type="pct"/>
                  <w:noWrap w:val="0"/>
                  <w:vAlign w:val="center"/>
                </w:tcPr>
                <w:p w14:paraId="26B91DE5">
                  <w:pPr>
                    <w:pStyle w:val="43"/>
                    <w:keepNext w:val="0"/>
                    <w:keepLines w:val="0"/>
                    <w:pageBreakBefore w:val="0"/>
                    <w:widowControl/>
                    <w:kinsoku/>
                    <w:wordWrap/>
                    <w:overflowPunct/>
                    <w:topLinePunct w:val="0"/>
                    <w:autoSpaceDE/>
                    <w:autoSpaceDN/>
                    <w:bidi w:val="0"/>
                    <w:adjustRightInd w:val="0"/>
                    <w:snapToGrid w:val="0"/>
                    <w:ind w:firstLine="0" w:firstLineChars="0"/>
                    <w:textAlignment w:val="auto"/>
                    <w:rPr>
                      <w:rFonts w:hint="default" w:ascii="Times New Roman" w:hAnsi="Times New Roman" w:eastAsia="宋体" w:cs="Times New Roman"/>
                      <w:color w:val="auto"/>
                      <w:kern w:val="10"/>
                      <w:sz w:val="21"/>
                      <w:szCs w:val="21"/>
                      <w:highlight w:val="none"/>
                      <w:lang w:val="en-US" w:eastAsia="zh-CN"/>
                    </w:rPr>
                  </w:pPr>
                  <w:r>
                    <w:rPr>
                      <w:rFonts w:hint="eastAsia"/>
                      <w:color w:val="auto"/>
                      <w:sz w:val="21"/>
                      <w:szCs w:val="21"/>
                      <w:highlight w:val="none"/>
                      <w:lang w:val="en-US" w:eastAsia="zh-CN"/>
                    </w:rPr>
                    <w:t>居民</w:t>
                  </w:r>
                </w:p>
              </w:tc>
              <w:tc>
                <w:tcPr>
                  <w:tcW w:w="555" w:type="pct"/>
                  <w:vMerge w:val="restart"/>
                  <w:noWrap w:val="0"/>
                  <w:vAlign w:val="center"/>
                </w:tcPr>
                <w:p w14:paraId="0AA321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10"/>
                      <w:sz w:val="21"/>
                      <w:szCs w:val="21"/>
                      <w:highlight w:val="none"/>
                      <w:lang w:val="en-US" w:eastAsia="zh-CN"/>
                    </w:rPr>
                  </w:pPr>
                  <w:r>
                    <w:rPr>
                      <w:rFonts w:hint="default" w:ascii="Times New Roman" w:hAnsi="Times New Roman" w:eastAsia="宋体" w:cs="Times New Roman"/>
                      <w:color w:val="auto"/>
                      <w:kern w:val="10"/>
                      <w:sz w:val="21"/>
                      <w:szCs w:val="21"/>
                      <w:highlight w:val="none"/>
                      <w:lang w:val="en-US" w:eastAsia="zh-CN"/>
                    </w:rPr>
                    <w:t>环境空气</w:t>
                  </w:r>
                </w:p>
              </w:tc>
              <w:tc>
                <w:tcPr>
                  <w:tcW w:w="507" w:type="pct"/>
                  <w:noWrap w:val="0"/>
                  <w:vAlign w:val="center"/>
                </w:tcPr>
                <w:p w14:paraId="0FDC5C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10"/>
                      <w:sz w:val="21"/>
                      <w:szCs w:val="21"/>
                      <w:highlight w:val="none"/>
                      <w:lang w:val="en-US" w:eastAsia="zh-CN"/>
                    </w:rPr>
                  </w:pPr>
                  <w:r>
                    <w:rPr>
                      <w:rFonts w:hint="default" w:ascii="Times New Roman" w:hAnsi="Times New Roman" w:eastAsia="宋体" w:cs="Times New Roman"/>
                      <w:color w:val="auto"/>
                      <w:kern w:val="10"/>
                      <w:sz w:val="21"/>
                      <w:szCs w:val="21"/>
                      <w:highlight w:val="none"/>
                      <w:lang w:val="en-US" w:eastAsia="zh-CN"/>
                    </w:rPr>
                    <w:t>二类</w:t>
                  </w:r>
                </w:p>
              </w:tc>
              <w:tc>
                <w:tcPr>
                  <w:tcW w:w="401" w:type="pct"/>
                  <w:noWrap w:val="0"/>
                  <w:vAlign w:val="center"/>
                </w:tcPr>
                <w:p w14:paraId="495198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10"/>
                      <w:sz w:val="21"/>
                      <w:szCs w:val="21"/>
                      <w:highlight w:val="none"/>
                      <w:lang w:val="en-US" w:eastAsia="zh-CN"/>
                    </w:rPr>
                  </w:pPr>
                  <w:r>
                    <w:rPr>
                      <w:rFonts w:hint="default" w:ascii="Times New Roman" w:hAnsi="Times New Roman" w:eastAsia="宋体" w:cs="Times New Roman"/>
                      <w:color w:val="auto"/>
                      <w:kern w:val="10"/>
                      <w:sz w:val="21"/>
                      <w:szCs w:val="21"/>
                      <w:highlight w:val="none"/>
                      <w:lang w:val="en-US" w:eastAsia="zh-CN"/>
                    </w:rPr>
                    <w:t>N</w:t>
                  </w:r>
                </w:p>
              </w:tc>
              <w:tc>
                <w:tcPr>
                  <w:tcW w:w="521" w:type="pct"/>
                  <w:noWrap w:val="0"/>
                  <w:vAlign w:val="center"/>
                </w:tcPr>
                <w:p w14:paraId="514F29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10"/>
                      <w:sz w:val="21"/>
                      <w:szCs w:val="21"/>
                      <w:highlight w:val="none"/>
                      <w:lang w:val="en-US" w:eastAsia="zh-CN"/>
                    </w:rPr>
                  </w:pPr>
                  <w:r>
                    <w:rPr>
                      <w:rFonts w:hint="eastAsia" w:cs="Times New Roman"/>
                      <w:color w:val="auto"/>
                      <w:kern w:val="10"/>
                      <w:sz w:val="21"/>
                      <w:szCs w:val="21"/>
                      <w:highlight w:val="none"/>
                      <w:lang w:val="en-US" w:eastAsia="zh-CN"/>
                    </w:rPr>
                    <w:t>70</w:t>
                  </w:r>
                  <w:r>
                    <w:rPr>
                      <w:rFonts w:hint="default" w:ascii="Times New Roman" w:hAnsi="Times New Roman" w:eastAsia="宋体" w:cs="Times New Roman"/>
                      <w:color w:val="auto"/>
                      <w:kern w:val="10"/>
                      <w:sz w:val="21"/>
                      <w:szCs w:val="21"/>
                      <w:highlight w:val="none"/>
                      <w:lang w:val="en-US" w:eastAsia="zh-CN"/>
                    </w:rPr>
                    <w:t>m</w:t>
                  </w:r>
                </w:p>
              </w:tc>
            </w:tr>
            <w:tr w14:paraId="1F410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pct"/>
                  <w:noWrap w:val="0"/>
                  <w:vAlign w:val="center"/>
                </w:tcPr>
                <w:p w14:paraId="22C25F05">
                  <w:pPr>
                    <w:pStyle w:val="52"/>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cs="Times New Roman"/>
                      <w:bCs/>
                      <w:snapToGrid w:val="0"/>
                      <w:color w:val="auto"/>
                      <w:kern w:val="10"/>
                      <w:sz w:val="21"/>
                      <w:szCs w:val="21"/>
                      <w:highlight w:val="none"/>
                      <w:lang w:val="en-US" w:eastAsia="zh-CN"/>
                    </w:rPr>
                  </w:pPr>
                  <w:r>
                    <w:rPr>
                      <w:rFonts w:hint="eastAsia"/>
                      <w:color w:val="auto"/>
                      <w:sz w:val="21"/>
                      <w:szCs w:val="21"/>
                      <w:highlight w:val="none"/>
                      <w:lang w:val="en-US" w:eastAsia="zh-CN"/>
                    </w:rPr>
                    <w:t>常平小学</w:t>
                  </w:r>
                </w:p>
              </w:tc>
              <w:tc>
                <w:tcPr>
                  <w:tcW w:w="914" w:type="pct"/>
                  <w:noWrap w:val="0"/>
                  <w:vAlign w:val="center"/>
                </w:tcPr>
                <w:p w14:paraId="4AE8EFA0">
                  <w:pPr>
                    <w:pStyle w:val="43"/>
                    <w:keepNext w:val="0"/>
                    <w:keepLines w:val="0"/>
                    <w:pageBreakBefore w:val="0"/>
                    <w:widowControl/>
                    <w:kinsoku/>
                    <w:wordWrap/>
                    <w:overflowPunct/>
                    <w:topLinePunct w:val="0"/>
                    <w:autoSpaceDE/>
                    <w:autoSpaceDN/>
                    <w:bidi w:val="0"/>
                    <w:adjustRightInd w:val="0"/>
                    <w:snapToGrid w:val="0"/>
                    <w:ind w:firstLine="0" w:firstLineChars="0"/>
                    <w:textAlignment w:val="auto"/>
                    <w:rPr>
                      <w:rFonts w:hint="default" w:ascii="Times New Roman" w:hAnsi="Times New Roman" w:eastAsia="宋体" w:cs="Times New Roman"/>
                      <w:color w:val="auto"/>
                      <w:kern w:val="10"/>
                      <w:sz w:val="21"/>
                      <w:szCs w:val="21"/>
                      <w:highlight w:val="none"/>
                      <w:lang w:val="en-US" w:eastAsia="zh-CN"/>
                    </w:rPr>
                  </w:pPr>
                  <w:r>
                    <w:rPr>
                      <w:rFonts w:hint="default"/>
                      <w:color w:val="auto"/>
                      <w:sz w:val="21"/>
                      <w:szCs w:val="21"/>
                      <w:highlight w:val="none"/>
                      <w:lang w:val="en-US" w:eastAsia="zh-CN"/>
                    </w:rPr>
                    <w:t>113°14′24.270″</w:t>
                  </w:r>
                </w:p>
              </w:tc>
              <w:tc>
                <w:tcPr>
                  <w:tcW w:w="823" w:type="pct"/>
                  <w:noWrap w:val="0"/>
                  <w:vAlign w:val="center"/>
                </w:tcPr>
                <w:p w14:paraId="51F22D7A">
                  <w:pPr>
                    <w:pStyle w:val="43"/>
                    <w:keepNext w:val="0"/>
                    <w:keepLines w:val="0"/>
                    <w:pageBreakBefore w:val="0"/>
                    <w:widowControl/>
                    <w:kinsoku/>
                    <w:wordWrap/>
                    <w:overflowPunct/>
                    <w:topLinePunct w:val="0"/>
                    <w:autoSpaceDE/>
                    <w:autoSpaceDN/>
                    <w:bidi w:val="0"/>
                    <w:adjustRightInd w:val="0"/>
                    <w:snapToGrid w:val="0"/>
                    <w:ind w:firstLine="0" w:firstLineChars="0"/>
                    <w:textAlignment w:val="auto"/>
                    <w:rPr>
                      <w:rFonts w:hint="default" w:ascii="Times New Roman" w:hAnsi="Times New Roman" w:eastAsia="宋体" w:cs="Times New Roman"/>
                      <w:color w:val="auto"/>
                      <w:kern w:val="10"/>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36°7′56.510″</w:t>
                  </w:r>
                </w:p>
              </w:tc>
              <w:tc>
                <w:tcPr>
                  <w:tcW w:w="518" w:type="pct"/>
                  <w:noWrap w:val="0"/>
                  <w:vAlign w:val="center"/>
                </w:tcPr>
                <w:p w14:paraId="3FE0C4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10"/>
                      <w:sz w:val="21"/>
                      <w:szCs w:val="21"/>
                      <w:highlight w:val="none"/>
                      <w:lang w:val="en-US" w:eastAsia="zh-CN"/>
                    </w:rPr>
                  </w:pPr>
                  <w:r>
                    <w:rPr>
                      <w:rFonts w:hint="eastAsia" w:cs="Times New Roman"/>
                      <w:color w:val="auto"/>
                      <w:kern w:val="10"/>
                      <w:sz w:val="21"/>
                      <w:szCs w:val="21"/>
                      <w:highlight w:val="none"/>
                      <w:lang w:val="en-US" w:eastAsia="zh-CN"/>
                    </w:rPr>
                    <w:t>师生</w:t>
                  </w:r>
                </w:p>
              </w:tc>
              <w:tc>
                <w:tcPr>
                  <w:tcW w:w="555" w:type="pct"/>
                  <w:vMerge w:val="continue"/>
                  <w:noWrap w:val="0"/>
                  <w:vAlign w:val="center"/>
                </w:tcPr>
                <w:p w14:paraId="0348DA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10"/>
                      <w:sz w:val="21"/>
                      <w:szCs w:val="21"/>
                      <w:highlight w:val="none"/>
                      <w:lang w:val="en-US" w:eastAsia="zh-CN"/>
                    </w:rPr>
                  </w:pPr>
                </w:p>
              </w:tc>
              <w:tc>
                <w:tcPr>
                  <w:tcW w:w="507" w:type="pct"/>
                  <w:noWrap w:val="0"/>
                  <w:vAlign w:val="center"/>
                </w:tcPr>
                <w:p w14:paraId="395F28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10"/>
                      <w:sz w:val="21"/>
                      <w:szCs w:val="21"/>
                      <w:highlight w:val="none"/>
                      <w:lang w:val="en-US" w:eastAsia="zh-CN"/>
                    </w:rPr>
                  </w:pPr>
                  <w:r>
                    <w:rPr>
                      <w:rFonts w:hint="default" w:ascii="Times New Roman" w:hAnsi="Times New Roman" w:eastAsia="宋体" w:cs="Times New Roman"/>
                      <w:color w:val="auto"/>
                      <w:kern w:val="10"/>
                      <w:sz w:val="21"/>
                      <w:szCs w:val="21"/>
                      <w:highlight w:val="none"/>
                      <w:lang w:val="en-US" w:eastAsia="zh-CN"/>
                    </w:rPr>
                    <w:t>二类</w:t>
                  </w:r>
                </w:p>
              </w:tc>
              <w:tc>
                <w:tcPr>
                  <w:tcW w:w="401" w:type="pct"/>
                  <w:noWrap w:val="0"/>
                  <w:vAlign w:val="center"/>
                </w:tcPr>
                <w:p w14:paraId="2DFE34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10"/>
                      <w:sz w:val="21"/>
                      <w:szCs w:val="21"/>
                      <w:highlight w:val="none"/>
                      <w:lang w:val="en-US" w:eastAsia="zh-CN"/>
                    </w:rPr>
                  </w:pPr>
                  <w:r>
                    <w:rPr>
                      <w:rFonts w:hint="default" w:ascii="Times New Roman" w:hAnsi="Times New Roman" w:eastAsia="宋体" w:cs="Times New Roman"/>
                      <w:color w:val="auto"/>
                      <w:kern w:val="10"/>
                      <w:sz w:val="21"/>
                      <w:szCs w:val="21"/>
                      <w:highlight w:val="none"/>
                      <w:lang w:val="en-US" w:eastAsia="zh-CN"/>
                    </w:rPr>
                    <w:t>N</w:t>
                  </w:r>
                </w:p>
              </w:tc>
              <w:tc>
                <w:tcPr>
                  <w:tcW w:w="521" w:type="pct"/>
                  <w:noWrap w:val="0"/>
                  <w:vAlign w:val="center"/>
                </w:tcPr>
                <w:p w14:paraId="6C9EB0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kern w:val="10"/>
                      <w:sz w:val="21"/>
                      <w:szCs w:val="21"/>
                      <w:highlight w:val="none"/>
                      <w:lang w:val="en-US" w:eastAsia="zh-CN"/>
                    </w:rPr>
                  </w:pPr>
                  <w:r>
                    <w:rPr>
                      <w:rFonts w:hint="eastAsia" w:cs="Times New Roman"/>
                      <w:color w:val="auto"/>
                      <w:kern w:val="10"/>
                      <w:sz w:val="21"/>
                      <w:szCs w:val="21"/>
                      <w:highlight w:val="none"/>
                      <w:lang w:val="en-US" w:eastAsia="zh-CN"/>
                    </w:rPr>
                    <w:t>337m</w:t>
                  </w:r>
                </w:p>
              </w:tc>
            </w:tr>
            <w:tr w14:paraId="7EDF3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pct"/>
                  <w:noWrap w:val="0"/>
                  <w:vAlign w:val="center"/>
                </w:tcPr>
                <w:p w14:paraId="620235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Cs/>
                      <w:snapToGrid w:val="0"/>
                      <w:color w:val="auto"/>
                      <w:kern w:val="10"/>
                      <w:sz w:val="21"/>
                      <w:szCs w:val="21"/>
                      <w:highlight w:val="none"/>
                      <w:lang w:val="en-US" w:eastAsia="zh-CN"/>
                    </w:rPr>
                  </w:pPr>
                  <w:r>
                    <w:rPr>
                      <w:rFonts w:hint="eastAsia" w:cs="Times New Roman"/>
                      <w:bCs/>
                      <w:snapToGrid w:val="0"/>
                      <w:color w:val="auto"/>
                      <w:kern w:val="10"/>
                      <w:sz w:val="21"/>
                      <w:szCs w:val="21"/>
                      <w:highlight w:val="none"/>
                      <w:lang w:val="en-US" w:eastAsia="zh-CN"/>
                    </w:rPr>
                    <w:t>石子河</w:t>
                  </w:r>
                </w:p>
              </w:tc>
              <w:tc>
                <w:tcPr>
                  <w:tcW w:w="914" w:type="pct"/>
                  <w:noWrap w:val="0"/>
                  <w:vAlign w:val="center"/>
                </w:tcPr>
                <w:p w14:paraId="0E42DC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10"/>
                      <w:sz w:val="21"/>
                      <w:szCs w:val="21"/>
                      <w:highlight w:val="none"/>
                      <w:lang w:val="en-US" w:eastAsia="zh-CN"/>
                    </w:rPr>
                  </w:pPr>
                  <w:r>
                    <w:rPr>
                      <w:rFonts w:hint="default" w:ascii="Times New Roman" w:hAnsi="Times New Roman" w:eastAsia="宋体" w:cs="Times New Roman"/>
                      <w:color w:val="auto"/>
                      <w:kern w:val="10"/>
                      <w:sz w:val="21"/>
                      <w:szCs w:val="21"/>
                      <w:highlight w:val="none"/>
                      <w:lang w:val="en-US" w:eastAsia="zh-CN"/>
                    </w:rPr>
                    <w:t>113°14′10.289″</w:t>
                  </w:r>
                </w:p>
              </w:tc>
              <w:tc>
                <w:tcPr>
                  <w:tcW w:w="823" w:type="pct"/>
                  <w:noWrap w:val="0"/>
                  <w:vAlign w:val="center"/>
                </w:tcPr>
                <w:p w14:paraId="2CD2E6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10"/>
                      <w:sz w:val="21"/>
                      <w:szCs w:val="21"/>
                      <w:highlight w:val="none"/>
                      <w:lang w:val="en-US" w:eastAsia="zh-CN"/>
                    </w:rPr>
                  </w:pPr>
                  <w:r>
                    <w:rPr>
                      <w:rFonts w:hint="default" w:ascii="Times New Roman" w:hAnsi="Times New Roman" w:eastAsia="宋体" w:cs="Times New Roman"/>
                      <w:color w:val="auto"/>
                      <w:kern w:val="10"/>
                      <w:sz w:val="21"/>
                      <w:szCs w:val="21"/>
                      <w:highlight w:val="none"/>
                      <w:lang w:val="en-US" w:eastAsia="zh-CN"/>
                    </w:rPr>
                    <w:t>36°7′29.026″</w:t>
                  </w:r>
                </w:p>
              </w:tc>
              <w:tc>
                <w:tcPr>
                  <w:tcW w:w="518" w:type="pct"/>
                  <w:shd w:val="clear" w:color="auto" w:fill="auto"/>
                  <w:noWrap w:val="0"/>
                  <w:vAlign w:val="center"/>
                </w:tcPr>
                <w:p w14:paraId="793628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10"/>
                      <w:sz w:val="21"/>
                      <w:szCs w:val="21"/>
                      <w:highlight w:val="none"/>
                      <w:lang w:val="en-US" w:eastAsia="zh-CN" w:bidi="ar-SA"/>
                    </w:rPr>
                  </w:pPr>
                  <w:r>
                    <w:rPr>
                      <w:rFonts w:hint="default" w:ascii="Times New Roman" w:hAnsi="Times New Roman" w:eastAsia="宋体" w:cs="Times New Roman"/>
                      <w:color w:val="auto"/>
                      <w:kern w:val="10"/>
                      <w:sz w:val="21"/>
                      <w:szCs w:val="21"/>
                      <w:highlight w:val="none"/>
                      <w:lang w:val="en-US" w:eastAsia="zh-CN"/>
                    </w:rPr>
                    <w:t>河流</w:t>
                  </w:r>
                </w:p>
              </w:tc>
              <w:tc>
                <w:tcPr>
                  <w:tcW w:w="555" w:type="pct"/>
                  <w:shd w:val="clear" w:color="auto" w:fill="auto"/>
                  <w:noWrap w:val="0"/>
                  <w:vAlign w:val="center"/>
                </w:tcPr>
                <w:p w14:paraId="5FEB17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10"/>
                      <w:sz w:val="21"/>
                      <w:szCs w:val="21"/>
                      <w:highlight w:val="none"/>
                      <w:lang w:val="en-US" w:eastAsia="zh-CN" w:bidi="ar-SA"/>
                    </w:rPr>
                  </w:pPr>
                  <w:r>
                    <w:rPr>
                      <w:rFonts w:hint="default" w:ascii="Times New Roman" w:hAnsi="Times New Roman" w:eastAsia="宋体" w:cs="Times New Roman"/>
                      <w:color w:val="auto"/>
                      <w:kern w:val="10"/>
                      <w:sz w:val="21"/>
                      <w:szCs w:val="21"/>
                      <w:highlight w:val="none"/>
                      <w:lang w:val="en-US" w:eastAsia="zh-CN"/>
                    </w:rPr>
                    <w:t>地表水</w:t>
                  </w:r>
                </w:p>
              </w:tc>
              <w:tc>
                <w:tcPr>
                  <w:tcW w:w="507" w:type="pct"/>
                  <w:shd w:val="clear" w:color="auto" w:fill="auto"/>
                  <w:noWrap w:val="0"/>
                  <w:vAlign w:val="center"/>
                </w:tcPr>
                <w:p w14:paraId="3A4263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10"/>
                      <w:sz w:val="21"/>
                      <w:szCs w:val="21"/>
                      <w:highlight w:val="none"/>
                      <w:lang w:val="en-US" w:eastAsia="zh-CN" w:bidi="ar-SA"/>
                    </w:rPr>
                  </w:pPr>
                  <w:r>
                    <w:rPr>
                      <w:rFonts w:hint="default" w:ascii="Times New Roman" w:hAnsi="Times New Roman" w:eastAsia="宋体" w:cs="Times New Roman"/>
                      <w:color w:val="auto"/>
                      <w:kern w:val="10"/>
                      <w:sz w:val="21"/>
                      <w:szCs w:val="21"/>
                      <w:highlight w:val="none"/>
                      <w:lang w:val="en-US" w:eastAsia="zh-CN"/>
                    </w:rPr>
                    <w:t>V类</w:t>
                  </w:r>
                </w:p>
              </w:tc>
              <w:tc>
                <w:tcPr>
                  <w:tcW w:w="401" w:type="pct"/>
                  <w:shd w:val="clear" w:color="auto" w:fill="auto"/>
                  <w:noWrap w:val="0"/>
                  <w:vAlign w:val="center"/>
                </w:tcPr>
                <w:p w14:paraId="5CD0AB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10"/>
                      <w:sz w:val="21"/>
                      <w:szCs w:val="21"/>
                      <w:highlight w:val="none"/>
                      <w:lang w:val="en-US" w:eastAsia="zh-CN" w:bidi="ar-SA"/>
                    </w:rPr>
                  </w:pPr>
                  <w:r>
                    <w:rPr>
                      <w:rFonts w:hint="eastAsia" w:ascii="Times New Roman" w:hAnsi="Times New Roman" w:cs="Times New Roman"/>
                      <w:color w:val="auto"/>
                      <w:kern w:val="10"/>
                      <w:sz w:val="21"/>
                      <w:szCs w:val="21"/>
                      <w:highlight w:val="none"/>
                      <w:lang w:val="en-US" w:eastAsia="zh-CN"/>
                    </w:rPr>
                    <w:t>S</w:t>
                  </w:r>
                </w:p>
              </w:tc>
              <w:tc>
                <w:tcPr>
                  <w:tcW w:w="521" w:type="pct"/>
                  <w:shd w:val="clear" w:color="auto" w:fill="auto"/>
                  <w:noWrap w:val="0"/>
                  <w:vAlign w:val="center"/>
                </w:tcPr>
                <w:p w14:paraId="01B5AF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10"/>
                      <w:sz w:val="21"/>
                      <w:szCs w:val="21"/>
                      <w:highlight w:val="none"/>
                      <w:lang w:val="en-US" w:eastAsia="zh-CN" w:bidi="ar-SA"/>
                    </w:rPr>
                  </w:pPr>
                  <w:r>
                    <w:rPr>
                      <w:rFonts w:hint="eastAsia" w:cs="Times New Roman"/>
                      <w:color w:val="auto"/>
                      <w:kern w:val="10"/>
                      <w:sz w:val="21"/>
                      <w:szCs w:val="21"/>
                      <w:highlight w:val="none"/>
                      <w:lang w:val="en-US" w:eastAsia="zh-CN"/>
                    </w:rPr>
                    <w:t>70m</w:t>
                  </w:r>
                </w:p>
              </w:tc>
            </w:tr>
          </w:tbl>
          <w:p w14:paraId="235F2DC6">
            <w:pPr>
              <w:pStyle w:val="43"/>
              <w:keepNext w:val="0"/>
              <w:keepLines w:val="0"/>
              <w:pageBreakBefore w:val="0"/>
              <w:widowControl/>
              <w:kinsoku/>
              <w:wordWrap/>
              <w:overflowPunct/>
              <w:topLinePunct w:val="0"/>
              <w:autoSpaceDE/>
              <w:autoSpaceDN/>
              <w:bidi w:val="0"/>
              <w:adjustRightInd/>
              <w:snapToGrid/>
              <w:spacing w:line="100" w:lineRule="exact"/>
              <w:textAlignment w:val="auto"/>
              <w:rPr>
                <w:rFonts w:hint="default"/>
                <w:color w:val="auto"/>
                <w:highlight w:val="none"/>
                <w:lang w:val="en-US" w:eastAsia="zh-CN"/>
              </w:rPr>
            </w:pPr>
          </w:p>
        </w:tc>
      </w:tr>
      <w:tr w14:paraId="3DC771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95" w:hRule="atLeast"/>
          <w:jc w:val="center"/>
        </w:trPr>
        <w:tc>
          <w:tcPr>
            <w:tcW w:w="461" w:type="dxa"/>
            <w:vAlign w:val="center"/>
          </w:tcPr>
          <w:p w14:paraId="41A073B3">
            <w:pPr>
              <w:pStyle w:val="3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eastAsia="zh-CN"/>
              </w:rPr>
            </w:pPr>
            <w:r>
              <w:rPr>
                <w:rFonts w:hint="eastAsia"/>
                <w:color w:val="auto"/>
                <w:highlight w:val="none"/>
                <w:lang w:eastAsia="zh-CN"/>
              </w:rPr>
              <w:t>污染物排放控制标准</w:t>
            </w:r>
          </w:p>
        </w:tc>
        <w:tc>
          <w:tcPr>
            <w:tcW w:w="8815" w:type="dxa"/>
            <w:vAlign w:val="center"/>
          </w:tcPr>
          <w:p w14:paraId="126FAFB8">
            <w:pPr>
              <w:pStyle w:val="3"/>
              <w:keepNext w:val="0"/>
              <w:keepLines w:val="0"/>
              <w:pageBreakBefore w:val="0"/>
              <w:widowControl w:val="0"/>
              <w:kinsoku/>
              <w:wordWrap/>
              <w:overflowPunct/>
              <w:topLinePunct w:val="0"/>
              <w:autoSpaceDE/>
              <w:autoSpaceDN/>
              <w:bidi w:val="0"/>
              <w:adjustRightInd/>
              <w:snapToGrid/>
              <w:ind w:left="0" w:leftChars="0" w:firstLine="482" w:firstLineChars="200"/>
              <w:textAlignment w:val="auto"/>
              <w:rPr>
                <w:rFonts w:hint="eastAsia"/>
                <w:b/>
                <w:bCs/>
                <w:color w:val="auto"/>
                <w:highlight w:val="none"/>
                <w:lang w:val="en-US" w:eastAsia="zh-CN"/>
              </w:rPr>
            </w:pPr>
            <w:bookmarkStart w:id="28" w:name="_Toc13704"/>
            <w:bookmarkStart w:id="29" w:name="_Toc13987"/>
            <w:r>
              <w:rPr>
                <w:rFonts w:hint="eastAsia"/>
                <w:b/>
                <w:bCs/>
                <w:color w:val="auto"/>
                <w:highlight w:val="none"/>
                <w:lang w:val="en-US" w:eastAsia="zh-CN"/>
              </w:rPr>
              <w:t>废气</w:t>
            </w:r>
            <w:bookmarkEnd w:id="28"/>
            <w:bookmarkEnd w:id="29"/>
          </w:p>
          <w:p w14:paraId="5D59E6AB">
            <w:pPr>
              <w:pStyle w:val="4"/>
              <w:keepNext/>
              <w:keepLines/>
              <w:pageBreakBefore w:val="0"/>
              <w:widowControl w:val="0"/>
              <w:kinsoku/>
              <w:wordWrap/>
              <w:overflowPunct/>
              <w:topLinePunct w:val="0"/>
              <w:autoSpaceDE/>
              <w:autoSpaceDN/>
              <w:bidi w:val="0"/>
              <w:adjustRightInd/>
              <w:snapToGrid/>
              <w:spacing w:before="0" w:beforeLines="0" w:after="0" w:afterLines="0"/>
              <w:ind w:left="0" w:leftChars="0"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施工期废气</w:t>
            </w:r>
          </w:p>
          <w:p w14:paraId="3CBE4C7E">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本项目施工期施工扬尘执行《大气污染物综合排放标准》（GB16297-1996）表2中无组织排放监控浓度限值，具体数值见</w:t>
            </w:r>
            <w:r>
              <w:rPr>
                <w:rFonts w:hint="default" w:ascii="Times New Roman" w:hAnsi="Times New Roman" w:eastAsia="宋体" w:cs="Times New Roman"/>
                <w:b w:val="0"/>
                <w:bCs w:val="0"/>
                <w:color w:val="auto"/>
                <w:sz w:val="24"/>
                <w:szCs w:val="24"/>
                <w:highlight w:val="none"/>
                <w:lang w:val="en-US" w:eastAsia="zh-CN"/>
              </w:rPr>
              <w:fldChar w:fldCharType="begin"/>
            </w:r>
            <w:r>
              <w:rPr>
                <w:rFonts w:hint="default" w:ascii="Times New Roman" w:hAnsi="Times New Roman" w:eastAsia="宋体" w:cs="Times New Roman"/>
                <w:b w:val="0"/>
                <w:bCs w:val="0"/>
                <w:color w:val="auto"/>
                <w:sz w:val="24"/>
                <w:szCs w:val="24"/>
                <w:highlight w:val="none"/>
                <w:lang w:val="en-US" w:eastAsia="zh-CN"/>
              </w:rPr>
              <w:instrText xml:space="preserve"> REF _Ref28218 \h </w:instrText>
            </w:r>
            <w:r>
              <w:rPr>
                <w:rFonts w:hint="default" w:ascii="Times New Roman" w:hAnsi="Times New Roman" w:eastAsia="宋体" w:cs="Times New Roman"/>
                <w:b w:val="0"/>
                <w:bCs w:val="0"/>
                <w:color w:val="auto"/>
                <w:sz w:val="24"/>
                <w:szCs w:val="24"/>
                <w:highlight w:val="none"/>
                <w:lang w:val="en-US" w:eastAsia="zh-CN"/>
              </w:rPr>
              <w:fldChar w:fldCharType="separate"/>
            </w:r>
            <w:r>
              <w:rPr>
                <w:rFonts w:hint="default" w:ascii="Times New Roman" w:hAnsi="Times New Roman" w:eastAsia="宋体" w:cs="Times New Roman"/>
                <w:b w:val="0"/>
                <w:bCs w:val="0"/>
                <w:color w:val="auto"/>
                <w:sz w:val="24"/>
                <w:szCs w:val="24"/>
                <w:highlight w:val="none"/>
                <w:lang w:eastAsia="zh-CN"/>
              </w:rPr>
              <w:t>表</w:t>
            </w:r>
            <w:r>
              <w:rPr>
                <w:rFonts w:hint="default" w:ascii="Times New Roman" w:hAnsi="Times New Roman" w:eastAsia="宋体" w:cs="Times New Roman"/>
                <w:b w:val="0"/>
                <w:bCs w:val="0"/>
                <w:color w:val="auto"/>
                <w:sz w:val="24"/>
                <w:szCs w:val="24"/>
                <w:highlight w:val="none"/>
              </w:rPr>
              <w:fldChar w:fldCharType="begin"/>
            </w:r>
            <w:r>
              <w:rPr>
                <w:rFonts w:hint="default" w:ascii="Times New Roman" w:hAnsi="Times New Roman" w:eastAsia="宋体" w:cs="Times New Roman"/>
                <w:b w:val="0"/>
                <w:bCs w:val="0"/>
                <w:color w:val="auto"/>
                <w:sz w:val="24"/>
                <w:szCs w:val="24"/>
                <w:highlight w:val="none"/>
              </w:rPr>
              <w:instrText xml:space="preserve"> STYLEREF 1 \s </w:instrText>
            </w:r>
            <w:r>
              <w:rPr>
                <w:rFonts w:hint="default" w:ascii="Times New Roman" w:hAnsi="Times New Roman" w:eastAsia="宋体" w:cs="Times New Roman"/>
                <w:b w:val="0"/>
                <w:bCs w:val="0"/>
                <w:color w:val="auto"/>
                <w:sz w:val="24"/>
                <w:szCs w:val="24"/>
                <w:highlight w:val="none"/>
              </w:rPr>
              <w:fldChar w:fldCharType="separate"/>
            </w:r>
            <w:r>
              <w:rPr>
                <w:rFonts w:hint="default" w:ascii="Times New Roman" w:hAnsi="Times New Roman" w:eastAsia="宋体" w:cs="Times New Roman"/>
                <w:b w:val="0"/>
                <w:bCs w:val="0"/>
                <w:color w:val="auto"/>
                <w:sz w:val="24"/>
                <w:szCs w:val="24"/>
                <w:highlight w:val="none"/>
              </w:rPr>
              <w:t>3</w:t>
            </w:r>
            <w:r>
              <w:rPr>
                <w:rFonts w:hint="default" w:ascii="Times New Roman" w:hAnsi="Times New Roman" w:eastAsia="宋体" w:cs="Times New Roman"/>
                <w:b w:val="0"/>
                <w:bCs w:val="0"/>
                <w:color w:val="auto"/>
                <w:sz w:val="24"/>
                <w:szCs w:val="24"/>
                <w:highlight w:val="none"/>
              </w:rPr>
              <w:fldChar w:fldCharType="end"/>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rPr>
              <w:t>4</w:t>
            </w:r>
            <w:r>
              <w:rPr>
                <w:rFonts w:hint="default" w:ascii="Times New Roman" w:hAnsi="Times New Roman" w:eastAsia="宋体" w:cs="Times New Roman"/>
                <w:b w:val="0"/>
                <w:bCs w:val="0"/>
                <w:color w:val="auto"/>
                <w:sz w:val="24"/>
                <w:szCs w:val="24"/>
                <w:highlight w:val="none"/>
                <w:lang w:val="en-US" w:eastAsia="zh-CN"/>
              </w:rPr>
              <w:fldChar w:fldCharType="end"/>
            </w:r>
            <w:r>
              <w:rPr>
                <w:rFonts w:hint="default" w:ascii="Times New Roman" w:hAnsi="Times New Roman" w:eastAsia="宋体" w:cs="Times New Roman"/>
                <w:color w:val="auto"/>
                <w:sz w:val="24"/>
                <w:szCs w:val="24"/>
                <w:highlight w:val="none"/>
                <w:lang w:val="en-US" w:eastAsia="zh-CN"/>
              </w:rPr>
              <w:t>。</w:t>
            </w:r>
          </w:p>
          <w:p w14:paraId="043DC706">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bookmarkStart w:id="30" w:name="_Ref28218"/>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lang w:eastAsia="zh-CN"/>
              </w:rPr>
              <w:fldChar w:fldCharType="begin"/>
            </w:r>
            <w:r>
              <w:rPr>
                <w:rFonts w:hint="default" w:ascii="Times New Roman" w:hAnsi="Times New Roman" w:eastAsia="宋体" w:cs="Times New Roman"/>
                <w:b/>
                <w:bCs/>
                <w:color w:val="auto"/>
                <w:sz w:val="21"/>
                <w:szCs w:val="21"/>
                <w:highlight w:val="none"/>
                <w:lang w:eastAsia="zh-CN"/>
              </w:rPr>
              <w:instrText xml:space="preserve"> STYLEREF 1 \s </w:instrText>
            </w:r>
            <w:r>
              <w:rPr>
                <w:rFonts w:hint="default" w:ascii="Times New Roman" w:hAnsi="Times New Roman" w:eastAsia="宋体" w:cs="Times New Roman"/>
                <w:b/>
                <w:bCs/>
                <w:color w:val="auto"/>
                <w:sz w:val="21"/>
                <w:szCs w:val="21"/>
                <w:highlight w:val="none"/>
                <w:lang w:eastAsia="zh-CN"/>
              </w:rPr>
              <w:fldChar w:fldCharType="separate"/>
            </w:r>
            <w:r>
              <w:rPr>
                <w:rFonts w:hint="default" w:ascii="Times New Roman" w:hAnsi="Times New Roman" w:eastAsia="宋体" w:cs="Times New Roman"/>
                <w:b/>
                <w:bCs/>
                <w:color w:val="auto"/>
                <w:sz w:val="21"/>
                <w:szCs w:val="21"/>
                <w:highlight w:val="none"/>
                <w:lang w:eastAsia="zh-CN"/>
              </w:rPr>
              <w:t>3</w:t>
            </w:r>
            <w:r>
              <w:rPr>
                <w:rFonts w:hint="default" w:ascii="Times New Roman" w:hAnsi="Times New Roman" w:eastAsia="宋体" w:cs="Times New Roman"/>
                <w:b/>
                <w:bCs/>
                <w:color w:val="auto"/>
                <w:sz w:val="21"/>
                <w:szCs w:val="21"/>
                <w:highlight w:val="none"/>
                <w:lang w:eastAsia="zh-CN"/>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lang w:eastAsia="zh-CN"/>
              </w:rPr>
              <w:fldChar w:fldCharType="begin"/>
            </w:r>
            <w:r>
              <w:rPr>
                <w:rFonts w:hint="default" w:ascii="Times New Roman" w:hAnsi="Times New Roman" w:eastAsia="宋体" w:cs="Times New Roman"/>
                <w:b/>
                <w:bCs/>
                <w:color w:val="auto"/>
                <w:sz w:val="21"/>
                <w:szCs w:val="21"/>
                <w:highlight w:val="none"/>
                <w:lang w:eastAsia="zh-CN"/>
              </w:rPr>
              <w:instrText xml:space="preserve"> SEQ 表 \* ARABIC \s 1 </w:instrText>
            </w:r>
            <w:r>
              <w:rPr>
                <w:rFonts w:hint="default" w:ascii="Times New Roman" w:hAnsi="Times New Roman" w:eastAsia="宋体" w:cs="Times New Roman"/>
                <w:b/>
                <w:bCs/>
                <w:color w:val="auto"/>
                <w:sz w:val="21"/>
                <w:szCs w:val="21"/>
                <w:highlight w:val="none"/>
                <w:lang w:eastAsia="zh-CN"/>
              </w:rPr>
              <w:fldChar w:fldCharType="separate"/>
            </w:r>
            <w:r>
              <w:rPr>
                <w:rFonts w:hint="default" w:ascii="Times New Roman" w:hAnsi="Times New Roman" w:eastAsia="宋体" w:cs="Times New Roman"/>
                <w:b/>
                <w:bCs/>
                <w:color w:val="auto"/>
                <w:sz w:val="21"/>
                <w:szCs w:val="21"/>
                <w:highlight w:val="none"/>
                <w:lang w:eastAsia="zh-CN"/>
              </w:rPr>
              <w:t>4</w:t>
            </w:r>
            <w:r>
              <w:rPr>
                <w:rFonts w:hint="default" w:ascii="Times New Roman" w:hAnsi="Times New Roman" w:eastAsia="宋体" w:cs="Times New Roman"/>
                <w:b/>
                <w:bCs/>
                <w:color w:val="auto"/>
                <w:sz w:val="21"/>
                <w:szCs w:val="21"/>
                <w:highlight w:val="none"/>
                <w:lang w:eastAsia="zh-CN"/>
              </w:rPr>
              <w:fldChar w:fldCharType="end"/>
            </w:r>
            <w:bookmarkEnd w:id="30"/>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lang w:val="en-US" w:eastAsia="zh-CN"/>
              </w:rPr>
              <w:t>《大气污染物综合排放标准》（GB16297-1996）</w:t>
            </w:r>
          </w:p>
          <w:tbl>
            <w:tblPr>
              <w:tblStyle w:val="3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2"/>
              <w:gridCol w:w="2862"/>
              <w:gridCol w:w="2863"/>
            </w:tblGrid>
            <w:tr w14:paraId="3C1B1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noWrap w:val="0"/>
                  <w:vAlign w:val="top"/>
                </w:tcPr>
                <w:p w14:paraId="3C8AD9D7">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项目</w:t>
                  </w:r>
                </w:p>
              </w:tc>
              <w:tc>
                <w:tcPr>
                  <w:tcW w:w="1666" w:type="pct"/>
                  <w:noWrap w:val="0"/>
                  <w:vAlign w:val="top"/>
                </w:tcPr>
                <w:p w14:paraId="750A43DB">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区域</w:t>
                  </w:r>
                </w:p>
              </w:tc>
              <w:tc>
                <w:tcPr>
                  <w:tcW w:w="1666" w:type="pct"/>
                  <w:noWrap w:val="0"/>
                  <w:vAlign w:val="top"/>
                </w:tcPr>
                <w:p w14:paraId="6B505080">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浓度限值（mg/m</w:t>
                  </w:r>
                  <w:r>
                    <w:rPr>
                      <w:rFonts w:hint="default" w:ascii="Times New Roman" w:hAnsi="Times New Roman" w:cs="Times New Roman" w:eastAsiaTheme="minorEastAsia"/>
                      <w:color w:val="auto"/>
                      <w:highlight w:val="none"/>
                      <w:vertAlign w:val="superscript"/>
                      <w:lang w:val="en-US" w:eastAsia="zh-CN"/>
                    </w:rPr>
                    <w:t>3</w:t>
                  </w:r>
                  <w:r>
                    <w:rPr>
                      <w:rFonts w:hint="default" w:ascii="Times New Roman" w:hAnsi="Times New Roman" w:cs="Times New Roman" w:eastAsiaTheme="minorEastAsia"/>
                      <w:color w:val="auto"/>
                      <w:highlight w:val="none"/>
                      <w:lang w:val="en-US" w:eastAsia="zh-CN"/>
                    </w:rPr>
                    <w:t>）</w:t>
                  </w:r>
                </w:p>
              </w:tc>
            </w:tr>
            <w:tr w14:paraId="6C99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noWrap w:val="0"/>
                  <w:vAlign w:val="top"/>
                </w:tcPr>
                <w:p w14:paraId="489736FE">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颗粒物</w:t>
                  </w:r>
                </w:p>
              </w:tc>
              <w:tc>
                <w:tcPr>
                  <w:tcW w:w="1666" w:type="pct"/>
                  <w:noWrap w:val="0"/>
                  <w:vAlign w:val="top"/>
                </w:tcPr>
                <w:p w14:paraId="05AB2E46">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周界外浓度最高点</w:t>
                  </w:r>
                </w:p>
              </w:tc>
              <w:tc>
                <w:tcPr>
                  <w:tcW w:w="1666" w:type="pct"/>
                  <w:noWrap w:val="0"/>
                  <w:vAlign w:val="top"/>
                </w:tcPr>
                <w:p w14:paraId="15E27ECB">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1.0</w:t>
                  </w:r>
                </w:p>
              </w:tc>
            </w:tr>
          </w:tbl>
          <w:p w14:paraId="1D7E8CAE">
            <w:pPr>
              <w:pStyle w:val="4"/>
              <w:keepNext/>
              <w:keepLines/>
              <w:pageBreakBefore w:val="0"/>
              <w:widowControl w:val="0"/>
              <w:kinsoku/>
              <w:wordWrap/>
              <w:overflowPunct/>
              <w:topLinePunct w:val="0"/>
              <w:autoSpaceDE/>
              <w:autoSpaceDN/>
              <w:bidi w:val="0"/>
              <w:adjustRightInd/>
              <w:snapToGrid/>
              <w:spacing w:before="0" w:beforeLines="0" w:after="0" w:afterLines="0"/>
              <w:ind w:left="0" w:leftChars="0" w:firstLine="420" w:firstLineChars="0"/>
              <w:textAlignment w:val="auto"/>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运营期废气</w:t>
            </w:r>
          </w:p>
          <w:p w14:paraId="758BC2FF">
            <w:pPr>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color w:val="auto"/>
                <w:highlight w:val="none"/>
                <w:lang w:val="en-US" w:eastAsia="zh-CN"/>
              </w:rPr>
            </w:pPr>
            <w:r>
              <w:rPr>
                <w:rFonts w:hint="eastAsia"/>
                <w:color w:val="auto"/>
                <w:highlight w:val="none"/>
                <w:lang w:val="en-US" w:eastAsia="zh-CN"/>
              </w:rPr>
              <w:t>实验室废气</w:t>
            </w:r>
          </w:p>
          <w:p w14:paraId="10EB9565">
            <w:pPr>
              <w:widowControl/>
              <w:ind w:firstLine="48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kern w:val="0"/>
                <w:highlight w:val="none"/>
              </w:rPr>
              <w:t>本项目实验室学生在做实验过程中</w:t>
            </w:r>
            <w:r>
              <w:rPr>
                <w:rFonts w:hint="default" w:ascii="Times New Roman" w:hAnsi="Times New Roman" w:cs="Times New Roman" w:eastAsiaTheme="minorEastAsia"/>
                <w:color w:val="auto"/>
                <w:kern w:val="0"/>
                <w:highlight w:val="none"/>
                <w:lang w:val="en-US" w:eastAsia="zh-CN"/>
              </w:rPr>
              <w:t>会</w:t>
            </w:r>
            <w:r>
              <w:rPr>
                <w:rFonts w:hint="default" w:ascii="Times New Roman" w:hAnsi="Times New Roman" w:cs="Times New Roman" w:eastAsiaTheme="minorEastAsia"/>
                <w:color w:val="auto"/>
                <w:kern w:val="0"/>
                <w:highlight w:val="none"/>
              </w:rPr>
              <w:t>产生的硫酸雾、氯化氢</w:t>
            </w:r>
            <w:r>
              <w:rPr>
                <w:rFonts w:hint="default" w:ascii="Times New Roman" w:hAnsi="Times New Roman" w:cs="Times New Roman" w:eastAsiaTheme="minorEastAsia"/>
                <w:color w:val="auto"/>
                <w:kern w:val="0"/>
                <w:highlight w:val="none"/>
                <w:lang w:eastAsia="zh-CN"/>
              </w:rPr>
              <w:t>、</w:t>
            </w:r>
            <w:r>
              <w:rPr>
                <w:rFonts w:hint="default" w:ascii="Times New Roman" w:hAnsi="Times New Roman" w:cs="Times New Roman" w:eastAsiaTheme="minorEastAsia"/>
                <w:color w:val="auto"/>
                <w:kern w:val="0"/>
                <w:highlight w:val="none"/>
                <w:lang w:val="en-US" w:eastAsia="zh-CN"/>
              </w:rPr>
              <w:t>非甲烷总烃，</w:t>
            </w:r>
            <w:r>
              <w:rPr>
                <w:rFonts w:hint="default" w:ascii="Times New Roman" w:hAnsi="Times New Roman" w:cs="Times New Roman" w:eastAsiaTheme="minorEastAsia"/>
                <w:color w:val="auto"/>
                <w:kern w:val="0"/>
                <w:highlight w:val="none"/>
              </w:rPr>
              <w:t>排放执行</w:t>
            </w:r>
            <w:bookmarkStart w:id="31" w:name="OLE_LINK7"/>
            <w:r>
              <w:rPr>
                <w:rFonts w:hint="default" w:ascii="Times New Roman" w:hAnsi="Times New Roman" w:cs="Times New Roman" w:eastAsiaTheme="minorEastAsia"/>
                <w:color w:val="auto"/>
                <w:kern w:val="0"/>
                <w:highlight w:val="none"/>
              </w:rPr>
              <w:t>《大气污染物综合排放标准》</w:t>
            </w:r>
            <w:bookmarkEnd w:id="31"/>
            <w:r>
              <w:rPr>
                <w:rFonts w:hint="default" w:ascii="Times New Roman" w:hAnsi="Times New Roman" w:cs="Times New Roman" w:eastAsiaTheme="minorEastAsia"/>
                <w:color w:val="auto"/>
                <w:kern w:val="0"/>
                <w:highlight w:val="none"/>
              </w:rPr>
              <w:t>（GB16297-1996）表2新污染源大气污染物排放限值中的二级排放标准</w:t>
            </w:r>
            <w:r>
              <w:rPr>
                <w:rFonts w:hint="default" w:ascii="Times New Roman" w:hAnsi="Times New Roman" w:cs="Times New Roman" w:eastAsiaTheme="minorEastAsia"/>
                <w:color w:val="auto"/>
                <w:kern w:val="0"/>
                <w:highlight w:val="none"/>
                <w:lang w:eastAsia="zh-CN"/>
              </w:rPr>
              <w:t>及</w:t>
            </w:r>
            <w:r>
              <w:rPr>
                <w:rFonts w:hint="default" w:ascii="Times New Roman" w:hAnsi="Times New Roman" w:cs="Times New Roman" w:eastAsiaTheme="minorEastAsia"/>
                <w:color w:val="auto"/>
                <w:highlight w:val="none"/>
              </w:rPr>
              <w:t>无组织排放监控浓度限值</w:t>
            </w:r>
            <w:r>
              <w:rPr>
                <w:rFonts w:hint="default" w:ascii="Times New Roman" w:hAnsi="Times New Roman" w:cs="Times New Roman" w:eastAsiaTheme="minorEastAsia"/>
                <w:color w:val="auto"/>
                <w:kern w:val="0"/>
                <w:highlight w:val="none"/>
              </w:rPr>
              <w:t>。</w:t>
            </w:r>
          </w:p>
          <w:p w14:paraId="2A2037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21"/>
                <w:szCs w:val="21"/>
                <w:highlight w:val="none"/>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STYLEREF 1 \s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3</w:t>
            </w:r>
            <w:r>
              <w:rPr>
                <w:rFonts w:hint="default" w:ascii="Times New Roman" w:hAnsi="Times New Roman" w:eastAsia="宋体" w:cs="Times New Roman"/>
                <w:b/>
                <w:bCs/>
                <w:color w:val="auto"/>
                <w:sz w:val="21"/>
                <w:szCs w:val="21"/>
                <w:highlight w:val="none"/>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SEQ 表 \* ARABIC \s 1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5</w:t>
            </w:r>
            <w:r>
              <w:rPr>
                <w:rFonts w:hint="default" w:ascii="Times New Roman" w:hAnsi="Times New Roman" w:eastAsia="宋体" w:cs="Times New Roman"/>
                <w:b/>
                <w:bCs/>
                <w:color w:val="auto"/>
                <w:sz w:val="21"/>
                <w:szCs w:val="21"/>
                <w:highlight w:val="none"/>
              </w:rPr>
              <w:fldChar w:fldCharType="end"/>
            </w:r>
            <w:r>
              <w:rPr>
                <w:rFonts w:hint="eastAsia" w:cs="Times New Roman"/>
                <w:b/>
                <w:bCs/>
                <w:color w:val="auto"/>
                <w:sz w:val="21"/>
                <w:szCs w:val="21"/>
                <w:highlight w:val="none"/>
                <w:lang w:val="en-US" w:eastAsia="zh-CN"/>
              </w:rPr>
              <w:t xml:space="preserve"> </w:t>
            </w:r>
            <w:r>
              <w:rPr>
                <w:rFonts w:hint="default" w:ascii="Times New Roman" w:hAnsi="Times New Roman" w:cs="Times New Roman" w:eastAsiaTheme="minorEastAsia"/>
                <w:b/>
                <w:bCs/>
                <w:color w:val="auto"/>
                <w:sz w:val="21"/>
                <w:szCs w:val="21"/>
                <w:highlight w:val="none"/>
              </w:rPr>
              <w:t>大气污染物排放标准   单位：mg/m</w:t>
            </w:r>
            <w:r>
              <w:rPr>
                <w:rFonts w:hint="default" w:ascii="Times New Roman" w:hAnsi="Times New Roman" w:cs="Times New Roman" w:eastAsiaTheme="minorEastAsia"/>
                <w:b/>
                <w:bCs/>
                <w:color w:val="auto"/>
                <w:sz w:val="21"/>
                <w:szCs w:val="21"/>
                <w:highlight w:val="none"/>
                <w:vertAlign w:val="superscript"/>
              </w:rPr>
              <w:t>3</w:t>
            </w:r>
          </w:p>
          <w:tbl>
            <w:tblPr>
              <w:tblStyle w:val="33"/>
              <w:tblW w:w="498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7"/>
              <w:gridCol w:w="2229"/>
              <w:gridCol w:w="2331"/>
              <w:gridCol w:w="2035"/>
            </w:tblGrid>
            <w:tr w14:paraId="68BBF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8" w:type="pct"/>
                  <w:vMerge w:val="restart"/>
                  <w:vAlign w:val="center"/>
                </w:tcPr>
                <w:p w14:paraId="77F787B7">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项目</w:t>
                  </w:r>
                </w:p>
              </w:tc>
              <w:tc>
                <w:tcPr>
                  <w:tcW w:w="1301" w:type="pct"/>
                  <w:vMerge w:val="restart"/>
                  <w:vAlign w:val="center"/>
                </w:tcPr>
                <w:p w14:paraId="79058AD5">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最高允许排放浓度mg/m</w:t>
                  </w:r>
                  <w:r>
                    <w:rPr>
                      <w:rFonts w:hint="default" w:ascii="Times New Roman" w:hAnsi="Times New Roman" w:cs="Times New Roman" w:eastAsiaTheme="minorEastAsia"/>
                      <w:color w:val="auto"/>
                      <w:highlight w:val="none"/>
                      <w:vertAlign w:val="superscript"/>
                    </w:rPr>
                    <w:t>3</w:t>
                  </w:r>
                </w:p>
              </w:tc>
              <w:tc>
                <w:tcPr>
                  <w:tcW w:w="2549" w:type="pct"/>
                  <w:gridSpan w:val="2"/>
                  <w:vAlign w:val="center"/>
                </w:tcPr>
                <w:p w14:paraId="7D3D1B84">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无组织排放监控浓度限值</w:t>
                  </w:r>
                </w:p>
              </w:tc>
            </w:tr>
            <w:tr w14:paraId="3E957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148" w:type="pct"/>
                  <w:vMerge w:val="continue"/>
                  <w:vAlign w:val="center"/>
                </w:tcPr>
                <w:p w14:paraId="08ABB688">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p>
              </w:tc>
              <w:tc>
                <w:tcPr>
                  <w:tcW w:w="1301" w:type="pct"/>
                  <w:vMerge w:val="continue"/>
                  <w:vAlign w:val="center"/>
                </w:tcPr>
                <w:p w14:paraId="5EAEDD1C">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p>
              </w:tc>
              <w:tc>
                <w:tcPr>
                  <w:tcW w:w="1361" w:type="pct"/>
                  <w:vAlign w:val="center"/>
                </w:tcPr>
                <w:p w14:paraId="24907059">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监控点</w:t>
                  </w:r>
                </w:p>
              </w:tc>
              <w:tc>
                <w:tcPr>
                  <w:tcW w:w="1187" w:type="pct"/>
                  <w:vAlign w:val="center"/>
                </w:tcPr>
                <w:p w14:paraId="10D65603">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浓度mg/m</w:t>
                  </w:r>
                  <w:r>
                    <w:rPr>
                      <w:rFonts w:hint="default" w:ascii="Times New Roman" w:hAnsi="Times New Roman" w:cs="Times New Roman" w:eastAsiaTheme="minorEastAsia"/>
                      <w:color w:val="auto"/>
                      <w:highlight w:val="none"/>
                      <w:vertAlign w:val="superscript"/>
                    </w:rPr>
                    <w:t>3</w:t>
                  </w:r>
                </w:p>
              </w:tc>
            </w:tr>
            <w:tr w14:paraId="6BB2B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148" w:type="pct"/>
                  <w:vAlign w:val="center"/>
                </w:tcPr>
                <w:p w14:paraId="208F02FF">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硫酸雾</w:t>
                  </w:r>
                </w:p>
              </w:tc>
              <w:tc>
                <w:tcPr>
                  <w:tcW w:w="1301" w:type="pct"/>
                  <w:vAlign w:val="center"/>
                </w:tcPr>
                <w:p w14:paraId="47B5B8E1">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45（其他）</w:t>
                  </w:r>
                </w:p>
              </w:tc>
              <w:tc>
                <w:tcPr>
                  <w:tcW w:w="1361" w:type="pct"/>
                  <w:vMerge w:val="restart"/>
                  <w:vAlign w:val="center"/>
                </w:tcPr>
                <w:p w14:paraId="4C62C511">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周界外浓度最高点</w:t>
                  </w:r>
                </w:p>
              </w:tc>
              <w:tc>
                <w:tcPr>
                  <w:tcW w:w="1187" w:type="pct"/>
                  <w:vAlign w:val="center"/>
                </w:tcPr>
                <w:p w14:paraId="6759930C">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1.2</w:t>
                  </w:r>
                </w:p>
              </w:tc>
            </w:tr>
            <w:tr w14:paraId="7E31E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148" w:type="pct"/>
                  <w:vAlign w:val="center"/>
                </w:tcPr>
                <w:p w14:paraId="623FBDAB">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氯化氢</w:t>
                  </w:r>
                </w:p>
              </w:tc>
              <w:tc>
                <w:tcPr>
                  <w:tcW w:w="1301" w:type="pct"/>
                  <w:vAlign w:val="center"/>
                </w:tcPr>
                <w:p w14:paraId="63A67F15">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100</w:t>
                  </w:r>
                </w:p>
              </w:tc>
              <w:tc>
                <w:tcPr>
                  <w:tcW w:w="1361" w:type="pct"/>
                  <w:vMerge w:val="continue"/>
                  <w:vAlign w:val="center"/>
                </w:tcPr>
                <w:p w14:paraId="00CAAA44">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p>
              </w:tc>
              <w:tc>
                <w:tcPr>
                  <w:tcW w:w="1187" w:type="pct"/>
                  <w:vAlign w:val="center"/>
                </w:tcPr>
                <w:p w14:paraId="4F5455C1">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0.2</w:t>
                  </w:r>
                </w:p>
              </w:tc>
            </w:tr>
            <w:tr w14:paraId="7D39D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148" w:type="pct"/>
                  <w:vAlign w:val="center"/>
                </w:tcPr>
                <w:p w14:paraId="79054306">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非甲烷总烃</w:t>
                  </w:r>
                </w:p>
              </w:tc>
              <w:tc>
                <w:tcPr>
                  <w:tcW w:w="1301" w:type="pct"/>
                  <w:vAlign w:val="center"/>
                </w:tcPr>
                <w:p w14:paraId="5DC3FAEE">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eastAsiaTheme="minorEastAsia"/>
                      <w:color w:val="auto"/>
                      <w:highlight w:val="none"/>
                      <w:lang w:val="en-US" w:eastAsia="zh-CN"/>
                    </w:rPr>
                    <w:t>120</w:t>
                  </w:r>
                </w:p>
              </w:tc>
              <w:tc>
                <w:tcPr>
                  <w:tcW w:w="1361" w:type="pct"/>
                  <w:vMerge w:val="continue"/>
                  <w:vAlign w:val="center"/>
                </w:tcPr>
                <w:p w14:paraId="3FA02B35">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p>
              </w:tc>
              <w:tc>
                <w:tcPr>
                  <w:tcW w:w="1187" w:type="pct"/>
                  <w:vAlign w:val="center"/>
                </w:tcPr>
                <w:p w14:paraId="484133EE">
                  <w:pPr>
                    <w:pStyle w:val="6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highlight w:val="none"/>
                    </w:rPr>
                  </w:pPr>
                  <w:r>
                    <w:rPr>
                      <w:rFonts w:hint="default" w:ascii="Times New Roman" w:hAnsi="Times New Roman" w:eastAsia="宋体" w:cs="Times New Roman"/>
                      <w:b w:val="0"/>
                      <w:bCs w:val="0"/>
                      <w:color w:val="auto"/>
                      <w:sz w:val="21"/>
                      <w:szCs w:val="21"/>
                      <w:highlight w:val="none"/>
                      <w:lang w:val="en-US" w:eastAsia="zh-CN"/>
                    </w:rPr>
                    <w:t>4.0</w:t>
                  </w:r>
                </w:p>
              </w:tc>
            </w:tr>
          </w:tbl>
          <w:p w14:paraId="5D3E55E6">
            <w:pPr>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宋体"/>
                <w:color w:val="auto"/>
                <w:highlight w:val="none"/>
                <w:lang w:val="en-US" w:eastAsia="zh-CN"/>
              </w:rPr>
            </w:pPr>
            <w:r>
              <w:rPr>
                <w:rFonts w:hint="eastAsia" w:ascii="Times New Roman" w:hAnsi="Times New Roman" w:eastAsia="宋体" w:cs="宋体"/>
                <w:color w:val="auto"/>
                <w:highlight w:val="none"/>
                <w:lang w:val="en-US" w:eastAsia="zh-CN"/>
              </w:rPr>
              <w:t>食堂油烟</w:t>
            </w:r>
          </w:p>
          <w:p w14:paraId="2A60D104">
            <w:pPr>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sz w:val="24"/>
                <w:szCs w:val="24"/>
                <w:highlight w:val="none"/>
              </w:rPr>
              <w:t>食堂油烟执行《饮食业油烟排放标准（试行）》（GB18483-2001）中的大型规模标准。</w:t>
            </w:r>
          </w:p>
          <w:p w14:paraId="44A970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lang w:eastAsia="zh-CN"/>
              </w:rPr>
              <w:fldChar w:fldCharType="begin"/>
            </w:r>
            <w:r>
              <w:rPr>
                <w:rFonts w:hint="default" w:ascii="Times New Roman" w:hAnsi="Times New Roman" w:eastAsia="宋体" w:cs="Times New Roman"/>
                <w:b/>
                <w:bCs/>
                <w:color w:val="auto"/>
                <w:sz w:val="21"/>
                <w:szCs w:val="21"/>
                <w:highlight w:val="none"/>
                <w:lang w:eastAsia="zh-CN"/>
              </w:rPr>
              <w:instrText xml:space="preserve"> STYLEREF 1 \s </w:instrText>
            </w:r>
            <w:r>
              <w:rPr>
                <w:rFonts w:hint="default" w:ascii="Times New Roman" w:hAnsi="Times New Roman" w:eastAsia="宋体" w:cs="Times New Roman"/>
                <w:b/>
                <w:bCs/>
                <w:color w:val="auto"/>
                <w:sz w:val="21"/>
                <w:szCs w:val="21"/>
                <w:highlight w:val="none"/>
                <w:lang w:eastAsia="zh-CN"/>
              </w:rPr>
              <w:fldChar w:fldCharType="separate"/>
            </w:r>
            <w:r>
              <w:rPr>
                <w:rFonts w:hint="default" w:ascii="Times New Roman" w:hAnsi="Times New Roman" w:eastAsia="宋体" w:cs="Times New Roman"/>
                <w:b/>
                <w:bCs/>
                <w:color w:val="auto"/>
                <w:sz w:val="21"/>
                <w:szCs w:val="21"/>
                <w:highlight w:val="none"/>
                <w:lang w:eastAsia="zh-CN"/>
              </w:rPr>
              <w:t>3</w:t>
            </w:r>
            <w:r>
              <w:rPr>
                <w:rFonts w:hint="default" w:ascii="Times New Roman" w:hAnsi="Times New Roman" w:eastAsia="宋体" w:cs="Times New Roman"/>
                <w:b/>
                <w:bCs/>
                <w:color w:val="auto"/>
                <w:sz w:val="21"/>
                <w:szCs w:val="21"/>
                <w:highlight w:val="none"/>
                <w:lang w:eastAsia="zh-CN"/>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lang w:eastAsia="zh-CN"/>
              </w:rPr>
              <w:fldChar w:fldCharType="begin"/>
            </w:r>
            <w:r>
              <w:rPr>
                <w:rFonts w:hint="default" w:ascii="Times New Roman" w:hAnsi="Times New Roman" w:eastAsia="宋体" w:cs="Times New Roman"/>
                <w:b/>
                <w:bCs/>
                <w:color w:val="auto"/>
                <w:sz w:val="21"/>
                <w:szCs w:val="21"/>
                <w:highlight w:val="none"/>
                <w:lang w:eastAsia="zh-CN"/>
              </w:rPr>
              <w:instrText xml:space="preserve"> SEQ 表 \* ARABIC \s 1 </w:instrText>
            </w:r>
            <w:r>
              <w:rPr>
                <w:rFonts w:hint="default" w:ascii="Times New Roman" w:hAnsi="Times New Roman" w:eastAsia="宋体" w:cs="Times New Roman"/>
                <w:b/>
                <w:bCs/>
                <w:color w:val="auto"/>
                <w:sz w:val="21"/>
                <w:szCs w:val="21"/>
                <w:highlight w:val="none"/>
                <w:lang w:eastAsia="zh-CN"/>
              </w:rPr>
              <w:fldChar w:fldCharType="separate"/>
            </w:r>
            <w:r>
              <w:rPr>
                <w:rFonts w:hint="default" w:ascii="Times New Roman" w:hAnsi="Times New Roman" w:eastAsia="宋体" w:cs="Times New Roman"/>
                <w:b/>
                <w:bCs/>
                <w:color w:val="auto"/>
                <w:sz w:val="21"/>
                <w:szCs w:val="21"/>
                <w:highlight w:val="none"/>
                <w:lang w:eastAsia="zh-CN"/>
              </w:rPr>
              <w:t>6</w:t>
            </w:r>
            <w:r>
              <w:rPr>
                <w:rFonts w:hint="default" w:ascii="Times New Roman" w:hAnsi="Times New Roman" w:eastAsia="宋体" w:cs="Times New Roman"/>
                <w:b/>
                <w:bCs/>
                <w:color w:val="auto"/>
                <w:sz w:val="21"/>
                <w:szCs w:val="21"/>
                <w:highlight w:val="none"/>
                <w:lang w:eastAsia="zh-CN"/>
              </w:rPr>
              <w:fldChar w:fldCharType="end"/>
            </w:r>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lang w:eastAsia="zh-CN"/>
              </w:rPr>
              <w:t>饮食业油烟排放标准</w:t>
            </w:r>
          </w:p>
          <w:tbl>
            <w:tblPr>
              <w:tblStyle w:val="34"/>
              <w:tblW w:w="8589"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9"/>
              <w:gridCol w:w="1512"/>
              <w:gridCol w:w="1061"/>
              <w:gridCol w:w="2470"/>
              <w:gridCol w:w="2107"/>
            </w:tblGrid>
            <w:tr w14:paraId="5739B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39" w:type="dxa"/>
                  <w:tcBorders>
                    <w:tl2br w:val="nil"/>
                    <w:tr2bl w:val="nil"/>
                  </w:tcBorders>
                  <w:vAlign w:val="center"/>
                </w:tcPr>
                <w:p w14:paraId="6D4D2EE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color w:val="auto"/>
                      <w:sz w:val="21"/>
                      <w:szCs w:val="21"/>
                      <w:highlight w:val="none"/>
                      <w:lang w:eastAsia="zh-CN" w:bidi="ar"/>
                    </w:rPr>
                  </w:pPr>
                  <w:r>
                    <w:rPr>
                      <w:rFonts w:hint="eastAsia" w:cs="Times New Roman"/>
                      <w:b/>
                      <w:bCs/>
                      <w:color w:val="auto"/>
                      <w:sz w:val="21"/>
                      <w:szCs w:val="21"/>
                      <w:highlight w:val="none"/>
                      <w:lang w:val="en-US" w:eastAsia="zh-CN" w:bidi="ar"/>
                    </w:rPr>
                    <w:t>污染物</w:t>
                  </w:r>
                </w:p>
              </w:tc>
              <w:tc>
                <w:tcPr>
                  <w:tcW w:w="1512" w:type="dxa"/>
                  <w:tcBorders>
                    <w:tl2br w:val="nil"/>
                    <w:tr2bl w:val="nil"/>
                  </w:tcBorders>
                  <w:vAlign w:val="center"/>
                </w:tcPr>
                <w:p w14:paraId="1C8F67D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bidi="ar"/>
                    </w:rPr>
                  </w:pPr>
                  <w:r>
                    <w:rPr>
                      <w:rFonts w:hint="eastAsia" w:cs="Times New Roman"/>
                      <w:b/>
                      <w:bCs/>
                      <w:color w:val="auto"/>
                      <w:sz w:val="21"/>
                      <w:szCs w:val="21"/>
                      <w:highlight w:val="none"/>
                      <w:lang w:val="en-US" w:eastAsia="zh-CN" w:bidi="ar"/>
                    </w:rPr>
                    <w:t>项目灶头数</w:t>
                  </w:r>
                </w:p>
              </w:tc>
              <w:tc>
                <w:tcPr>
                  <w:tcW w:w="1061" w:type="dxa"/>
                  <w:tcBorders>
                    <w:tl2br w:val="nil"/>
                    <w:tr2bl w:val="nil"/>
                  </w:tcBorders>
                  <w:vAlign w:val="center"/>
                </w:tcPr>
                <w:p w14:paraId="568127A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color w:val="auto"/>
                      <w:sz w:val="21"/>
                      <w:szCs w:val="21"/>
                      <w:highlight w:val="none"/>
                      <w:lang w:val="en-US" w:eastAsia="zh-CN" w:bidi="ar"/>
                    </w:rPr>
                  </w:pPr>
                  <w:r>
                    <w:rPr>
                      <w:rFonts w:hint="eastAsia" w:cs="Times New Roman"/>
                      <w:b/>
                      <w:bCs/>
                      <w:color w:val="auto"/>
                      <w:sz w:val="21"/>
                      <w:szCs w:val="21"/>
                      <w:highlight w:val="none"/>
                      <w:lang w:val="en-US" w:eastAsia="zh-CN" w:bidi="ar"/>
                    </w:rPr>
                    <w:t>规模</w:t>
                  </w:r>
                </w:p>
              </w:tc>
              <w:tc>
                <w:tcPr>
                  <w:tcW w:w="2470" w:type="dxa"/>
                  <w:tcBorders>
                    <w:tl2br w:val="nil"/>
                    <w:tr2bl w:val="nil"/>
                  </w:tcBorders>
                  <w:vAlign w:val="center"/>
                </w:tcPr>
                <w:p w14:paraId="2ABF317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bidi="ar"/>
                    </w:rPr>
                  </w:pPr>
                  <w:r>
                    <w:rPr>
                      <w:rFonts w:hint="eastAsia" w:cs="Times New Roman"/>
                      <w:b/>
                      <w:bCs/>
                      <w:color w:val="auto"/>
                      <w:sz w:val="21"/>
                      <w:szCs w:val="21"/>
                      <w:highlight w:val="none"/>
                      <w:lang w:val="en-US" w:eastAsia="zh-CN" w:bidi="ar"/>
                    </w:rPr>
                    <w:t>最高允许排放浓度（mg/m</w:t>
                  </w:r>
                  <w:r>
                    <w:rPr>
                      <w:rFonts w:hint="eastAsia" w:cs="Times New Roman"/>
                      <w:b/>
                      <w:bCs/>
                      <w:color w:val="auto"/>
                      <w:sz w:val="21"/>
                      <w:szCs w:val="21"/>
                      <w:highlight w:val="none"/>
                      <w:vertAlign w:val="superscript"/>
                      <w:lang w:val="en-US" w:eastAsia="zh-CN" w:bidi="ar"/>
                    </w:rPr>
                    <w:t>3</w:t>
                  </w:r>
                  <w:r>
                    <w:rPr>
                      <w:rFonts w:hint="eastAsia" w:cs="Times New Roman"/>
                      <w:b/>
                      <w:bCs/>
                      <w:color w:val="auto"/>
                      <w:sz w:val="21"/>
                      <w:szCs w:val="21"/>
                      <w:highlight w:val="none"/>
                      <w:lang w:val="en-US" w:eastAsia="zh-CN" w:bidi="ar"/>
                    </w:rPr>
                    <w:t>）</w:t>
                  </w:r>
                </w:p>
              </w:tc>
              <w:tc>
                <w:tcPr>
                  <w:tcW w:w="2107" w:type="dxa"/>
                  <w:tcBorders>
                    <w:tl2br w:val="nil"/>
                    <w:tr2bl w:val="nil"/>
                  </w:tcBorders>
                  <w:vAlign w:val="center"/>
                </w:tcPr>
                <w:p w14:paraId="7E4E2F8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bidi="ar"/>
                    </w:rPr>
                  </w:pPr>
                  <w:r>
                    <w:rPr>
                      <w:rFonts w:hint="eastAsia" w:cs="Times New Roman"/>
                      <w:b/>
                      <w:bCs/>
                      <w:color w:val="auto"/>
                      <w:sz w:val="21"/>
                      <w:szCs w:val="21"/>
                      <w:highlight w:val="none"/>
                      <w:lang w:val="en-US" w:eastAsia="zh-CN" w:bidi="ar"/>
                    </w:rPr>
                    <w:t>净化设施最低去除效率（%）</w:t>
                  </w:r>
                </w:p>
              </w:tc>
            </w:tr>
            <w:tr w14:paraId="336B1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39" w:type="dxa"/>
                  <w:tcBorders>
                    <w:tl2br w:val="nil"/>
                    <w:tr2bl w:val="nil"/>
                  </w:tcBorders>
                  <w:vAlign w:val="center"/>
                </w:tcPr>
                <w:p w14:paraId="0A7AE67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bidi="ar"/>
                    </w:rPr>
                  </w:pPr>
                  <w:r>
                    <w:rPr>
                      <w:rFonts w:hint="eastAsia" w:cs="Times New Roman"/>
                      <w:b w:val="0"/>
                      <w:bCs w:val="0"/>
                      <w:color w:val="auto"/>
                      <w:sz w:val="21"/>
                      <w:szCs w:val="21"/>
                      <w:highlight w:val="none"/>
                      <w:lang w:val="en-US" w:eastAsia="zh-CN" w:bidi="ar"/>
                    </w:rPr>
                    <w:t>食堂油烟</w:t>
                  </w:r>
                </w:p>
              </w:tc>
              <w:tc>
                <w:tcPr>
                  <w:tcW w:w="1512" w:type="dxa"/>
                  <w:tcBorders>
                    <w:tl2br w:val="nil"/>
                    <w:tr2bl w:val="nil"/>
                  </w:tcBorders>
                  <w:vAlign w:val="center"/>
                </w:tcPr>
                <w:p w14:paraId="0CAA290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bidi="ar"/>
                    </w:rPr>
                  </w:pPr>
                  <w:r>
                    <w:rPr>
                      <w:rFonts w:hint="eastAsia" w:cs="Times New Roman"/>
                      <w:b w:val="0"/>
                      <w:bCs w:val="0"/>
                      <w:color w:val="auto"/>
                      <w:sz w:val="21"/>
                      <w:szCs w:val="21"/>
                      <w:highlight w:val="none"/>
                      <w:lang w:val="en-US" w:eastAsia="zh-CN" w:bidi="ar"/>
                    </w:rPr>
                    <w:t>≥6</w:t>
                  </w:r>
                </w:p>
              </w:tc>
              <w:tc>
                <w:tcPr>
                  <w:tcW w:w="1061" w:type="dxa"/>
                  <w:tcBorders>
                    <w:tl2br w:val="nil"/>
                    <w:tr2bl w:val="nil"/>
                  </w:tcBorders>
                  <w:vAlign w:val="center"/>
                </w:tcPr>
                <w:p w14:paraId="667C972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bidi="ar"/>
                    </w:rPr>
                  </w:pPr>
                  <w:r>
                    <w:rPr>
                      <w:rFonts w:hint="eastAsia" w:cs="Times New Roman"/>
                      <w:b w:val="0"/>
                      <w:bCs w:val="0"/>
                      <w:color w:val="auto"/>
                      <w:sz w:val="21"/>
                      <w:szCs w:val="21"/>
                      <w:highlight w:val="none"/>
                      <w:lang w:val="en-US" w:eastAsia="zh-CN" w:bidi="ar"/>
                    </w:rPr>
                    <w:t>大型</w:t>
                  </w:r>
                </w:p>
              </w:tc>
              <w:tc>
                <w:tcPr>
                  <w:tcW w:w="2470" w:type="dxa"/>
                  <w:tcBorders>
                    <w:tl2br w:val="nil"/>
                    <w:tr2bl w:val="nil"/>
                  </w:tcBorders>
                  <w:vAlign w:val="center"/>
                </w:tcPr>
                <w:p w14:paraId="4A4AE9A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bidi="ar"/>
                    </w:rPr>
                  </w:pPr>
                  <w:r>
                    <w:rPr>
                      <w:rFonts w:hint="eastAsia" w:cs="Times New Roman"/>
                      <w:b w:val="0"/>
                      <w:bCs w:val="0"/>
                      <w:color w:val="auto"/>
                      <w:sz w:val="21"/>
                      <w:szCs w:val="21"/>
                      <w:highlight w:val="none"/>
                      <w:lang w:val="en-US" w:eastAsia="zh-CN" w:bidi="ar"/>
                    </w:rPr>
                    <w:t>2.0</w:t>
                  </w:r>
                </w:p>
              </w:tc>
              <w:tc>
                <w:tcPr>
                  <w:tcW w:w="2107" w:type="dxa"/>
                  <w:tcBorders>
                    <w:tl2br w:val="nil"/>
                    <w:tr2bl w:val="nil"/>
                  </w:tcBorders>
                  <w:vAlign w:val="center"/>
                </w:tcPr>
                <w:p w14:paraId="3EC8917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bidi="ar"/>
                    </w:rPr>
                  </w:pPr>
                  <w:r>
                    <w:rPr>
                      <w:rFonts w:hint="eastAsia" w:cs="Times New Roman"/>
                      <w:b w:val="0"/>
                      <w:bCs w:val="0"/>
                      <w:color w:val="auto"/>
                      <w:sz w:val="21"/>
                      <w:szCs w:val="21"/>
                      <w:highlight w:val="none"/>
                      <w:lang w:val="en-US" w:eastAsia="zh-CN" w:bidi="ar"/>
                    </w:rPr>
                    <w:t>85</w:t>
                  </w:r>
                </w:p>
              </w:tc>
            </w:tr>
          </w:tbl>
          <w:p w14:paraId="58C61526">
            <w:pPr>
              <w:pStyle w:val="3"/>
              <w:keepNext w:val="0"/>
              <w:keepLines w:val="0"/>
              <w:pageBreakBefore w:val="0"/>
              <w:widowControl w:val="0"/>
              <w:kinsoku/>
              <w:wordWrap/>
              <w:overflowPunct/>
              <w:topLinePunct w:val="0"/>
              <w:autoSpaceDE/>
              <w:autoSpaceDN/>
              <w:bidi w:val="0"/>
              <w:adjustRightInd/>
              <w:snapToGrid/>
              <w:ind w:left="202" w:leftChars="0" w:firstLine="482" w:firstLineChars="0"/>
              <w:textAlignment w:val="auto"/>
              <w:rPr>
                <w:rFonts w:hint="eastAsia"/>
                <w:b/>
                <w:bCs/>
                <w:color w:val="auto"/>
                <w:highlight w:val="none"/>
                <w:lang w:val="en-US" w:eastAsia="zh-CN"/>
              </w:rPr>
            </w:pPr>
            <w:bookmarkStart w:id="32" w:name="_Toc5381"/>
            <w:bookmarkStart w:id="33" w:name="_Toc9436"/>
            <w:r>
              <w:rPr>
                <w:rFonts w:hint="eastAsia"/>
                <w:b/>
                <w:bCs/>
                <w:color w:val="auto"/>
                <w:highlight w:val="none"/>
                <w:lang w:val="en-US" w:eastAsia="zh-CN"/>
              </w:rPr>
              <w:t>废水</w:t>
            </w:r>
            <w:bookmarkEnd w:id="32"/>
            <w:bookmarkEnd w:id="33"/>
          </w:p>
          <w:p w14:paraId="3B685D24">
            <w:pPr>
              <w:topLinePunct/>
              <w:ind w:firstLine="480"/>
              <w:rPr>
                <w:rFonts w:hint="eastAsia" w:cs="Times New Roman"/>
                <w:b w:val="0"/>
                <w:bCs w:val="0"/>
                <w:color w:val="auto"/>
                <w:sz w:val="24"/>
                <w:szCs w:val="24"/>
                <w:highlight w:val="none"/>
                <w:lang w:val="en-US" w:eastAsia="zh-CN"/>
              </w:rPr>
            </w:pPr>
            <w:r>
              <w:rPr>
                <w:rFonts w:hint="default" w:ascii="Times New Roman" w:hAnsi="Times New Roman" w:cs="Times New Roman"/>
                <w:color w:val="auto"/>
                <w:highlight w:val="none"/>
                <w:lang w:val="en-US" w:eastAsia="zh-CN"/>
              </w:rPr>
              <w:t>本项目运营期经化粪池处理后通过校区总排口排入市政污水管网，食堂废水经隔油池预处理后进入化粪池最后由学校总排口排入市政污水管网，化学及生物实验室废水单独设置排水系统，收集至室外酸碱中和池调节后进入化粪池处理通过校区总排口排入市政污水管网。碱喷淋装置废水经酸碱中和池处理后进入化粪池处理，通过校区总排口排入市政污水管网，最终进入</w:t>
            </w:r>
            <w:r>
              <w:rPr>
                <w:rFonts w:hint="eastAsia" w:cs="Times New Roman"/>
                <w:color w:val="auto"/>
                <w:highlight w:val="none"/>
                <w:lang w:val="en-US" w:eastAsia="zh-CN"/>
              </w:rPr>
              <w:t>壶关县第二</w:t>
            </w:r>
            <w:r>
              <w:rPr>
                <w:rFonts w:hint="default" w:ascii="Times New Roman" w:hAnsi="Times New Roman" w:cs="Times New Roman"/>
                <w:color w:val="auto"/>
                <w:highlight w:val="none"/>
                <w:lang w:val="en-US" w:eastAsia="zh-CN"/>
              </w:rPr>
              <w:t>污水处理厂。</w:t>
            </w:r>
            <w:r>
              <w:rPr>
                <w:rFonts w:hint="eastAsia" w:cs="Times New Roman"/>
                <w:color w:val="auto"/>
                <w:highlight w:val="none"/>
                <w:lang w:val="en-US" w:eastAsia="zh-CN"/>
              </w:rPr>
              <w:t>污水排放标准执行《污水排入城镇下水道水质标准》（GB/T31962-2015）中A级标准。</w:t>
            </w:r>
            <w:r>
              <w:rPr>
                <w:rFonts w:hint="eastAsia" w:cs="Times New Roman"/>
                <w:b w:val="0"/>
                <w:bCs w:val="0"/>
                <w:color w:val="auto"/>
                <w:sz w:val="24"/>
                <w:szCs w:val="24"/>
                <w:highlight w:val="none"/>
                <w:lang w:val="en-US" w:eastAsia="zh-CN"/>
              </w:rPr>
              <w:t>见</w:t>
            </w:r>
            <w:r>
              <w:rPr>
                <w:rFonts w:hint="default" w:ascii="Times New Roman" w:hAnsi="Times New Roman" w:cs="Times New Roman"/>
                <w:b w:val="0"/>
                <w:bCs w:val="0"/>
                <w:color w:val="auto"/>
                <w:sz w:val="24"/>
                <w:szCs w:val="24"/>
                <w:highlight w:val="none"/>
                <w:lang w:val="en-US" w:eastAsia="zh-CN"/>
              </w:rPr>
              <w:fldChar w:fldCharType="begin"/>
            </w:r>
            <w:r>
              <w:rPr>
                <w:rFonts w:hint="default" w:ascii="Times New Roman" w:hAnsi="Times New Roman" w:cs="Times New Roman"/>
                <w:b w:val="0"/>
                <w:bCs w:val="0"/>
                <w:color w:val="auto"/>
                <w:sz w:val="24"/>
                <w:szCs w:val="24"/>
                <w:highlight w:val="none"/>
                <w:lang w:val="en-US" w:eastAsia="zh-CN"/>
              </w:rPr>
              <w:instrText xml:space="preserve"> REF _Ref6629 \h </w:instrText>
            </w:r>
            <w:r>
              <w:rPr>
                <w:rFonts w:hint="default" w:ascii="Times New Roman" w:hAnsi="Times New Roman" w:cs="Times New Roman"/>
                <w:b w:val="0"/>
                <w:bCs w:val="0"/>
                <w:color w:val="auto"/>
                <w:sz w:val="24"/>
                <w:szCs w:val="24"/>
                <w:highlight w:val="none"/>
                <w:lang w:val="en-US" w:eastAsia="zh-CN"/>
              </w:rPr>
              <w:fldChar w:fldCharType="separate"/>
            </w:r>
            <w:r>
              <w:rPr>
                <w:rFonts w:hint="default" w:ascii="Times New Roman" w:hAnsi="Times New Roman" w:eastAsia="宋体" w:cs="Times New Roman"/>
                <w:b w:val="0"/>
                <w:bCs w:val="0"/>
                <w:color w:val="auto"/>
                <w:sz w:val="24"/>
                <w:szCs w:val="24"/>
                <w:highlight w:val="none"/>
                <w:lang w:eastAsia="zh-CN"/>
              </w:rPr>
              <w:t>表</w:t>
            </w:r>
            <w:r>
              <w:rPr>
                <w:rFonts w:hint="default" w:ascii="Times New Roman" w:hAnsi="Times New Roman" w:eastAsia="宋体" w:cs="Times New Roman"/>
                <w:b w:val="0"/>
                <w:bCs w:val="0"/>
                <w:color w:val="auto"/>
                <w:sz w:val="24"/>
                <w:szCs w:val="24"/>
                <w:highlight w:val="none"/>
              </w:rPr>
              <w:fldChar w:fldCharType="begin"/>
            </w:r>
            <w:r>
              <w:rPr>
                <w:rFonts w:hint="default" w:ascii="Times New Roman" w:hAnsi="Times New Roman" w:eastAsia="宋体" w:cs="Times New Roman"/>
                <w:b w:val="0"/>
                <w:bCs w:val="0"/>
                <w:color w:val="auto"/>
                <w:sz w:val="24"/>
                <w:szCs w:val="24"/>
                <w:highlight w:val="none"/>
              </w:rPr>
              <w:instrText xml:space="preserve"> STYLEREF 1 \s </w:instrText>
            </w:r>
            <w:r>
              <w:rPr>
                <w:rFonts w:hint="default" w:ascii="Times New Roman" w:hAnsi="Times New Roman" w:eastAsia="宋体" w:cs="Times New Roman"/>
                <w:b w:val="0"/>
                <w:bCs w:val="0"/>
                <w:color w:val="auto"/>
                <w:sz w:val="24"/>
                <w:szCs w:val="24"/>
                <w:highlight w:val="none"/>
              </w:rPr>
              <w:fldChar w:fldCharType="separate"/>
            </w:r>
            <w:r>
              <w:rPr>
                <w:rFonts w:hint="default" w:ascii="Times New Roman" w:hAnsi="Times New Roman" w:eastAsia="宋体" w:cs="Times New Roman"/>
                <w:b w:val="0"/>
                <w:bCs w:val="0"/>
                <w:color w:val="auto"/>
                <w:sz w:val="24"/>
                <w:szCs w:val="24"/>
                <w:highlight w:val="none"/>
              </w:rPr>
              <w:t>3</w:t>
            </w:r>
            <w:r>
              <w:rPr>
                <w:rFonts w:hint="default" w:ascii="Times New Roman" w:hAnsi="Times New Roman" w:eastAsia="宋体" w:cs="Times New Roman"/>
                <w:b w:val="0"/>
                <w:bCs w:val="0"/>
                <w:color w:val="auto"/>
                <w:sz w:val="24"/>
                <w:szCs w:val="24"/>
                <w:highlight w:val="none"/>
              </w:rPr>
              <w:fldChar w:fldCharType="end"/>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rPr>
              <w:t>7</w:t>
            </w:r>
            <w:r>
              <w:rPr>
                <w:rFonts w:hint="default" w:ascii="Times New Roman" w:hAnsi="Times New Roman" w:cs="Times New Roman"/>
                <w:b w:val="0"/>
                <w:bCs w:val="0"/>
                <w:color w:val="auto"/>
                <w:sz w:val="24"/>
                <w:szCs w:val="24"/>
                <w:highlight w:val="none"/>
                <w:lang w:val="en-US" w:eastAsia="zh-CN"/>
              </w:rPr>
              <w:fldChar w:fldCharType="end"/>
            </w:r>
            <w:r>
              <w:rPr>
                <w:rFonts w:hint="eastAsia" w:cs="Times New Roman"/>
                <w:b w:val="0"/>
                <w:bCs w:val="0"/>
                <w:color w:val="auto"/>
                <w:sz w:val="24"/>
                <w:szCs w:val="24"/>
                <w:highlight w:val="none"/>
                <w:lang w:val="en-US" w:eastAsia="zh-CN"/>
              </w:rPr>
              <w:t>。</w:t>
            </w:r>
          </w:p>
          <w:p w14:paraId="67AFA921">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21"/>
                <w:szCs w:val="21"/>
                <w:highlight w:val="none"/>
              </w:rPr>
            </w:pPr>
            <w:bookmarkStart w:id="34" w:name="_Ref6629"/>
            <w:bookmarkStart w:id="35" w:name="_Ref29277"/>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STYLEREF 1 \s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3</w:t>
            </w:r>
            <w:r>
              <w:rPr>
                <w:rFonts w:hint="default" w:ascii="Times New Roman" w:hAnsi="Times New Roman" w:eastAsia="宋体" w:cs="Times New Roman"/>
                <w:b/>
                <w:bCs/>
                <w:color w:val="auto"/>
                <w:sz w:val="21"/>
                <w:szCs w:val="21"/>
                <w:highlight w:val="none"/>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SEQ 表 \* ARABIC \s 1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7</w:t>
            </w:r>
            <w:r>
              <w:rPr>
                <w:rFonts w:hint="default" w:ascii="Times New Roman" w:hAnsi="Times New Roman" w:eastAsia="宋体" w:cs="Times New Roman"/>
                <w:b/>
                <w:bCs/>
                <w:color w:val="auto"/>
                <w:sz w:val="21"/>
                <w:szCs w:val="21"/>
                <w:highlight w:val="none"/>
              </w:rPr>
              <w:fldChar w:fldCharType="end"/>
            </w:r>
            <w:bookmarkEnd w:id="34"/>
            <w:r>
              <w:rPr>
                <w:rFonts w:hint="eastAsia" w:cs="Times New Roman"/>
                <w:b/>
                <w:bCs/>
                <w:color w:val="auto"/>
                <w:sz w:val="21"/>
                <w:szCs w:val="21"/>
                <w:highlight w:val="none"/>
                <w:lang w:val="en-US" w:eastAsia="zh-CN"/>
              </w:rPr>
              <w:t xml:space="preserve"> </w:t>
            </w:r>
            <w:r>
              <w:rPr>
                <w:rFonts w:hint="default" w:ascii="Times New Roman" w:hAnsi="Times New Roman" w:cs="Times New Roman" w:eastAsiaTheme="minorEastAsia"/>
                <w:b/>
                <w:bCs/>
                <w:color w:val="auto"/>
                <w:sz w:val="21"/>
                <w:szCs w:val="21"/>
                <w:highlight w:val="none"/>
              </w:rPr>
              <w:t>《污水排入城镇下水道水质标准》（GB/T31962-2015）中A</w:t>
            </w:r>
            <w:r>
              <w:rPr>
                <w:rFonts w:hint="eastAsia" w:cs="Times New Roman" w:eastAsiaTheme="minorEastAsia"/>
                <w:b/>
                <w:bCs/>
                <w:color w:val="auto"/>
                <w:sz w:val="21"/>
                <w:szCs w:val="21"/>
                <w:highlight w:val="none"/>
                <w:lang w:val="en-US" w:eastAsia="zh-CN"/>
              </w:rPr>
              <w:t>级</w:t>
            </w:r>
            <w:r>
              <w:rPr>
                <w:rFonts w:hint="default" w:ascii="Times New Roman" w:hAnsi="Times New Roman" w:cs="Times New Roman" w:eastAsiaTheme="minorEastAsia"/>
                <w:b/>
                <w:bCs/>
                <w:color w:val="auto"/>
                <w:sz w:val="21"/>
                <w:szCs w:val="21"/>
                <w:highlight w:val="none"/>
              </w:rPr>
              <w:t>标准</w:t>
            </w:r>
            <w:r>
              <w:rPr>
                <w:rFonts w:hint="eastAsia" w:ascii="Times New Roman" w:hAnsi="Times New Roman" w:cs="Times New Roman" w:eastAsiaTheme="minorEastAsia"/>
                <w:b/>
                <w:bCs/>
                <w:color w:val="auto"/>
                <w:sz w:val="21"/>
                <w:szCs w:val="21"/>
                <w:highlight w:val="none"/>
                <w:lang w:val="en-US" w:eastAsia="zh-CN"/>
              </w:rPr>
              <w:t xml:space="preserve"> </w:t>
            </w:r>
            <w:r>
              <w:rPr>
                <w:rFonts w:hint="default" w:ascii="Times New Roman" w:hAnsi="Times New Roman" w:cs="Times New Roman" w:eastAsiaTheme="minorEastAsia"/>
                <w:b/>
                <w:bCs/>
                <w:color w:val="auto"/>
                <w:sz w:val="21"/>
                <w:szCs w:val="21"/>
                <w:highlight w:val="none"/>
              </w:rPr>
              <w:t xml:space="preserve">  单位：mg/m</w:t>
            </w:r>
            <w:r>
              <w:rPr>
                <w:rFonts w:hint="default" w:ascii="Times New Roman" w:hAnsi="Times New Roman" w:cs="Times New Roman" w:eastAsiaTheme="minorEastAsia"/>
                <w:b/>
                <w:bCs/>
                <w:color w:val="auto"/>
                <w:sz w:val="21"/>
                <w:szCs w:val="21"/>
                <w:highlight w:val="none"/>
                <w:vertAlign w:val="superscript"/>
              </w:rPr>
              <w:t>3</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962"/>
              <w:gridCol w:w="1326"/>
              <w:gridCol w:w="1560"/>
              <w:gridCol w:w="1379"/>
              <w:gridCol w:w="1178"/>
              <w:gridCol w:w="1179"/>
            </w:tblGrid>
            <w:tr w14:paraId="7459A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142" w:type="pct"/>
                  <w:tcBorders>
                    <w:tl2br w:val="nil"/>
                    <w:tr2bl w:val="nil"/>
                  </w:tcBorders>
                  <w:vAlign w:val="center"/>
                </w:tcPr>
                <w:p w14:paraId="347D5D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highlight w:val="none"/>
                      <w:lang w:val="en-US" w:eastAsia="zh-CN" w:bidi="ar"/>
                    </w:rPr>
                  </w:pPr>
                  <w:r>
                    <w:rPr>
                      <w:rFonts w:hint="eastAsia" w:ascii="Times New Roman" w:hAnsi="Times New Roman" w:eastAsia="宋体" w:cs="Times New Roman"/>
                      <w:b/>
                      <w:bCs/>
                      <w:color w:val="auto"/>
                      <w:sz w:val="21"/>
                      <w:szCs w:val="21"/>
                      <w:highlight w:val="none"/>
                      <w:lang w:val="en-US" w:eastAsia="zh-CN" w:bidi="ar"/>
                    </w:rPr>
                    <w:t>污染物名称</w:t>
                  </w:r>
                </w:p>
              </w:tc>
              <w:tc>
                <w:tcPr>
                  <w:tcW w:w="772" w:type="pct"/>
                  <w:tcBorders>
                    <w:tl2br w:val="nil"/>
                    <w:tr2bl w:val="nil"/>
                  </w:tcBorders>
                  <w:vAlign w:val="center"/>
                </w:tcPr>
                <w:p w14:paraId="6374C8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highlight w:val="none"/>
                      <w:lang w:val="en-US" w:eastAsia="zh-CN" w:bidi="ar"/>
                    </w:rPr>
                  </w:pPr>
                  <w:r>
                    <w:rPr>
                      <w:rFonts w:hint="eastAsia" w:ascii="Times New Roman" w:hAnsi="Times New Roman" w:eastAsia="宋体" w:cs="Times New Roman"/>
                      <w:b/>
                      <w:bCs/>
                      <w:color w:val="auto"/>
                      <w:sz w:val="21"/>
                      <w:szCs w:val="21"/>
                      <w:highlight w:val="none"/>
                      <w:lang w:val="en-US" w:eastAsia="zh-CN" w:bidi="ar"/>
                    </w:rPr>
                    <w:t>COD</w:t>
                  </w:r>
                  <w:r>
                    <w:rPr>
                      <w:rFonts w:hint="eastAsia" w:ascii="Times New Roman" w:hAnsi="Times New Roman" w:eastAsia="宋体" w:cs="Times New Roman"/>
                      <w:b/>
                      <w:bCs/>
                      <w:color w:val="auto"/>
                      <w:sz w:val="21"/>
                      <w:szCs w:val="21"/>
                      <w:highlight w:val="none"/>
                      <w:vertAlign w:val="subscript"/>
                      <w:lang w:val="en-US" w:eastAsia="zh-CN" w:bidi="ar"/>
                    </w:rPr>
                    <w:t>cr</w:t>
                  </w:r>
                </w:p>
              </w:tc>
              <w:tc>
                <w:tcPr>
                  <w:tcW w:w="908" w:type="pct"/>
                  <w:tcBorders>
                    <w:tl2br w:val="nil"/>
                    <w:tr2bl w:val="nil"/>
                  </w:tcBorders>
                  <w:vAlign w:val="center"/>
                </w:tcPr>
                <w:p w14:paraId="67745C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highlight w:val="none"/>
                      <w:lang w:val="en-US" w:eastAsia="zh-CN" w:bidi="ar"/>
                    </w:rPr>
                  </w:pPr>
                  <w:r>
                    <w:rPr>
                      <w:rFonts w:hint="eastAsia" w:ascii="Times New Roman" w:hAnsi="Times New Roman" w:eastAsia="宋体" w:cs="Times New Roman"/>
                      <w:b/>
                      <w:bCs/>
                      <w:color w:val="auto"/>
                      <w:sz w:val="21"/>
                      <w:szCs w:val="21"/>
                      <w:highlight w:val="none"/>
                      <w:lang w:val="en-US" w:eastAsia="zh-CN" w:bidi="ar"/>
                    </w:rPr>
                    <w:t>BOD</w:t>
                  </w:r>
                  <w:r>
                    <w:rPr>
                      <w:rFonts w:hint="eastAsia" w:ascii="Times New Roman" w:hAnsi="Times New Roman" w:eastAsia="宋体" w:cs="Times New Roman"/>
                      <w:b/>
                      <w:bCs/>
                      <w:color w:val="auto"/>
                      <w:sz w:val="21"/>
                      <w:szCs w:val="21"/>
                      <w:highlight w:val="none"/>
                      <w:vertAlign w:val="subscript"/>
                      <w:lang w:val="en-US" w:eastAsia="zh-CN" w:bidi="ar"/>
                    </w:rPr>
                    <w:t>5</w:t>
                  </w:r>
                </w:p>
              </w:tc>
              <w:tc>
                <w:tcPr>
                  <w:tcW w:w="803" w:type="pct"/>
                  <w:tcBorders>
                    <w:tl2br w:val="nil"/>
                    <w:tr2bl w:val="nil"/>
                  </w:tcBorders>
                  <w:vAlign w:val="center"/>
                </w:tcPr>
                <w:p w14:paraId="4F08EB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1"/>
                      <w:highlight w:val="none"/>
                      <w:lang w:val="en-US" w:eastAsia="zh-CN" w:bidi="ar"/>
                    </w:rPr>
                  </w:pPr>
                  <w:r>
                    <w:rPr>
                      <w:rFonts w:hint="eastAsia" w:ascii="Times New Roman" w:hAnsi="Times New Roman" w:eastAsia="宋体" w:cs="Times New Roman"/>
                      <w:b/>
                      <w:bCs/>
                      <w:color w:val="auto"/>
                      <w:sz w:val="21"/>
                      <w:szCs w:val="21"/>
                      <w:highlight w:val="none"/>
                      <w:lang w:val="en-US" w:eastAsia="zh-CN" w:bidi="ar"/>
                    </w:rPr>
                    <w:t>SS</w:t>
                  </w:r>
                </w:p>
              </w:tc>
              <w:tc>
                <w:tcPr>
                  <w:tcW w:w="686" w:type="pct"/>
                  <w:tcBorders>
                    <w:tl2br w:val="nil"/>
                    <w:tr2bl w:val="nil"/>
                  </w:tcBorders>
                  <w:vAlign w:val="center"/>
                </w:tcPr>
                <w:p w14:paraId="15C600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bidi="ar"/>
                    </w:rPr>
                  </w:pPr>
                  <w:r>
                    <w:rPr>
                      <w:rFonts w:hint="eastAsia" w:ascii="Times New Roman" w:hAnsi="Times New Roman" w:eastAsia="宋体" w:cs="Times New Roman"/>
                      <w:b/>
                      <w:bCs/>
                      <w:color w:val="auto"/>
                      <w:sz w:val="21"/>
                      <w:szCs w:val="21"/>
                      <w:highlight w:val="none"/>
                      <w:lang w:val="en-US" w:eastAsia="zh-CN" w:bidi="ar"/>
                    </w:rPr>
                    <w:t>NH</w:t>
                  </w:r>
                  <w:r>
                    <w:rPr>
                      <w:rFonts w:hint="eastAsia" w:ascii="Times New Roman" w:hAnsi="Times New Roman" w:eastAsia="宋体" w:cs="Times New Roman"/>
                      <w:b/>
                      <w:bCs/>
                      <w:color w:val="auto"/>
                      <w:sz w:val="21"/>
                      <w:szCs w:val="21"/>
                      <w:highlight w:val="none"/>
                      <w:vertAlign w:val="subscript"/>
                      <w:lang w:val="en-US" w:eastAsia="zh-CN" w:bidi="ar"/>
                    </w:rPr>
                    <w:t>3</w:t>
                  </w:r>
                  <w:r>
                    <w:rPr>
                      <w:rFonts w:hint="eastAsia" w:ascii="Times New Roman" w:hAnsi="Times New Roman" w:eastAsia="宋体" w:cs="Times New Roman"/>
                      <w:b/>
                      <w:bCs/>
                      <w:color w:val="auto"/>
                      <w:sz w:val="21"/>
                      <w:szCs w:val="21"/>
                      <w:highlight w:val="none"/>
                      <w:lang w:val="en-US" w:eastAsia="zh-CN" w:bidi="ar"/>
                    </w:rPr>
                    <w:t>-N</w:t>
                  </w:r>
                </w:p>
              </w:tc>
              <w:tc>
                <w:tcPr>
                  <w:tcW w:w="686" w:type="pct"/>
                  <w:tcBorders>
                    <w:tl2br w:val="nil"/>
                    <w:tr2bl w:val="nil"/>
                  </w:tcBorders>
                  <w:vAlign w:val="center"/>
                </w:tcPr>
                <w:p w14:paraId="0DAFB7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bidi="ar"/>
                    </w:rPr>
                  </w:pPr>
                  <w:r>
                    <w:rPr>
                      <w:rFonts w:hint="eastAsia" w:ascii="Times New Roman" w:hAnsi="Times New Roman" w:eastAsia="宋体" w:cs="Times New Roman"/>
                      <w:b/>
                      <w:bCs/>
                      <w:color w:val="auto"/>
                      <w:sz w:val="21"/>
                      <w:szCs w:val="21"/>
                      <w:highlight w:val="none"/>
                      <w:lang w:val="en-US" w:eastAsia="zh-CN" w:bidi="ar"/>
                    </w:rPr>
                    <w:t>动植物油</w:t>
                  </w:r>
                </w:p>
              </w:tc>
            </w:tr>
            <w:tr w14:paraId="1F628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142" w:type="pct"/>
                  <w:tcBorders>
                    <w:tl2br w:val="nil"/>
                    <w:tr2bl w:val="nil"/>
                  </w:tcBorders>
                  <w:vAlign w:val="center"/>
                </w:tcPr>
                <w:p w14:paraId="3111F3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bidi="ar"/>
                    </w:rPr>
                  </w:pPr>
                  <w:r>
                    <w:rPr>
                      <w:rFonts w:hint="eastAsia" w:ascii="Times New Roman" w:hAnsi="Times New Roman" w:eastAsia="宋体" w:cs="Times New Roman"/>
                      <w:b w:val="0"/>
                      <w:bCs w:val="0"/>
                      <w:color w:val="auto"/>
                      <w:sz w:val="21"/>
                      <w:szCs w:val="21"/>
                      <w:highlight w:val="none"/>
                      <w:lang w:val="en-US" w:eastAsia="zh-CN" w:bidi="ar"/>
                    </w:rPr>
                    <w:t>标准值</w:t>
                  </w:r>
                </w:p>
              </w:tc>
              <w:tc>
                <w:tcPr>
                  <w:tcW w:w="772" w:type="pct"/>
                  <w:tcBorders>
                    <w:tl2br w:val="nil"/>
                    <w:tr2bl w:val="nil"/>
                  </w:tcBorders>
                  <w:vAlign w:val="center"/>
                </w:tcPr>
                <w:p w14:paraId="3AB3C8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bidi="ar"/>
                    </w:rPr>
                  </w:pPr>
                  <w:r>
                    <w:rPr>
                      <w:rFonts w:hint="eastAsia" w:cs="Times New Roman"/>
                      <w:b w:val="0"/>
                      <w:bCs w:val="0"/>
                      <w:color w:val="auto"/>
                      <w:sz w:val="21"/>
                      <w:szCs w:val="21"/>
                      <w:highlight w:val="none"/>
                      <w:lang w:val="en-US" w:eastAsia="zh-CN" w:bidi="ar"/>
                    </w:rPr>
                    <w:t>500</w:t>
                  </w:r>
                </w:p>
              </w:tc>
              <w:tc>
                <w:tcPr>
                  <w:tcW w:w="908" w:type="pct"/>
                  <w:tcBorders>
                    <w:tl2br w:val="nil"/>
                    <w:tr2bl w:val="nil"/>
                  </w:tcBorders>
                  <w:vAlign w:val="center"/>
                </w:tcPr>
                <w:p w14:paraId="77C247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bidi="ar"/>
                    </w:rPr>
                  </w:pPr>
                  <w:r>
                    <w:rPr>
                      <w:rFonts w:hint="eastAsia" w:cs="Times New Roman"/>
                      <w:b w:val="0"/>
                      <w:bCs w:val="0"/>
                      <w:color w:val="auto"/>
                      <w:sz w:val="21"/>
                      <w:szCs w:val="21"/>
                      <w:highlight w:val="none"/>
                      <w:lang w:val="en-US" w:eastAsia="zh-CN" w:bidi="ar"/>
                    </w:rPr>
                    <w:t>350</w:t>
                  </w:r>
                </w:p>
              </w:tc>
              <w:tc>
                <w:tcPr>
                  <w:tcW w:w="803" w:type="pct"/>
                  <w:tcBorders>
                    <w:tl2br w:val="nil"/>
                    <w:tr2bl w:val="nil"/>
                  </w:tcBorders>
                  <w:vAlign w:val="center"/>
                </w:tcPr>
                <w:p w14:paraId="2F660F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bidi="ar"/>
                    </w:rPr>
                  </w:pPr>
                  <w:r>
                    <w:rPr>
                      <w:rFonts w:hint="eastAsia" w:cs="Times New Roman"/>
                      <w:b w:val="0"/>
                      <w:bCs w:val="0"/>
                      <w:color w:val="auto"/>
                      <w:sz w:val="21"/>
                      <w:szCs w:val="21"/>
                      <w:highlight w:val="none"/>
                      <w:lang w:val="en-US" w:eastAsia="zh-CN" w:bidi="ar"/>
                    </w:rPr>
                    <w:t>400</w:t>
                  </w:r>
                </w:p>
              </w:tc>
              <w:tc>
                <w:tcPr>
                  <w:tcW w:w="686" w:type="pct"/>
                  <w:tcBorders>
                    <w:tl2br w:val="nil"/>
                    <w:tr2bl w:val="nil"/>
                  </w:tcBorders>
                  <w:vAlign w:val="center"/>
                </w:tcPr>
                <w:p w14:paraId="3284CB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bidi="ar"/>
                    </w:rPr>
                  </w:pPr>
                  <w:r>
                    <w:rPr>
                      <w:rFonts w:hint="eastAsia" w:cs="Times New Roman"/>
                      <w:b w:val="0"/>
                      <w:bCs w:val="0"/>
                      <w:color w:val="auto"/>
                      <w:sz w:val="21"/>
                      <w:szCs w:val="21"/>
                      <w:highlight w:val="none"/>
                      <w:lang w:val="en-US" w:eastAsia="zh-CN" w:bidi="ar"/>
                    </w:rPr>
                    <w:t>45</w:t>
                  </w:r>
                </w:p>
              </w:tc>
              <w:tc>
                <w:tcPr>
                  <w:tcW w:w="686" w:type="pct"/>
                  <w:tcBorders>
                    <w:tl2br w:val="nil"/>
                    <w:tr2bl w:val="nil"/>
                  </w:tcBorders>
                  <w:vAlign w:val="center"/>
                </w:tcPr>
                <w:p w14:paraId="31269A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b w:val="0"/>
                      <w:bCs w:val="0"/>
                      <w:color w:val="auto"/>
                      <w:sz w:val="21"/>
                      <w:szCs w:val="21"/>
                      <w:highlight w:val="none"/>
                      <w:lang w:val="en-US" w:eastAsia="zh-CN" w:bidi="ar"/>
                    </w:rPr>
                  </w:pPr>
                  <w:r>
                    <w:rPr>
                      <w:rFonts w:hint="eastAsia" w:cs="Times New Roman"/>
                      <w:b w:val="0"/>
                      <w:bCs w:val="0"/>
                      <w:color w:val="auto"/>
                      <w:sz w:val="21"/>
                      <w:szCs w:val="21"/>
                      <w:highlight w:val="none"/>
                      <w:lang w:val="en-US" w:eastAsia="zh-CN" w:bidi="ar"/>
                    </w:rPr>
                    <w:t>100</w:t>
                  </w:r>
                </w:p>
              </w:tc>
            </w:tr>
            <w:bookmarkEnd w:id="35"/>
          </w:tbl>
          <w:p w14:paraId="12FBD048">
            <w:pPr>
              <w:pStyle w:val="3"/>
              <w:keepNext w:val="0"/>
              <w:keepLines w:val="0"/>
              <w:pageBreakBefore w:val="0"/>
              <w:widowControl w:val="0"/>
              <w:kinsoku/>
              <w:wordWrap/>
              <w:overflowPunct/>
              <w:topLinePunct w:val="0"/>
              <w:autoSpaceDE/>
              <w:autoSpaceDN/>
              <w:bidi w:val="0"/>
              <w:adjustRightInd/>
              <w:snapToGrid/>
              <w:ind w:left="202" w:leftChars="0" w:firstLine="482" w:firstLineChars="0"/>
              <w:textAlignment w:val="auto"/>
              <w:rPr>
                <w:rFonts w:hint="eastAsia"/>
                <w:b/>
                <w:bCs/>
                <w:color w:val="auto"/>
                <w:highlight w:val="none"/>
                <w:lang w:val="en-US" w:eastAsia="zh-CN"/>
              </w:rPr>
            </w:pPr>
            <w:bookmarkStart w:id="36" w:name="_Toc25424"/>
            <w:bookmarkStart w:id="37" w:name="_Toc28021"/>
            <w:r>
              <w:rPr>
                <w:rFonts w:hint="eastAsia"/>
                <w:b/>
                <w:bCs/>
                <w:color w:val="auto"/>
                <w:highlight w:val="none"/>
                <w:lang w:val="en-US" w:eastAsia="zh-CN"/>
              </w:rPr>
              <w:t>声环境</w:t>
            </w:r>
            <w:bookmarkEnd w:id="36"/>
            <w:bookmarkEnd w:id="37"/>
          </w:p>
          <w:p w14:paraId="031C8935">
            <w:pPr>
              <w:topLinePunct/>
              <w:ind w:firstLine="48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本项目施工期噪声排放执行《建筑施工场界环境噪声排放标准》 （GB12523-20</w:t>
            </w:r>
            <w:r>
              <w:rPr>
                <w:rFonts w:hint="eastAsia" w:cs="Times New Roman"/>
                <w:color w:val="auto"/>
                <w:highlight w:val="none"/>
                <w:lang w:val="en-US" w:eastAsia="zh-CN"/>
              </w:rPr>
              <w:t>25</w:t>
            </w:r>
            <w:r>
              <w:rPr>
                <w:rFonts w:hint="eastAsia" w:ascii="Times New Roman" w:hAnsi="Times New Roman" w:eastAsia="宋体" w:cs="Times New Roman"/>
                <w:color w:val="auto"/>
                <w:highlight w:val="none"/>
                <w:lang w:val="en-US" w:eastAsia="zh-CN"/>
              </w:rPr>
              <w:t>），具体标准限值见</w:t>
            </w:r>
            <w:r>
              <w:rPr>
                <w:rFonts w:hint="eastAsia" w:ascii="Times New Roman" w:hAnsi="Times New Roman" w:eastAsia="宋体" w:cs="Times New Roman"/>
                <w:b w:val="0"/>
                <w:bCs w:val="0"/>
                <w:color w:val="auto"/>
                <w:sz w:val="24"/>
                <w:szCs w:val="24"/>
                <w:highlight w:val="none"/>
                <w:lang w:val="en-US" w:eastAsia="zh-CN"/>
              </w:rPr>
              <w:fldChar w:fldCharType="begin"/>
            </w:r>
            <w:r>
              <w:rPr>
                <w:rFonts w:hint="eastAsia" w:ascii="Times New Roman" w:hAnsi="Times New Roman" w:eastAsia="宋体" w:cs="Times New Roman"/>
                <w:b w:val="0"/>
                <w:bCs w:val="0"/>
                <w:color w:val="auto"/>
                <w:sz w:val="24"/>
                <w:szCs w:val="24"/>
                <w:highlight w:val="none"/>
                <w:lang w:val="en-US" w:eastAsia="zh-CN"/>
              </w:rPr>
              <w:instrText xml:space="preserve"> REF _Ref13665 \h </w:instrText>
            </w:r>
            <w:r>
              <w:rPr>
                <w:rFonts w:hint="eastAsia" w:ascii="Times New Roman" w:hAnsi="Times New Roman" w:eastAsia="宋体" w:cs="Times New Roman"/>
                <w:b w:val="0"/>
                <w:bCs w:val="0"/>
                <w:color w:val="auto"/>
                <w:sz w:val="24"/>
                <w:szCs w:val="24"/>
                <w:highlight w:val="none"/>
                <w:lang w:val="en-US" w:eastAsia="zh-CN"/>
              </w:rPr>
              <w:fldChar w:fldCharType="separate"/>
            </w:r>
            <w:r>
              <w:rPr>
                <w:rFonts w:hint="default" w:ascii="Times New Roman" w:hAnsi="Times New Roman" w:eastAsia="宋体" w:cs="Times New Roman"/>
                <w:b w:val="0"/>
                <w:bCs w:val="0"/>
                <w:color w:val="auto"/>
                <w:sz w:val="24"/>
                <w:szCs w:val="24"/>
                <w:highlight w:val="none"/>
                <w:lang w:eastAsia="zh-CN"/>
              </w:rPr>
              <w:t>表</w:t>
            </w:r>
            <w:r>
              <w:rPr>
                <w:rFonts w:hint="default" w:ascii="Times New Roman" w:hAnsi="Times New Roman" w:eastAsia="宋体" w:cs="Times New Roman"/>
                <w:b w:val="0"/>
                <w:bCs w:val="0"/>
                <w:color w:val="auto"/>
                <w:sz w:val="24"/>
                <w:szCs w:val="24"/>
                <w:highlight w:val="none"/>
              </w:rPr>
              <w:fldChar w:fldCharType="begin"/>
            </w:r>
            <w:r>
              <w:rPr>
                <w:rFonts w:hint="default" w:ascii="Times New Roman" w:hAnsi="Times New Roman" w:eastAsia="宋体" w:cs="Times New Roman"/>
                <w:b w:val="0"/>
                <w:bCs w:val="0"/>
                <w:color w:val="auto"/>
                <w:sz w:val="24"/>
                <w:szCs w:val="24"/>
                <w:highlight w:val="none"/>
              </w:rPr>
              <w:instrText xml:space="preserve"> STYLEREF 1 \s </w:instrText>
            </w:r>
            <w:r>
              <w:rPr>
                <w:rFonts w:hint="default" w:ascii="Times New Roman" w:hAnsi="Times New Roman" w:eastAsia="宋体" w:cs="Times New Roman"/>
                <w:b w:val="0"/>
                <w:bCs w:val="0"/>
                <w:color w:val="auto"/>
                <w:sz w:val="24"/>
                <w:szCs w:val="24"/>
                <w:highlight w:val="none"/>
              </w:rPr>
              <w:fldChar w:fldCharType="separate"/>
            </w:r>
            <w:r>
              <w:rPr>
                <w:rFonts w:hint="default" w:ascii="Times New Roman" w:hAnsi="Times New Roman" w:eastAsia="宋体" w:cs="Times New Roman"/>
                <w:b w:val="0"/>
                <w:bCs w:val="0"/>
                <w:color w:val="auto"/>
                <w:sz w:val="24"/>
                <w:szCs w:val="24"/>
                <w:highlight w:val="none"/>
              </w:rPr>
              <w:t>3</w:t>
            </w:r>
            <w:r>
              <w:rPr>
                <w:rFonts w:hint="default" w:ascii="Times New Roman" w:hAnsi="Times New Roman" w:eastAsia="宋体" w:cs="Times New Roman"/>
                <w:b w:val="0"/>
                <w:bCs w:val="0"/>
                <w:color w:val="auto"/>
                <w:sz w:val="24"/>
                <w:szCs w:val="24"/>
                <w:highlight w:val="none"/>
              </w:rPr>
              <w:fldChar w:fldCharType="end"/>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rPr>
              <w:t>8</w:t>
            </w:r>
            <w:r>
              <w:rPr>
                <w:rFonts w:hint="eastAsia" w:ascii="Times New Roman" w:hAnsi="Times New Roman" w:eastAsia="宋体" w:cs="Times New Roman"/>
                <w:b w:val="0"/>
                <w:bCs w:val="0"/>
                <w:color w:val="auto"/>
                <w:sz w:val="24"/>
                <w:szCs w:val="24"/>
                <w:highlight w:val="none"/>
                <w:lang w:val="en-US" w:eastAsia="zh-CN"/>
              </w:rPr>
              <w:fldChar w:fldCharType="end"/>
            </w:r>
            <w:r>
              <w:rPr>
                <w:rFonts w:hint="eastAsia" w:ascii="Times New Roman" w:hAnsi="Times New Roman" w:eastAsia="宋体" w:cs="Times New Roman"/>
                <w:color w:val="auto"/>
                <w:highlight w:val="none"/>
                <w:lang w:val="en-US" w:eastAsia="zh-CN"/>
              </w:rPr>
              <w:t>。</w:t>
            </w:r>
          </w:p>
          <w:p w14:paraId="18C41E25">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21"/>
                <w:szCs w:val="21"/>
                <w:highlight w:val="none"/>
              </w:rPr>
            </w:pPr>
            <w:bookmarkStart w:id="38" w:name="_Ref13665"/>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STYLEREF 1 \s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3</w:t>
            </w:r>
            <w:r>
              <w:rPr>
                <w:rFonts w:hint="default" w:ascii="Times New Roman" w:hAnsi="Times New Roman" w:eastAsia="宋体" w:cs="Times New Roman"/>
                <w:b/>
                <w:bCs/>
                <w:color w:val="auto"/>
                <w:sz w:val="21"/>
                <w:szCs w:val="21"/>
                <w:highlight w:val="none"/>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SEQ 表 \* ARABIC \s 1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8</w:t>
            </w:r>
            <w:r>
              <w:rPr>
                <w:rFonts w:hint="default" w:ascii="Times New Roman" w:hAnsi="Times New Roman" w:eastAsia="宋体" w:cs="Times New Roman"/>
                <w:b/>
                <w:bCs/>
                <w:color w:val="auto"/>
                <w:sz w:val="21"/>
                <w:szCs w:val="21"/>
                <w:highlight w:val="none"/>
              </w:rPr>
              <w:fldChar w:fldCharType="end"/>
            </w:r>
            <w:bookmarkEnd w:id="38"/>
            <w:r>
              <w:rPr>
                <w:rFonts w:hint="eastAsia" w:cs="Times New Roman"/>
                <w:b/>
                <w:bCs/>
                <w:color w:val="auto"/>
                <w:sz w:val="21"/>
                <w:szCs w:val="21"/>
                <w:highlight w:val="none"/>
                <w:lang w:val="en-US" w:eastAsia="zh-CN"/>
              </w:rPr>
              <w:t xml:space="preserve"> </w:t>
            </w:r>
            <w:r>
              <w:rPr>
                <w:rFonts w:hint="default" w:ascii="Times New Roman" w:hAnsi="Times New Roman" w:cs="Times New Roman" w:eastAsiaTheme="minorEastAsia"/>
                <w:b/>
                <w:bCs/>
                <w:color w:val="auto"/>
                <w:sz w:val="21"/>
                <w:szCs w:val="21"/>
                <w:highlight w:val="none"/>
              </w:rPr>
              <w:t>建筑施工场界环境噪声排放标准限值  单位：dB（A）</w:t>
            </w:r>
          </w:p>
          <w:tbl>
            <w:tblPr>
              <w:tblStyle w:val="3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91"/>
              <w:gridCol w:w="1615"/>
              <w:gridCol w:w="1481"/>
            </w:tblGrid>
            <w:tr w14:paraId="47786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7" w:type="pct"/>
                  <w:vAlign w:val="center"/>
                </w:tcPr>
                <w:p w14:paraId="680033E4">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类别</w:t>
                  </w:r>
                </w:p>
              </w:tc>
              <w:tc>
                <w:tcPr>
                  <w:tcW w:w="940" w:type="pct"/>
                  <w:vAlign w:val="center"/>
                </w:tcPr>
                <w:p w14:paraId="30304F0C">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昼间</w:t>
                  </w:r>
                </w:p>
              </w:tc>
              <w:tc>
                <w:tcPr>
                  <w:tcW w:w="862" w:type="pct"/>
                  <w:vAlign w:val="center"/>
                </w:tcPr>
                <w:p w14:paraId="57AAECF9">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夜间</w:t>
                  </w:r>
                </w:p>
              </w:tc>
            </w:tr>
            <w:tr w14:paraId="7F105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7" w:type="pct"/>
                  <w:vAlign w:val="center"/>
                </w:tcPr>
                <w:p w14:paraId="4EFAD48E">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《建筑施工场界环境噪声排放标准》（GB12523-20</w:t>
                  </w:r>
                  <w:r>
                    <w:rPr>
                      <w:rFonts w:hint="eastAsia" w:ascii="Times New Roman" w:hAnsi="Times New Roman" w:cs="Times New Roman" w:eastAsiaTheme="minorEastAsia"/>
                      <w:color w:val="auto"/>
                      <w:sz w:val="21"/>
                      <w:szCs w:val="21"/>
                      <w:highlight w:val="none"/>
                      <w:lang w:val="en-US" w:eastAsia="zh-CN"/>
                    </w:rPr>
                    <w:t>25</w:t>
                  </w:r>
                  <w:r>
                    <w:rPr>
                      <w:rFonts w:hint="default" w:ascii="Times New Roman" w:hAnsi="Times New Roman" w:cs="Times New Roman" w:eastAsiaTheme="minorEastAsia"/>
                      <w:color w:val="auto"/>
                      <w:sz w:val="21"/>
                      <w:szCs w:val="21"/>
                      <w:highlight w:val="none"/>
                    </w:rPr>
                    <w:t>）</w:t>
                  </w:r>
                </w:p>
              </w:tc>
              <w:tc>
                <w:tcPr>
                  <w:tcW w:w="940" w:type="pct"/>
                  <w:vAlign w:val="center"/>
                </w:tcPr>
                <w:p w14:paraId="03919BD2">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70</w:t>
                  </w:r>
                </w:p>
              </w:tc>
              <w:tc>
                <w:tcPr>
                  <w:tcW w:w="862" w:type="pct"/>
                  <w:vAlign w:val="center"/>
                </w:tcPr>
                <w:p w14:paraId="289549B2">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55</w:t>
                  </w:r>
                </w:p>
              </w:tc>
            </w:tr>
          </w:tbl>
          <w:p w14:paraId="46C90100">
            <w:pPr>
              <w:ind w:firstLine="480"/>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运营期厂界噪声执行《工业企业厂界环境噪声排放标准》（GB12348-2008）1类标准限值。</w:t>
            </w:r>
          </w:p>
          <w:p w14:paraId="47C348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21"/>
                <w:szCs w:val="21"/>
                <w:highlight w:val="none"/>
                <w:lang w:val="en-GB"/>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STYLEREF 1 \s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3</w:t>
            </w:r>
            <w:r>
              <w:rPr>
                <w:rFonts w:hint="default" w:ascii="Times New Roman" w:hAnsi="Times New Roman" w:eastAsia="宋体" w:cs="Times New Roman"/>
                <w:b/>
                <w:bCs/>
                <w:color w:val="auto"/>
                <w:sz w:val="21"/>
                <w:szCs w:val="21"/>
                <w:highlight w:val="none"/>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SEQ 表 \* ARABIC \s 1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9</w:t>
            </w:r>
            <w:r>
              <w:rPr>
                <w:rFonts w:hint="default" w:ascii="Times New Roman" w:hAnsi="Times New Roman" w:eastAsia="宋体" w:cs="Times New Roman"/>
                <w:b/>
                <w:bCs/>
                <w:color w:val="auto"/>
                <w:sz w:val="21"/>
                <w:szCs w:val="21"/>
                <w:highlight w:val="none"/>
              </w:rPr>
              <w:fldChar w:fldCharType="end"/>
            </w:r>
            <w:r>
              <w:rPr>
                <w:rFonts w:hint="default" w:ascii="Times New Roman" w:hAnsi="Times New Roman" w:cs="Times New Roman"/>
                <w:b/>
                <w:bCs/>
                <w:color w:val="auto"/>
                <w:sz w:val="21"/>
                <w:szCs w:val="21"/>
                <w:highlight w:val="none"/>
                <w:lang w:val="en-US" w:eastAsia="zh-CN"/>
              </w:rPr>
              <w:t xml:space="preserve"> </w:t>
            </w:r>
            <w:r>
              <w:rPr>
                <w:rFonts w:hint="default" w:ascii="Times New Roman" w:hAnsi="Times New Roman" w:cs="Times New Roman" w:eastAsiaTheme="minorEastAsia"/>
                <w:b/>
                <w:bCs/>
                <w:color w:val="auto"/>
                <w:sz w:val="21"/>
                <w:szCs w:val="21"/>
                <w:highlight w:val="none"/>
                <w:lang w:val="en-GB"/>
              </w:rPr>
              <w:t>工业企业厂界环境噪声排放标准</w:t>
            </w:r>
            <w:r>
              <w:rPr>
                <w:rFonts w:hint="default" w:ascii="Times New Roman" w:hAnsi="Times New Roman" w:cs="Times New Roman" w:eastAsiaTheme="minorEastAsia"/>
                <w:b/>
                <w:bCs/>
                <w:color w:val="auto"/>
                <w:sz w:val="21"/>
                <w:szCs w:val="21"/>
                <w:highlight w:val="none"/>
              </w:rPr>
              <w:t xml:space="preserve">   单位：dB（A）</w:t>
            </w:r>
          </w:p>
          <w:tbl>
            <w:tblPr>
              <w:tblStyle w:val="3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20"/>
              <w:gridCol w:w="2061"/>
              <w:gridCol w:w="3006"/>
            </w:tblGrid>
            <w:tr w14:paraId="120DC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49" w:type="pct"/>
                  <w:vMerge w:val="restart"/>
                  <w:vAlign w:val="center"/>
                </w:tcPr>
                <w:p w14:paraId="12B700D3">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r>
                    <w:rPr>
                      <w:rFonts w:hint="eastAsia" w:ascii="Times New Roman" w:hAnsi="Times New Roman" w:cs="Times New Roman" w:eastAsiaTheme="minorEastAsia"/>
                      <w:color w:val="auto"/>
                      <w:sz w:val="21"/>
                      <w:szCs w:val="21"/>
                      <w:highlight w:val="none"/>
                    </w:rPr>
                    <w:t>厂界外声环境功能区类别</w:t>
                  </w:r>
                </w:p>
              </w:tc>
              <w:tc>
                <w:tcPr>
                  <w:tcW w:w="2950" w:type="pct"/>
                  <w:gridSpan w:val="2"/>
                  <w:vAlign w:val="center"/>
                </w:tcPr>
                <w:p w14:paraId="0CB5FDC1">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r>
                    <w:rPr>
                      <w:rFonts w:hint="eastAsia" w:ascii="Times New Roman" w:hAnsi="Times New Roman" w:cs="Times New Roman" w:eastAsiaTheme="minorEastAsia"/>
                      <w:color w:val="auto"/>
                      <w:sz w:val="21"/>
                      <w:szCs w:val="21"/>
                      <w:highlight w:val="none"/>
                    </w:rPr>
                    <w:t>时段</w:t>
                  </w:r>
                </w:p>
              </w:tc>
            </w:tr>
            <w:tr w14:paraId="17994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49" w:type="pct"/>
                  <w:vMerge w:val="continue"/>
                  <w:vAlign w:val="center"/>
                </w:tcPr>
                <w:p w14:paraId="37D3B2DB">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p>
              </w:tc>
              <w:tc>
                <w:tcPr>
                  <w:tcW w:w="1200" w:type="pct"/>
                  <w:vAlign w:val="center"/>
                </w:tcPr>
                <w:p w14:paraId="5080435B">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r>
                    <w:rPr>
                      <w:rFonts w:hint="eastAsia" w:ascii="Times New Roman" w:hAnsi="Times New Roman" w:cs="Times New Roman" w:eastAsiaTheme="minorEastAsia"/>
                      <w:color w:val="auto"/>
                      <w:sz w:val="21"/>
                      <w:szCs w:val="21"/>
                      <w:highlight w:val="none"/>
                    </w:rPr>
                    <w:t>昼间</w:t>
                  </w:r>
                </w:p>
              </w:tc>
              <w:tc>
                <w:tcPr>
                  <w:tcW w:w="1750" w:type="pct"/>
                  <w:vAlign w:val="center"/>
                </w:tcPr>
                <w:p w14:paraId="6DAF1D1D">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r>
                    <w:rPr>
                      <w:rFonts w:hint="eastAsia" w:ascii="Times New Roman" w:hAnsi="Times New Roman" w:cs="Times New Roman" w:eastAsiaTheme="minorEastAsia"/>
                      <w:color w:val="auto"/>
                      <w:sz w:val="21"/>
                      <w:szCs w:val="21"/>
                      <w:highlight w:val="none"/>
                    </w:rPr>
                    <w:t>夜间</w:t>
                  </w:r>
                </w:p>
              </w:tc>
            </w:tr>
            <w:tr w14:paraId="02777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49" w:type="pct"/>
                  <w:vAlign w:val="center"/>
                </w:tcPr>
                <w:p w14:paraId="4B413816">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r>
                    <w:rPr>
                      <w:rFonts w:hint="eastAsia" w:ascii="Times New Roman" w:hAnsi="Times New Roman" w:cs="Times New Roman" w:eastAsiaTheme="minorEastAsia"/>
                      <w:color w:val="auto"/>
                      <w:sz w:val="21"/>
                      <w:szCs w:val="21"/>
                      <w:highlight w:val="none"/>
                    </w:rPr>
                    <w:t>1类</w:t>
                  </w:r>
                </w:p>
              </w:tc>
              <w:tc>
                <w:tcPr>
                  <w:tcW w:w="1200" w:type="pct"/>
                  <w:vAlign w:val="center"/>
                </w:tcPr>
                <w:p w14:paraId="2B71DF7C">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r>
                    <w:rPr>
                      <w:rFonts w:hint="eastAsia" w:ascii="Times New Roman" w:hAnsi="Times New Roman" w:cs="Times New Roman" w:eastAsiaTheme="minorEastAsia"/>
                      <w:color w:val="auto"/>
                      <w:sz w:val="21"/>
                      <w:szCs w:val="21"/>
                      <w:highlight w:val="none"/>
                    </w:rPr>
                    <w:t>55</w:t>
                  </w:r>
                </w:p>
              </w:tc>
              <w:tc>
                <w:tcPr>
                  <w:tcW w:w="1750" w:type="pct"/>
                  <w:vAlign w:val="center"/>
                </w:tcPr>
                <w:p w14:paraId="3C199DC1">
                  <w:pPr>
                    <w:pStyle w:val="1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21"/>
                      <w:szCs w:val="21"/>
                      <w:highlight w:val="none"/>
                    </w:rPr>
                  </w:pPr>
                  <w:r>
                    <w:rPr>
                      <w:rFonts w:hint="eastAsia" w:ascii="Times New Roman" w:hAnsi="Times New Roman" w:cs="Times New Roman" w:eastAsiaTheme="minorEastAsia"/>
                      <w:color w:val="auto"/>
                      <w:sz w:val="21"/>
                      <w:szCs w:val="21"/>
                      <w:highlight w:val="none"/>
                    </w:rPr>
                    <w:t>45</w:t>
                  </w:r>
                </w:p>
              </w:tc>
            </w:tr>
          </w:tbl>
          <w:p w14:paraId="2E046E51">
            <w:pPr>
              <w:pStyle w:val="3"/>
              <w:keepNext w:val="0"/>
              <w:keepLines w:val="0"/>
              <w:pageBreakBefore w:val="0"/>
              <w:widowControl w:val="0"/>
              <w:kinsoku/>
              <w:wordWrap/>
              <w:overflowPunct/>
              <w:topLinePunct w:val="0"/>
              <w:autoSpaceDE/>
              <w:autoSpaceDN/>
              <w:bidi w:val="0"/>
              <w:adjustRightInd/>
              <w:snapToGrid/>
              <w:ind w:left="202" w:leftChars="0" w:firstLine="482" w:firstLineChars="0"/>
              <w:textAlignment w:val="auto"/>
              <w:rPr>
                <w:rFonts w:hint="eastAsia"/>
                <w:b/>
                <w:bCs/>
                <w:color w:val="auto"/>
                <w:highlight w:val="none"/>
                <w:lang w:val="en-US" w:eastAsia="zh-CN"/>
              </w:rPr>
            </w:pPr>
            <w:bookmarkStart w:id="39" w:name="_Toc522"/>
            <w:bookmarkStart w:id="40" w:name="_Toc28767"/>
            <w:r>
              <w:rPr>
                <w:rFonts w:hint="eastAsia"/>
                <w:b/>
                <w:bCs/>
                <w:color w:val="auto"/>
                <w:highlight w:val="none"/>
                <w:lang w:val="en-US" w:eastAsia="zh-CN"/>
              </w:rPr>
              <w:t>固体废物</w:t>
            </w:r>
            <w:bookmarkEnd w:id="39"/>
            <w:bookmarkEnd w:id="40"/>
          </w:p>
          <w:p w14:paraId="6178C74B">
            <w:pPr>
              <w:keepNext w:val="0"/>
              <w:keepLines w:val="0"/>
              <w:pageBreakBefore w:val="0"/>
              <w:widowControl w:val="0"/>
              <w:kinsoku/>
              <w:wordWrap w:val="0"/>
              <w:overflowPunct/>
              <w:topLinePunct w:val="0"/>
              <w:autoSpaceDE/>
              <w:autoSpaceDN/>
              <w:bidi w:val="0"/>
              <w:adjustRightInd/>
              <w:snapToGrid/>
              <w:textAlignment w:val="auto"/>
              <w:rPr>
                <w:rFonts w:hint="eastAsia"/>
                <w:color w:val="auto"/>
                <w:highlight w:val="none"/>
                <w:lang w:val="en-US" w:eastAsia="zh-CN"/>
              </w:rPr>
            </w:pPr>
            <w:r>
              <w:rPr>
                <w:rFonts w:hint="eastAsia"/>
                <w:color w:val="auto"/>
                <w:highlight w:val="none"/>
                <w:lang w:val="en-US" w:eastAsia="zh-CN"/>
              </w:rPr>
              <w:t>一般工业固体废物处置执行《一般工业固体废物贮存和填埋污染控制标准》（GB18599-2020），采用库房、包装工具（罐、桶、包装袋等）贮存一般工业固体废物的，其贮存过程应满足防渗漏、防雨淋、防扬尘等环境保护要求；危险废物贮存执行《危险废物贮存污染控制标准》（GB18597-2023）。</w:t>
            </w:r>
          </w:p>
        </w:tc>
      </w:tr>
      <w:tr w14:paraId="51F259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8" w:hRule="atLeast"/>
          <w:jc w:val="center"/>
        </w:trPr>
        <w:tc>
          <w:tcPr>
            <w:tcW w:w="461" w:type="dxa"/>
            <w:vAlign w:val="center"/>
          </w:tcPr>
          <w:p w14:paraId="5498EA2E">
            <w:pPr>
              <w:pStyle w:val="3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eastAsia="zh-CN"/>
              </w:rPr>
            </w:pPr>
            <w:r>
              <w:rPr>
                <w:rFonts w:hint="eastAsia"/>
                <w:color w:val="auto"/>
                <w:highlight w:val="none"/>
                <w:lang w:eastAsia="zh-CN"/>
              </w:rPr>
              <w:t>总量控制指标</w:t>
            </w:r>
          </w:p>
        </w:tc>
        <w:tc>
          <w:tcPr>
            <w:tcW w:w="8815" w:type="dxa"/>
            <w:vAlign w:val="center"/>
          </w:tcPr>
          <w:p w14:paraId="15B97523">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color w:val="auto"/>
                <w:highlight w:val="none"/>
                <w:lang w:val="en-US" w:eastAsia="zh-CN"/>
              </w:rPr>
            </w:pPr>
            <w:r>
              <w:rPr>
                <w:rFonts w:hint="eastAsia"/>
                <w:color w:val="auto"/>
                <w:highlight w:val="none"/>
              </w:rPr>
              <w:t>根据山西省生态环境厅关于印发《建设项目主要污染物排放总量指标核定办法》的通知（晋环规[2023]1号）文件第三条本办法适用范围为纳入固定污染源排污许可分类管理名录行业范围的建设项目新增主要污染物排放总量指标的审核与管理。</w:t>
            </w:r>
            <w:r>
              <w:rPr>
                <w:rFonts w:hint="eastAsia"/>
                <w:color w:val="auto"/>
                <w:highlight w:val="none"/>
                <w:lang w:val="en-US" w:eastAsia="zh-CN"/>
              </w:rPr>
              <w:t>根据固定污染源排污许可分类管理名录（2019年版），本项目未被纳入其中，无需进行主要污染物排放总量指标的审核与管理。</w:t>
            </w:r>
          </w:p>
        </w:tc>
      </w:tr>
    </w:tbl>
    <w:p w14:paraId="7AA6A6D8">
      <w:pPr>
        <w:rPr>
          <w:rFonts w:hint="eastAsia"/>
          <w:color w:val="auto"/>
          <w:highlight w:val="none"/>
          <w:lang w:eastAsia="zh-CN"/>
        </w:rPr>
      </w:pPr>
      <w:r>
        <w:rPr>
          <w:rFonts w:hint="eastAsia"/>
          <w:color w:val="auto"/>
          <w:highlight w:val="none"/>
          <w:lang w:eastAsia="zh-CN"/>
        </w:rPr>
        <w:br w:type="page"/>
      </w:r>
    </w:p>
    <w:p w14:paraId="1E9D165B">
      <w:pPr>
        <w:pStyle w:val="2"/>
        <w:bidi w:val="0"/>
        <w:rPr>
          <w:rFonts w:hint="eastAsia"/>
          <w:color w:val="auto"/>
          <w:highlight w:val="none"/>
          <w:lang w:eastAsia="zh-CN"/>
        </w:rPr>
      </w:pPr>
      <w:bookmarkStart w:id="41" w:name="_Toc32014"/>
      <w:bookmarkStart w:id="42" w:name="_Toc30542"/>
      <w:r>
        <w:rPr>
          <w:rFonts w:hint="eastAsia"/>
          <w:color w:val="auto"/>
          <w:highlight w:val="none"/>
          <w:lang w:eastAsia="zh-CN"/>
        </w:rPr>
        <w:t>主要环境影响和保护措施</w:t>
      </w:r>
      <w:bookmarkEnd w:id="41"/>
      <w:bookmarkEnd w:id="42"/>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832"/>
      </w:tblGrid>
      <w:tr w14:paraId="7A307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0" w:hRule="atLeast"/>
          <w:jc w:val="center"/>
        </w:trPr>
        <w:tc>
          <w:tcPr>
            <w:tcW w:w="450" w:type="dxa"/>
            <w:tcBorders>
              <w:top w:val="single" w:color="auto" w:sz="8" w:space="0"/>
              <w:left w:val="single" w:color="auto" w:sz="8" w:space="0"/>
            </w:tcBorders>
            <w:vAlign w:val="center"/>
          </w:tcPr>
          <w:p w14:paraId="52F77FF7">
            <w:pPr>
              <w:pStyle w:val="3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eastAsia="zh-CN"/>
              </w:rPr>
            </w:pPr>
            <w:r>
              <w:rPr>
                <w:rFonts w:hint="eastAsia"/>
                <w:color w:val="auto"/>
                <w:highlight w:val="none"/>
                <w:lang w:eastAsia="zh-CN"/>
              </w:rPr>
              <w:t>施工期环境保护措施</w:t>
            </w:r>
          </w:p>
        </w:tc>
        <w:tc>
          <w:tcPr>
            <w:tcW w:w="8838" w:type="dxa"/>
            <w:tcBorders>
              <w:top w:val="single" w:color="auto" w:sz="8" w:space="0"/>
              <w:right w:val="single" w:color="auto" w:sz="8" w:space="0"/>
            </w:tcBorders>
            <w:vAlign w:val="center"/>
          </w:tcPr>
          <w:p w14:paraId="5BD79F90">
            <w:pPr>
              <w:pStyle w:val="6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cs="Times New Roman"/>
                <w:bCs/>
                <w:color w:val="auto"/>
                <w:sz w:val="24"/>
                <w:szCs w:val="24"/>
                <w:highlight w:val="none"/>
              </w:rPr>
            </w:pPr>
            <w:r>
              <w:rPr>
                <w:rFonts w:ascii="Times New Roman" w:hAnsi="Times New Roman" w:cs="Times New Roman"/>
                <w:bCs/>
                <w:color w:val="auto"/>
                <w:sz w:val="24"/>
                <w:szCs w:val="24"/>
                <w:highlight w:val="none"/>
              </w:rPr>
              <w:t>施工期主要大气环境影响为扬尘对周围环境空气的影响，扬尘主要为施工扬尘和运输机械排放的尾气。</w:t>
            </w:r>
          </w:p>
          <w:p w14:paraId="7FC59826">
            <w:pPr>
              <w:numPr>
                <w:ilvl w:val="0"/>
                <w:numId w:val="10"/>
              </w:numPr>
              <w:bidi w:val="0"/>
              <w:rPr>
                <w:rFonts w:hint="eastAsia" w:ascii="Times New Roman" w:hAnsi="Times New Roman" w:eastAsia="宋体" w:cs="宋体"/>
                <w:b/>
                <w:bCs/>
                <w:color w:val="auto"/>
                <w:highlight w:val="none"/>
                <w:lang w:eastAsia="zh-CN"/>
              </w:rPr>
            </w:pPr>
            <w:r>
              <w:rPr>
                <w:rFonts w:hint="eastAsia" w:ascii="Times New Roman" w:hAnsi="Times New Roman" w:eastAsia="宋体" w:cs="宋体"/>
                <w:b/>
                <w:bCs/>
                <w:color w:val="auto"/>
                <w:highlight w:val="none"/>
                <w:lang w:val="en-US" w:eastAsia="zh-CN"/>
              </w:rPr>
              <w:t>废气</w:t>
            </w:r>
          </w:p>
          <w:p w14:paraId="753253A7">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eastAsia="宋体" w:cs="宋体"/>
                <w:color w:val="auto"/>
                <w:highlight w:val="none"/>
                <w:lang w:eastAsia="zh-CN"/>
              </w:rPr>
            </w:pPr>
            <w:r>
              <w:rPr>
                <w:rFonts w:hint="eastAsia" w:ascii="Times New Roman" w:hAnsi="Times New Roman" w:eastAsia="宋体" w:cs="宋体"/>
                <w:color w:val="auto"/>
                <w:highlight w:val="none"/>
                <w:lang w:val="en-US" w:eastAsia="zh-CN"/>
              </w:rPr>
              <w:t>（1）</w:t>
            </w:r>
            <w:r>
              <w:rPr>
                <w:rFonts w:hint="eastAsia" w:ascii="Times New Roman" w:hAnsi="Times New Roman" w:eastAsia="宋体" w:cs="宋体"/>
                <w:color w:val="auto"/>
                <w:highlight w:val="none"/>
                <w:lang w:eastAsia="zh-CN"/>
              </w:rPr>
              <w:t>扬尘</w:t>
            </w:r>
          </w:p>
          <w:p w14:paraId="5CD42F71">
            <w:pPr>
              <w:pStyle w:val="63"/>
              <w:keepNext w:val="0"/>
              <w:keepLines w:val="0"/>
              <w:pageBreakBefore w:val="0"/>
              <w:widowControl w:val="0"/>
              <w:kinsoku/>
              <w:wordWrap/>
              <w:overflowPunct/>
              <w:topLinePunct w:val="0"/>
              <w:autoSpaceDE/>
              <w:autoSpaceDN/>
              <w:bidi w:val="0"/>
              <w:adjustRightInd/>
              <w:snapToGrid/>
              <w:spacing w:after="0" w:line="360" w:lineRule="auto"/>
              <w:ind w:firstLine="480"/>
              <w:textAlignment w:val="center"/>
              <w:rPr>
                <w:rFonts w:ascii="Times New Roman" w:hAnsi="Times New Roman" w:cs="Times New Roman"/>
                <w:bCs/>
                <w:color w:val="auto"/>
                <w:sz w:val="24"/>
                <w:szCs w:val="24"/>
                <w:highlight w:val="none"/>
              </w:rPr>
            </w:pPr>
            <w:r>
              <w:rPr>
                <w:rFonts w:hint="default" w:ascii="Times New Roman" w:hAnsi="Times New Roman" w:eastAsia="宋体" w:cs="Times New Roman"/>
                <w:b w:val="0"/>
                <w:bCs w:val="0"/>
                <w:color w:val="auto"/>
                <w:kern w:val="2"/>
                <w:sz w:val="24"/>
                <w:szCs w:val="24"/>
                <w:highlight w:val="none"/>
                <w:lang w:val="en-US" w:eastAsia="zh-CN" w:bidi="ar-SA"/>
              </w:rPr>
              <w:t>根据山西省空气质量（2022-2023）再提升行动计划、晋环委办函〔2022〕4号《山西省深入推进扬尘污染防治工作方案》</w:t>
            </w:r>
            <w:r>
              <w:rPr>
                <w:rFonts w:ascii="Times New Roman" w:hAnsi="Times New Roman" w:eastAsia="宋体" w:cs="Times New Roman"/>
                <w:color w:val="auto"/>
                <w:kern w:val="0"/>
                <w:sz w:val="24"/>
                <w:szCs w:val="24"/>
                <w:highlight w:val="none"/>
              </w:rPr>
              <w:t>《</w:t>
            </w:r>
            <w:r>
              <w:rPr>
                <w:rFonts w:hint="eastAsia" w:ascii="Times New Roman" w:hAnsi="Times New Roman" w:eastAsia="宋体" w:cs="Times New Roman"/>
                <w:color w:val="auto"/>
                <w:kern w:val="0"/>
                <w:sz w:val="24"/>
                <w:szCs w:val="24"/>
                <w:highlight w:val="none"/>
              </w:rPr>
              <w:t>壶关县人民政府办公室</w:t>
            </w:r>
            <w:r>
              <w:rPr>
                <w:rFonts w:ascii="Times New Roman" w:hAnsi="Times New Roman" w:eastAsia="宋体" w:cs="Times New Roman"/>
                <w:color w:val="auto"/>
                <w:kern w:val="0"/>
                <w:sz w:val="24"/>
                <w:szCs w:val="24"/>
                <w:highlight w:val="none"/>
              </w:rPr>
              <w:t>关于印发</w:t>
            </w:r>
            <w:r>
              <w:rPr>
                <w:rFonts w:hint="eastAsia" w:ascii="Times New Roman" w:hAnsi="Times New Roman" w:eastAsia="宋体" w:cs="Times New Roman"/>
                <w:color w:val="auto"/>
                <w:kern w:val="0"/>
                <w:sz w:val="24"/>
                <w:szCs w:val="24"/>
                <w:highlight w:val="none"/>
              </w:rPr>
              <w:t>壶关县2022-2023</w:t>
            </w:r>
            <w:r>
              <w:rPr>
                <w:rFonts w:hint="eastAsia" w:cs="Times New Roman"/>
                <w:color w:val="auto"/>
                <w:kern w:val="0"/>
                <w:sz w:val="24"/>
                <w:szCs w:val="24"/>
                <w:highlight w:val="none"/>
                <w:lang w:eastAsia="zh-CN"/>
              </w:rPr>
              <w:t>年确</w:t>
            </w:r>
            <w:r>
              <w:rPr>
                <w:rFonts w:hint="eastAsia" w:ascii="Times New Roman" w:hAnsi="Times New Roman" w:eastAsia="宋体" w:cs="Times New Roman"/>
                <w:color w:val="auto"/>
                <w:kern w:val="0"/>
                <w:sz w:val="24"/>
                <w:szCs w:val="24"/>
                <w:highlight w:val="none"/>
              </w:rPr>
              <w:t>保水环境质量稳定、空气质量再提升和土壤、地下水污染防治行动计划的通知</w:t>
            </w:r>
            <w:r>
              <w:rPr>
                <w:rFonts w:ascii="Times New Roman" w:hAnsi="Times New Roman" w:eastAsia="宋体" w:cs="Times New Roman"/>
                <w:color w:val="auto"/>
                <w:kern w:val="0"/>
                <w:sz w:val="24"/>
                <w:szCs w:val="24"/>
                <w:highlight w:val="none"/>
              </w:rPr>
              <w:t>》</w:t>
            </w:r>
            <w:r>
              <w:rPr>
                <w:rFonts w:hint="eastAsia" w:ascii="Times New Roman" w:hAnsi="Times New Roman" w:eastAsia="宋体" w:cs="Times New Roman"/>
                <w:color w:val="auto"/>
                <w:kern w:val="0"/>
                <w:sz w:val="24"/>
                <w:szCs w:val="24"/>
                <w:highlight w:val="none"/>
              </w:rPr>
              <w:t>（壶政办发〔2</w:t>
            </w:r>
            <w:r>
              <w:rPr>
                <w:rFonts w:ascii="Times New Roman" w:hAnsi="Times New Roman" w:eastAsia="宋体" w:cs="Times New Roman"/>
                <w:color w:val="auto"/>
                <w:kern w:val="0"/>
                <w:sz w:val="24"/>
                <w:szCs w:val="24"/>
                <w:highlight w:val="none"/>
              </w:rPr>
              <w:t>02</w:t>
            </w:r>
            <w:r>
              <w:rPr>
                <w:rFonts w:hint="eastAsia" w:ascii="Times New Roman" w:hAnsi="Times New Roman" w:eastAsia="宋体" w:cs="Times New Roman"/>
                <w:color w:val="auto"/>
                <w:kern w:val="0"/>
                <w:sz w:val="24"/>
                <w:szCs w:val="24"/>
                <w:highlight w:val="none"/>
              </w:rPr>
              <w:t>3〕16号）</w:t>
            </w:r>
            <w:r>
              <w:rPr>
                <w:rFonts w:hint="default" w:ascii="Times New Roman" w:hAnsi="Times New Roman" w:eastAsia="宋体" w:cs="Times New Roman"/>
                <w:b w:val="0"/>
                <w:bCs w:val="0"/>
                <w:color w:val="auto"/>
                <w:kern w:val="2"/>
                <w:sz w:val="24"/>
                <w:szCs w:val="24"/>
                <w:highlight w:val="none"/>
                <w:lang w:val="en-US" w:eastAsia="zh-CN" w:bidi="ar-SA"/>
              </w:rPr>
              <w:t>，本次环评提出以下防治措施</w:t>
            </w:r>
            <w:r>
              <w:rPr>
                <w:rFonts w:hint="eastAsia" w:ascii="Times New Roman" w:hAnsi="Times New Roman" w:eastAsia="宋体" w:cs="Times New Roman"/>
                <w:b w:val="0"/>
                <w:bCs w:val="0"/>
                <w:color w:val="auto"/>
                <w:kern w:val="2"/>
                <w:sz w:val="24"/>
                <w:szCs w:val="24"/>
                <w:highlight w:val="none"/>
                <w:lang w:val="en-US" w:eastAsia="zh-CN" w:bidi="ar-SA"/>
              </w:rPr>
              <w:t>：</w:t>
            </w:r>
          </w:p>
          <w:p w14:paraId="564DDE68">
            <w:pPr>
              <w:pStyle w:val="62"/>
              <w:keepNext w:val="0"/>
              <w:keepLines w:val="0"/>
              <w:pageBreakBefore w:val="0"/>
              <w:widowControl w:val="0"/>
              <w:kinsoku/>
              <w:wordWrap/>
              <w:overflowPunct/>
              <w:topLinePunct w:val="0"/>
              <w:autoSpaceDE/>
              <w:autoSpaceDN/>
              <w:bidi w:val="0"/>
              <w:adjustRightInd/>
              <w:snapToGrid/>
              <w:spacing w:line="360" w:lineRule="auto"/>
              <w:ind w:firstLine="480"/>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lang w:val="en-US" w:eastAsia="zh-CN"/>
              </w:rPr>
              <w:t>①</w:t>
            </w:r>
            <w:r>
              <w:rPr>
                <w:rFonts w:ascii="Times New Roman" w:hAnsi="Times New Roman" w:cs="Times New Roman"/>
                <w:bCs/>
                <w:color w:val="auto"/>
                <w:sz w:val="24"/>
                <w:szCs w:val="24"/>
                <w:highlight w:val="none"/>
              </w:rPr>
              <w:t>施工时，应根据《建设工程施工现场管理规定》设置施工标志牌，并标明当地环境保护主管部门的污染举报电话。</w:t>
            </w:r>
          </w:p>
          <w:p w14:paraId="1EDCA659">
            <w:pPr>
              <w:pStyle w:val="62"/>
              <w:keepNext w:val="0"/>
              <w:keepLines w:val="0"/>
              <w:pageBreakBefore w:val="0"/>
              <w:widowControl w:val="0"/>
              <w:kinsoku/>
              <w:wordWrap/>
              <w:overflowPunct/>
              <w:topLinePunct w:val="0"/>
              <w:autoSpaceDE/>
              <w:autoSpaceDN/>
              <w:bidi w:val="0"/>
              <w:adjustRightInd/>
              <w:snapToGrid/>
              <w:spacing w:line="360" w:lineRule="auto"/>
              <w:ind w:firstLine="480"/>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lang w:val="en-US" w:eastAsia="zh-CN"/>
              </w:rPr>
              <w:t>②</w:t>
            </w:r>
            <w:r>
              <w:rPr>
                <w:rFonts w:ascii="Times New Roman" w:hAnsi="Times New Roman" w:cs="Times New Roman"/>
                <w:bCs/>
                <w:color w:val="auto"/>
                <w:sz w:val="24"/>
                <w:szCs w:val="24"/>
                <w:highlight w:val="none"/>
              </w:rPr>
              <w:t>施工工地要做到“6个100%”，即施工工地周边100%围挡、物料堆放100%覆盖、出入车辆100%冲洗、施工现场地面100%硬化、拆迁工地100%湿法作业、渣土车辆100%密闭运输。</w:t>
            </w:r>
          </w:p>
          <w:p w14:paraId="7B3C9B6B">
            <w:pPr>
              <w:pStyle w:val="62"/>
              <w:keepNext w:val="0"/>
              <w:keepLines w:val="0"/>
              <w:pageBreakBefore w:val="0"/>
              <w:widowControl w:val="0"/>
              <w:kinsoku/>
              <w:wordWrap/>
              <w:overflowPunct/>
              <w:topLinePunct w:val="0"/>
              <w:autoSpaceDE/>
              <w:autoSpaceDN/>
              <w:bidi w:val="0"/>
              <w:adjustRightInd/>
              <w:snapToGrid/>
              <w:spacing w:line="360" w:lineRule="auto"/>
              <w:ind w:firstLine="480"/>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lang w:val="en-US" w:eastAsia="zh-CN"/>
              </w:rPr>
              <w:t>③</w:t>
            </w:r>
            <w:r>
              <w:rPr>
                <w:rFonts w:ascii="Times New Roman" w:hAnsi="Times New Roman" w:cs="Times New Roman"/>
                <w:bCs/>
                <w:color w:val="auto"/>
                <w:sz w:val="24"/>
                <w:szCs w:val="24"/>
                <w:highlight w:val="none"/>
              </w:rPr>
              <w:t>禁止施工现场搅拌混凝土，全部采用预拌商品混凝土。</w:t>
            </w:r>
          </w:p>
          <w:p w14:paraId="0C515022">
            <w:pPr>
              <w:pStyle w:val="62"/>
              <w:keepNext w:val="0"/>
              <w:keepLines w:val="0"/>
              <w:pageBreakBefore w:val="0"/>
              <w:widowControl w:val="0"/>
              <w:kinsoku/>
              <w:wordWrap/>
              <w:overflowPunct/>
              <w:topLinePunct w:val="0"/>
              <w:autoSpaceDE/>
              <w:autoSpaceDN/>
              <w:bidi w:val="0"/>
              <w:adjustRightInd/>
              <w:snapToGrid/>
              <w:spacing w:line="360" w:lineRule="auto"/>
              <w:ind w:firstLine="480"/>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lang w:val="en-US" w:eastAsia="zh-CN"/>
              </w:rPr>
              <w:t>④</w:t>
            </w:r>
            <w:r>
              <w:rPr>
                <w:rFonts w:ascii="Times New Roman" w:hAnsi="Times New Roman" w:cs="Times New Roman"/>
                <w:bCs/>
                <w:color w:val="auto"/>
                <w:sz w:val="24"/>
                <w:szCs w:val="24"/>
                <w:highlight w:val="none"/>
              </w:rPr>
              <w:t>进出施工现场的运输车辆要采用密闭车斗保证物料不遗撒外漏；施工物料运输车辆要合理选择运输路线，尽可能避开集中居民区和主要交通干道，按照批准的路线和时间进行物料运输。</w:t>
            </w:r>
          </w:p>
          <w:p w14:paraId="4537F168">
            <w:pPr>
              <w:pStyle w:val="62"/>
              <w:keepNext w:val="0"/>
              <w:keepLines w:val="0"/>
              <w:pageBreakBefore w:val="0"/>
              <w:widowControl w:val="0"/>
              <w:kinsoku/>
              <w:wordWrap/>
              <w:overflowPunct/>
              <w:topLinePunct w:val="0"/>
              <w:autoSpaceDE/>
              <w:autoSpaceDN/>
              <w:bidi w:val="0"/>
              <w:adjustRightInd/>
              <w:snapToGrid/>
              <w:spacing w:line="360" w:lineRule="auto"/>
              <w:ind w:firstLine="480"/>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lang w:val="en-US" w:eastAsia="zh-CN"/>
              </w:rPr>
              <w:t>⑤</w:t>
            </w:r>
            <w:r>
              <w:rPr>
                <w:rFonts w:ascii="Times New Roman" w:hAnsi="Times New Roman" w:cs="Times New Roman"/>
                <w:bCs/>
                <w:color w:val="auto"/>
                <w:sz w:val="24"/>
                <w:szCs w:val="24"/>
                <w:highlight w:val="none"/>
              </w:rPr>
              <w:t>施工场地边界设置高度2.5m以上的围挡。土方的开挖、运输和填筑等施工过程，遇到干燥、易起尘的土方工程作业时，应辅以洒水压尘，尽量缩短起尘操作时间。遇到四级或四级以上大风天气，应停止土方作业，同时作业处覆盖防尘网。</w:t>
            </w:r>
          </w:p>
          <w:p w14:paraId="08D18D38">
            <w:pPr>
              <w:pStyle w:val="62"/>
              <w:keepNext w:val="0"/>
              <w:keepLines w:val="0"/>
              <w:pageBreakBefore w:val="0"/>
              <w:widowControl w:val="0"/>
              <w:kinsoku/>
              <w:wordWrap/>
              <w:overflowPunct/>
              <w:topLinePunct w:val="0"/>
              <w:autoSpaceDE/>
              <w:autoSpaceDN/>
              <w:bidi w:val="0"/>
              <w:adjustRightInd/>
              <w:snapToGrid/>
              <w:spacing w:line="360" w:lineRule="auto"/>
              <w:ind w:firstLine="480"/>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lang w:val="en-US" w:eastAsia="zh-CN"/>
              </w:rPr>
              <w:t>⑥</w:t>
            </w:r>
            <w:r>
              <w:rPr>
                <w:rFonts w:ascii="Times New Roman" w:hAnsi="Times New Roman" w:cs="Times New Roman"/>
                <w:bCs/>
                <w:color w:val="auto"/>
                <w:sz w:val="24"/>
                <w:szCs w:val="24"/>
                <w:highlight w:val="none"/>
              </w:rPr>
              <w:t>施工过程使用的水泥、石灰、砂石、铺装材料等易产生扬尘的建筑材料，应密闭存储。</w:t>
            </w:r>
          </w:p>
          <w:p w14:paraId="37872E63">
            <w:pPr>
              <w:pStyle w:val="62"/>
              <w:keepNext w:val="0"/>
              <w:keepLines w:val="0"/>
              <w:pageBreakBefore w:val="0"/>
              <w:widowControl w:val="0"/>
              <w:kinsoku/>
              <w:wordWrap/>
              <w:overflowPunct/>
              <w:topLinePunct w:val="0"/>
              <w:autoSpaceDE/>
              <w:autoSpaceDN/>
              <w:bidi w:val="0"/>
              <w:adjustRightInd/>
              <w:snapToGrid/>
              <w:spacing w:line="360" w:lineRule="auto"/>
              <w:ind w:firstLine="480"/>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lang w:val="en-US" w:eastAsia="zh-CN"/>
              </w:rPr>
              <w:t>⑦</w:t>
            </w:r>
            <w:r>
              <w:rPr>
                <w:rFonts w:ascii="Times New Roman" w:hAnsi="Times New Roman" w:cs="Times New Roman"/>
                <w:bCs/>
                <w:color w:val="auto"/>
                <w:sz w:val="24"/>
                <w:szCs w:val="24"/>
                <w:highlight w:val="none"/>
              </w:rPr>
              <w:t>施工过程产生的弃土及建筑垃圾应及时清运，如场区内堆存时间较长，应覆盖防尘网并定期喷水压尘。</w:t>
            </w:r>
          </w:p>
          <w:p w14:paraId="60C8B354">
            <w:pPr>
              <w:pStyle w:val="62"/>
              <w:keepNext w:val="0"/>
              <w:keepLines w:val="0"/>
              <w:pageBreakBefore w:val="0"/>
              <w:widowControl w:val="0"/>
              <w:kinsoku/>
              <w:wordWrap/>
              <w:overflowPunct/>
              <w:topLinePunct w:val="0"/>
              <w:autoSpaceDE/>
              <w:autoSpaceDN/>
              <w:bidi w:val="0"/>
              <w:adjustRightInd/>
              <w:snapToGrid/>
              <w:spacing w:line="360" w:lineRule="auto"/>
              <w:ind w:firstLine="480"/>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lang w:val="en-US" w:eastAsia="zh-CN"/>
              </w:rPr>
              <w:t>⑧</w:t>
            </w:r>
            <w:r>
              <w:rPr>
                <w:rFonts w:ascii="Times New Roman" w:hAnsi="Times New Roman" w:cs="Times New Roman"/>
                <w:bCs/>
                <w:color w:val="auto"/>
                <w:sz w:val="24"/>
                <w:szCs w:val="24"/>
                <w:highlight w:val="none"/>
              </w:rPr>
              <w:t>在工地出口处设置运输车辆清洗点，确保车辆不带泥土驶出工地。</w:t>
            </w:r>
          </w:p>
          <w:p w14:paraId="34A3FC48">
            <w:pPr>
              <w:pStyle w:val="62"/>
              <w:keepNext w:val="0"/>
              <w:keepLines w:val="0"/>
              <w:pageBreakBefore w:val="0"/>
              <w:widowControl w:val="0"/>
              <w:kinsoku/>
              <w:wordWrap/>
              <w:overflowPunct/>
              <w:topLinePunct w:val="0"/>
              <w:autoSpaceDE/>
              <w:autoSpaceDN/>
              <w:bidi w:val="0"/>
              <w:adjustRightInd/>
              <w:snapToGrid/>
              <w:spacing w:line="360" w:lineRule="auto"/>
              <w:ind w:firstLine="480"/>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lang w:val="en-US" w:eastAsia="zh-CN"/>
              </w:rPr>
              <w:t>⑨</w:t>
            </w:r>
            <w:r>
              <w:rPr>
                <w:rFonts w:ascii="Times New Roman" w:hAnsi="Times New Roman" w:cs="Times New Roman"/>
                <w:bCs/>
                <w:color w:val="auto"/>
                <w:sz w:val="24"/>
                <w:szCs w:val="24"/>
                <w:highlight w:val="none"/>
              </w:rPr>
              <w:t>施工工地内及工地出口至铺装道路间的车行道路要进行硬化，用水冲洗的方法清洁施工道路积尘，道路定时洒水抑尘。</w:t>
            </w:r>
          </w:p>
          <w:p w14:paraId="2E41C32D">
            <w:pPr>
              <w:pStyle w:val="62"/>
              <w:keepNext w:val="0"/>
              <w:keepLines w:val="0"/>
              <w:pageBreakBefore w:val="0"/>
              <w:widowControl w:val="0"/>
              <w:kinsoku/>
              <w:wordWrap/>
              <w:overflowPunct/>
              <w:topLinePunct w:val="0"/>
              <w:autoSpaceDE/>
              <w:autoSpaceDN/>
              <w:bidi w:val="0"/>
              <w:adjustRightInd/>
              <w:snapToGrid/>
              <w:spacing w:line="360" w:lineRule="auto"/>
              <w:ind w:firstLine="480"/>
              <w:rPr>
                <w:rFonts w:hint="eastAsia" w:ascii="Times New Roman" w:hAnsi="Times New Roman" w:eastAsia="宋体" w:cs="Times New Roman"/>
                <w:bCs/>
                <w:color w:val="auto"/>
                <w:sz w:val="24"/>
                <w:szCs w:val="24"/>
                <w:highlight w:val="none"/>
                <w:lang w:eastAsia="zh-CN"/>
              </w:rPr>
            </w:pPr>
            <w:r>
              <w:rPr>
                <w:rFonts w:hint="eastAsia" w:ascii="Times New Roman" w:hAnsi="Times New Roman" w:cs="Times New Roman"/>
                <w:bCs/>
                <w:color w:val="auto"/>
                <w:sz w:val="24"/>
                <w:szCs w:val="24"/>
                <w:highlight w:val="none"/>
                <w:lang w:val="en-US" w:eastAsia="zh-CN"/>
              </w:rPr>
              <w:t>⑩</w:t>
            </w:r>
            <w:r>
              <w:rPr>
                <w:color w:val="auto"/>
                <w:sz w:val="24"/>
                <w:szCs w:val="24"/>
                <w:highlight w:val="none"/>
                <w:lang w:eastAsia="zh-CN"/>
              </w:rPr>
              <w:t>接受当地</w:t>
            </w:r>
            <w:r>
              <w:rPr>
                <w:rFonts w:hint="eastAsia"/>
                <w:color w:val="auto"/>
                <w:sz w:val="24"/>
                <w:szCs w:val="24"/>
                <w:highlight w:val="none"/>
                <w:lang w:eastAsia="zh-CN"/>
              </w:rPr>
              <w:t>生态</w:t>
            </w:r>
            <w:r>
              <w:rPr>
                <w:color w:val="auto"/>
                <w:sz w:val="24"/>
                <w:szCs w:val="24"/>
                <w:highlight w:val="none"/>
                <w:lang w:eastAsia="zh-CN"/>
              </w:rPr>
              <w:t>环境部门依法对建筑工地的扬尘污染监督管理</w:t>
            </w:r>
            <w:r>
              <w:rPr>
                <w:rFonts w:hint="eastAsia"/>
                <w:color w:val="auto"/>
                <w:sz w:val="24"/>
                <w:szCs w:val="24"/>
                <w:highlight w:val="none"/>
                <w:lang w:eastAsia="zh-CN"/>
              </w:rPr>
              <w:t>，</w:t>
            </w:r>
            <w:r>
              <w:rPr>
                <w:color w:val="auto"/>
                <w:sz w:val="24"/>
                <w:szCs w:val="24"/>
                <w:highlight w:val="none"/>
                <w:lang w:eastAsia="zh-CN"/>
              </w:rPr>
              <w:t>建设单位应按照相关规定，将防治扬尘污染的费用列入工程概算，并在与施工单位签订的施工承包合同中明确施工单位是全面落实扬尘污染防治方案的责任方，施工单位必须设置环境保护牌，标明扬尘防治措施、责任人及环保监督电话等；并严格</w:t>
            </w:r>
            <w:r>
              <w:rPr>
                <w:rFonts w:hint="eastAsia"/>
                <w:color w:val="auto"/>
                <w:sz w:val="24"/>
                <w:szCs w:val="24"/>
                <w:highlight w:val="none"/>
                <w:lang w:eastAsia="zh-CN"/>
              </w:rPr>
              <w:t>按照</w:t>
            </w:r>
            <w:r>
              <w:rPr>
                <w:color w:val="auto"/>
                <w:sz w:val="24"/>
                <w:szCs w:val="24"/>
                <w:highlight w:val="none"/>
                <w:lang w:eastAsia="zh-CN"/>
              </w:rPr>
              <w:t>《关于加强建筑施工扬尘排污费核定征收工作的通知》中的要求</w:t>
            </w:r>
            <w:r>
              <w:rPr>
                <w:rFonts w:hint="eastAsia"/>
                <w:color w:val="auto"/>
                <w:sz w:val="24"/>
                <w:szCs w:val="24"/>
                <w:highlight w:val="none"/>
                <w:lang w:val="en-US" w:eastAsia="zh-CN"/>
              </w:rPr>
              <w:t>缴纳</w:t>
            </w:r>
            <w:r>
              <w:rPr>
                <w:color w:val="auto"/>
                <w:sz w:val="24"/>
                <w:szCs w:val="24"/>
                <w:highlight w:val="none"/>
                <w:lang w:eastAsia="zh-CN"/>
              </w:rPr>
              <w:t>扬尘排污费，促进建筑工地扬尘污染防治。</w:t>
            </w:r>
          </w:p>
          <w:p w14:paraId="04949F6E">
            <w:pPr>
              <w:pStyle w:val="62"/>
              <w:keepNext w:val="0"/>
              <w:keepLines w:val="0"/>
              <w:pageBreakBefore w:val="0"/>
              <w:widowControl w:val="0"/>
              <w:kinsoku/>
              <w:wordWrap/>
              <w:overflowPunct/>
              <w:topLinePunct w:val="0"/>
              <w:autoSpaceDE/>
              <w:autoSpaceDN/>
              <w:bidi w:val="0"/>
              <w:adjustRightInd/>
              <w:snapToGrid/>
              <w:spacing w:line="360" w:lineRule="auto"/>
              <w:ind w:firstLine="480"/>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lang w:val="en-US" w:eastAsia="zh-CN"/>
              </w:rPr>
              <w:t>（2）</w:t>
            </w:r>
            <w:r>
              <w:rPr>
                <w:rFonts w:ascii="Times New Roman" w:hAnsi="Times New Roman" w:cs="Times New Roman"/>
                <w:bCs/>
                <w:color w:val="auto"/>
                <w:sz w:val="24"/>
                <w:szCs w:val="24"/>
                <w:highlight w:val="none"/>
              </w:rPr>
              <w:t>运输机械排放的尾气</w:t>
            </w:r>
          </w:p>
          <w:p w14:paraId="3EB8DB49">
            <w:pPr>
              <w:pStyle w:val="62"/>
              <w:keepNext w:val="0"/>
              <w:keepLines w:val="0"/>
              <w:pageBreakBefore w:val="0"/>
              <w:widowControl w:val="0"/>
              <w:kinsoku/>
              <w:wordWrap/>
              <w:overflowPunct/>
              <w:topLinePunct w:val="0"/>
              <w:autoSpaceDE/>
              <w:autoSpaceDN/>
              <w:bidi w:val="0"/>
              <w:adjustRightInd/>
              <w:snapToGrid/>
              <w:spacing w:line="360" w:lineRule="auto"/>
              <w:ind w:firstLine="480"/>
              <w:rPr>
                <w:rFonts w:ascii="Times New Roman" w:hAnsi="Times New Roman" w:cs="Times New Roman"/>
                <w:bCs/>
                <w:color w:val="auto"/>
                <w:sz w:val="24"/>
                <w:szCs w:val="24"/>
                <w:highlight w:val="none"/>
              </w:rPr>
            </w:pPr>
            <w:r>
              <w:rPr>
                <w:rFonts w:hint="eastAsia" w:ascii="宋体" w:hAnsi="宋体" w:eastAsia="宋体" w:cs="宋体"/>
                <w:i w:val="0"/>
                <w:iCs w:val="0"/>
                <w:caps w:val="0"/>
                <w:color w:val="auto"/>
                <w:spacing w:val="0"/>
                <w:sz w:val="24"/>
                <w:szCs w:val="24"/>
                <w:highlight w:val="none"/>
              </w:rPr>
              <w:t>全面实施重型柴油车国六排放标准，</w:t>
            </w:r>
            <w:r>
              <w:rPr>
                <w:rFonts w:hint="eastAsia" w:eastAsia="宋体" w:cs="宋体"/>
                <w:i w:val="0"/>
                <w:iCs w:val="0"/>
                <w:caps w:val="0"/>
                <w:color w:val="auto"/>
                <w:spacing w:val="0"/>
                <w:sz w:val="24"/>
                <w:szCs w:val="24"/>
                <w:highlight w:val="none"/>
                <w:lang w:val="en-US" w:eastAsia="zh-CN"/>
              </w:rPr>
              <w:t>鼓励采用新能源车辆和清洁能源车辆运输。</w:t>
            </w:r>
            <w:r>
              <w:rPr>
                <w:rFonts w:hint="eastAsia" w:ascii="宋体" w:hAnsi="宋体" w:eastAsia="宋体" w:cs="宋体"/>
                <w:i w:val="0"/>
                <w:iCs w:val="0"/>
                <w:caps w:val="0"/>
                <w:color w:val="auto"/>
                <w:spacing w:val="0"/>
                <w:sz w:val="24"/>
                <w:szCs w:val="24"/>
                <w:highlight w:val="none"/>
              </w:rPr>
              <w:t>禁止使用超标排放的非道路移动机械</w:t>
            </w:r>
            <w:r>
              <w:rPr>
                <w:rFonts w:hint="eastAsia" w:eastAsia="宋体" w:cs="宋体"/>
                <w:i w:val="0"/>
                <w:iCs w:val="0"/>
                <w:caps w:val="0"/>
                <w:color w:val="auto"/>
                <w:spacing w:val="0"/>
                <w:sz w:val="24"/>
                <w:szCs w:val="24"/>
                <w:highlight w:val="none"/>
                <w:lang w:eastAsia="zh-CN"/>
              </w:rPr>
              <w:t>，</w:t>
            </w:r>
            <w:r>
              <w:rPr>
                <w:rFonts w:hint="eastAsia" w:ascii="Times New Roman" w:hAnsi="Times New Roman" w:eastAsia="宋体" w:cs="Times New Roman"/>
                <w:bCs/>
                <w:color w:val="auto"/>
                <w:sz w:val="24"/>
                <w:szCs w:val="24"/>
                <w:highlight w:val="none"/>
                <w:lang w:val="en-US" w:eastAsia="zh-CN"/>
              </w:rPr>
              <w:t>大力减少</w:t>
            </w:r>
            <w:r>
              <w:rPr>
                <w:rFonts w:ascii="Times New Roman" w:hAnsi="Times New Roman" w:cs="Times New Roman"/>
                <w:bCs/>
                <w:color w:val="auto"/>
                <w:sz w:val="24"/>
                <w:szCs w:val="24"/>
                <w:highlight w:val="none"/>
              </w:rPr>
              <w:t>交通尾气的排放。</w:t>
            </w:r>
            <w:r>
              <w:rPr>
                <w:rFonts w:hint="eastAsia" w:ascii="Times New Roman" w:hAnsi="Times New Roman" w:cs="Times New Roman"/>
                <w:bCs/>
                <w:color w:val="auto"/>
                <w:sz w:val="24"/>
                <w:szCs w:val="24"/>
                <w:highlight w:val="none"/>
                <w:lang w:val="en-US" w:eastAsia="zh-CN"/>
              </w:rPr>
              <w:t>由于项目施工</w:t>
            </w:r>
            <w:r>
              <w:rPr>
                <w:rFonts w:ascii="Times New Roman" w:hAnsi="Times New Roman" w:cs="Times New Roman"/>
                <w:bCs/>
                <w:color w:val="auto"/>
                <w:sz w:val="24"/>
                <w:szCs w:val="24"/>
                <w:highlight w:val="none"/>
              </w:rPr>
              <w:t>期短，尾气排放量也较少，再加上周围地形开阔，风速较大，不会引起大气环境污染。</w:t>
            </w:r>
          </w:p>
          <w:p w14:paraId="33967F84">
            <w:pPr>
              <w:pStyle w:val="63"/>
              <w:keepNext w:val="0"/>
              <w:keepLines w:val="0"/>
              <w:pageBreakBefore w:val="0"/>
              <w:widowControl w:val="0"/>
              <w:kinsoku/>
              <w:wordWrap/>
              <w:overflowPunct/>
              <w:topLinePunct w:val="0"/>
              <w:autoSpaceDE/>
              <w:autoSpaceDN/>
              <w:bidi w:val="0"/>
              <w:adjustRightInd/>
              <w:snapToGrid/>
              <w:spacing w:after="0" w:line="360" w:lineRule="auto"/>
              <w:ind w:firstLine="480"/>
              <w:textAlignment w:val="center"/>
              <w:rPr>
                <w:rFonts w:hint="eastAsia" w:ascii="Times New Roman" w:hAnsi="Times New Roman" w:eastAsia="宋体" w:cs="Times New Roman"/>
                <w:b/>
                <w:bCs/>
                <w:color w:val="auto"/>
                <w:kern w:val="2"/>
                <w:sz w:val="24"/>
                <w:szCs w:val="24"/>
                <w:highlight w:val="none"/>
                <w:lang w:val="en-US" w:eastAsia="zh-CN" w:bidi="ar-SA"/>
              </w:rPr>
            </w:pPr>
            <w:r>
              <w:rPr>
                <w:color w:val="auto"/>
                <w:sz w:val="24"/>
                <w:szCs w:val="24"/>
                <w:highlight w:val="none"/>
                <w:lang w:eastAsia="zh-CN"/>
              </w:rPr>
              <w:t>综上所述，只要合理规划、科学管理，施工活动不会明显影响场地周围的环境空气质量，而且随着施工活动的结束，这些污染也将消失。</w:t>
            </w:r>
          </w:p>
          <w:p w14:paraId="7BB87095">
            <w:pPr>
              <w:numPr>
                <w:ilvl w:val="0"/>
                <w:numId w:val="10"/>
              </w:numPr>
              <w:bidi w:val="0"/>
              <w:rPr>
                <w:rFonts w:hint="eastAsia" w:ascii="Times New Roman" w:hAnsi="Times New Roman" w:eastAsia="宋体" w:cs="宋体"/>
                <w:b/>
                <w:bCs/>
                <w:color w:val="auto"/>
                <w:highlight w:val="none"/>
                <w:lang w:val="en-US" w:eastAsia="zh-CN"/>
              </w:rPr>
            </w:pPr>
            <w:r>
              <w:rPr>
                <w:rFonts w:hint="eastAsia" w:ascii="Times New Roman" w:hAnsi="Times New Roman" w:eastAsia="宋体" w:cs="宋体"/>
                <w:b/>
                <w:bCs/>
                <w:color w:val="auto"/>
                <w:highlight w:val="none"/>
                <w:lang w:val="en-US" w:eastAsia="zh-CN"/>
              </w:rPr>
              <w:t>地表水环境</w:t>
            </w:r>
          </w:p>
          <w:p w14:paraId="0130541B">
            <w:pPr>
              <w:pStyle w:val="63"/>
              <w:keepNext w:val="0"/>
              <w:keepLines w:val="0"/>
              <w:pageBreakBefore w:val="0"/>
              <w:widowControl w:val="0"/>
              <w:kinsoku/>
              <w:wordWrap/>
              <w:overflowPunct/>
              <w:topLinePunct w:val="0"/>
              <w:autoSpaceDE/>
              <w:autoSpaceDN/>
              <w:bidi w:val="0"/>
              <w:adjustRightInd/>
              <w:snapToGrid/>
              <w:spacing w:after="0" w:line="360" w:lineRule="auto"/>
              <w:ind w:firstLine="480"/>
              <w:textAlignment w:val="center"/>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（1）施工废水：施工期间的用水主要为冲洗设备用水、路面及土方喷淋水</w:t>
            </w:r>
            <w:r>
              <w:rPr>
                <w:rFonts w:hint="eastAsia" w:cs="Times New Roman"/>
                <w:b w:val="0"/>
                <w:bCs w:val="0"/>
                <w:color w:val="auto"/>
                <w:kern w:val="2"/>
                <w:sz w:val="24"/>
                <w:szCs w:val="24"/>
                <w:highlight w:val="none"/>
                <w:lang w:val="en-US" w:eastAsia="zh-CN" w:bidi="ar-SA"/>
              </w:rPr>
              <w:t>，以及</w:t>
            </w:r>
            <w:r>
              <w:rPr>
                <w:rFonts w:hint="eastAsia" w:ascii="Times New Roman" w:hAnsi="Times New Roman" w:eastAsia="宋体" w:cs="Times New Roman"/>
                <w:b w:val="0"/>
                <w:bCs w:val="0"/>
                <w:color w:val="auto"/>
                <w:kern w:val="2"/>
                <w:sz w:val="24"/>
                <w:szCs w:val="24"/>
                <w:highlight w:val="none"/>
                <w:lang w:val="en-US" w:eastAsia="zh-CN" w:bidi="ar-SA"/>
              </w:rPr>
              <w:t>运输车辆</w:t>
            </w:r>
            <w:r>
              <w:rPr>
                <w:rFonts w:hint="eastAsia" w:cs="Times New Roman"/>
                <w:b w:val="0"/>
                <w:bCs w:val="0"/>
                <w:color w:val="auto"/>
                <w:kern w:val="2"/>
                <w:sz w:val="24"/>
                <w:szCs w:val="24"/>
                <w:highlight w:val="none"/>
                <w:lang w:val="en-US" w:eastAsia="zh-CN" w:bidi="ar-SA"/>
              </w:rPr>
              <w:t>清</w:t>
            </w:r>
            <w:r>
              <w:rPr>
                <w:rFonts w:hint="default" w:ascii="Times New Roman" w:hAnsi="Times New Roman" w:eastAsia="宋体" w:cs="Times New Roman"/>
                <w:b w:val="0"/>
                <w:bCs w:val="0"/>
                <w:color w:val="auto"/>
                <w:kern w:val="2"/>
                <w:sz w:val="24"/>
                <w:szCs w:val="24"/>
                <w:highlight w:val="none"/>
                <w:lang w:val="en-US" w:eastAsia="zh-CN" w:bidi="ar-SA"/>
              </w:rPr>
              <w:t>洗</w:t>
            </w:r>
            <w:r>
              <w:rPr>
                <w:rFonts w:hint="eastAsia" w:ascii="Times New Roman" w:hAnsi="Times New Roman" w:eastAsia="宋体" w:cs="Times New Roman"/>
                <w:b w:val="0"/>
                <w:bCs w:val="0"/>
                <w:color w:val="auto"/>
                <w:kern w:val="2"/>
                <w:sz w:val="24"/>
                <w:szCs w:val="24"/>
                <w:highlight w:val="none"/>
                <w:lang w:val="en-US" w:eastAsia="zh-CN" w:bidi="ar-SA"/>
              </w:rPr>
              <w:t>产生的洗涤废水。</w:t>
            </w:r>
          </w:p>
          <w:p w14:paraId="39B0F356">
            <w:pPr>
              <w:pStyle w:val="63"/>
              <w:keepNext w:val="0"/>
              <w:keepLines w:val="0"/>
              <w:pageBreakBefore w:val="0"/>
              <w:widowControl w:val="0"/>
              <w:kinsoku/>
              <w:wordWrap/>
              <w:overflowPunct/>
              <w:topLinePunct w:val="0"/>
              <w:autoSpaceDE/>
              <w:autoSpaceDN/>
              <w:bidi w:val="0"/>
              <w:adjustRightInd/>
              <w:snapToGrid/>
              <w:spacing w:after="0" w:line="360" w:lineRule="auto"/>
              <w:ind w:firstLine="480"/>
              <w:textAlignment w:val="center"/>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针对本工程评价要求：应分段设置一些小型的简易集水沉淀池施工废水收集设施，施工中产生的废水收集后用于混料或洒水等用水水质不高的环节，可有效控制施工废水影响；此外，工程厂区建设应重点采取临时废水收集设施的措施，并回用于低水质用水环节，以加强污染控制。</w:t>
            </w:r>
          </w:p>
          <w:p w14:paraId="769F7319">
            <w:pPr>
              <w:pStyle w:val="63"/>
              <w:keepNext w:val="0"/>
              <w:keepLines w:val="0"/>
              <w:pageBreakBefore w:val="0"/>
              <w:widowControl w:val="0"/>
              <w:kinsoku/>
              <w:wordWrap/>
              <w:overflowPunct/>
              <w:topLinePunct w:val="0"/>
              <w:autoSpaceDE/>
              <w:autoSpaceDN/>
              <w:bidi w:val="0"/>
              <w:adjustRightInd/>
              <w:snapToGrid/>
              <w:spacing w:after="0" w:line="360" w:lineRule="auto"/>
              <w:ind w:firstLine="480"/>
              <w:textAlignment w:val="center"/>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（2）生活废水：施工期施工人员产生的生活污水主要有洗漱废水，废水量较少，施工单位应集中设置生活区，并将生活废水收集后用于洒水抑尘。</w:t>
            </w:r>
          </w:p>
          <w:p w14:paraId="18AB0B16">
            <w:pPr>
              <w:pStyle w:val="63"/>
              <w:keepNext w:val="0"/>
              <w:keepLines w:val="0"/>
              <w:pageBreakBefore w:val="0"/>
              <w:widowControl w:val="0"/>
              <w:kinsoku/>
              <w:wordWrap/>
              <w:overflowPunct/>
              <w:topLinePunct w:val="0"/>
              <w:autoSpaceDE/>
              <w:autoSpaceDN/>
              <w:bidi w:val="0"/>
              <w:adjustRightInd/>
              <w:snapToGrid/>
              <w:spacing w:after="0" w:line="360" w:lineRule="auto"/>
              <w:ind w:firstLine="480"/>
              <w:textAlignment w:val="center"/>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综上所述，本项目施工期产生的生产废水和生活污水全部回用，不外排，对石子河水环境的影响很小。</w:t>
            </w:r>
          </w:p>
          <w:p w14:paraId="1711DBDF">
            <w:pPr>
              <w:numPr>
                <w:ilvl w:val="0"/>
                <w:numId w:val="10"/>
              </w:numPr>
              <w:bidi w:val="0"/>
              <w:rPr>
                <w:rFonts w:hint="eastAsia" w:ascii="Times New Roman" w:hAnsi="Times New Roman" w:eastAsia="宋体" w:cs="宋体"/>
                <w:b/>
                <w:bCs/>
                <w:color w:val="auto"/>
                <w:highlight w:val="none"/>
                <w:lang w:val="en-US" w:eastAsia="zh-CN"/>
              </w:rPr>
            </w:pPr>
            <w:r>
              <w:rPr>
                <w:rFonts w:hint="eastAsia" w:ascii="Times New Roman" w:hAnsi="Times New Roman" w:eastAsia="宋体" w:cs="宋体"/>
                <w:b/>
                <w:bCs/>
                <w:color w:val="auto"/>
                <w:highlight w:val="none"/>
                <w:lang w:val="en-US" w:eastAsia="zh-CN"/>
              </w:rPr>
              <w:t>声环境</w:t>
            </w:r>
          </w:p>
          <w:p w14:paraId="24822503">
            <w:pPr>
              <w:keepNext w:val="0"/>
              <w:keepLines w:val="0"/>
              <w:pageBreakBefore w:val="0"/>
              <w:widowControl w:val="0"/>
              <w:kinsoku/>
              <w:wordWrap/>
              <w:overflowPunct/>
              <w:topLinePunct w:val="0"/>
              <w:autoSpaceDE/>
              <w:autoSpaceDN/>
              <w:bidi w:val="0"/>
              <w:adjustRightInd/>
              <w:snapToGrid/>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bCs/>
                <w:color w:val="auto"/>
                <w:sz w:val="24"/>
                <w:highlight w:val="none"/>
              </w:rPr>
              <w:t>施工</w:t>
            </w:r>
            <w:r>
              <w:rPr>
                <w:rFonts w:hint="default" w:ascii="Times New Roman" w:hAnsi="Times New Roman" w:cs="Times New Roman"/>
                <w:bCs/>
                <w:color w:val="auto"/>
                <w:sz w:val="24"/>
                <w:highlight w:val="none"/>
                <w:lang w:val="en-US" w:eastAsia="zh-CN"/>
              </w:rPr>
              <w:t>期</w:t>
            </w:r>
            <w:r>
              <w:rPr>
                <w:rFonts w:hint="default" w:ascii="Times New Roman" w:hAnsi="Times New Roman" w:cs="Times New Roman"/>
                <w:bCs/>
                <w:color w:val="auto"/>
                <w:sz w:val="24"/>
                <w:highlight w:val="none"/>
              </w:rPr>
              <w:t>噪声主要来源于施工机械设备产生的噪声，如装载机、吊车、载重汽车、电钻等，</w:t>
            </w:r>
            <w:r>
              <w:rPr>
                <w:rFonts w:hint="default" w:ascii="Times New Roman" w:hAnsi="Times New Roman" w:cs="Times New Roman"/>
                <w:color w:val="auto"/>
                <w:sz w:val="24"/>
                <w:highlight w:val="none"/>
              </w:rPr>
              <w:t>噪声值为70-110dB（A）。</w:t>
            </w:r>
          </w:p>
          <w:p w14:paraId="162C6F7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评价要求采取以下措施减轻噪声影响：</w:t>
            </w:r>
          </w:p>
          <w:p w14:paraId="70003E1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lang w:eastAsia="zh-CN"/>
              </w:rPr>
              <w:t>（</w:t>
            </w:r>
            <w:r>
              <w:rPr>
                <w:rFonts w:hint="eastAsia" w:ascii="Times New Roman" w:hAnsi="Times New Roman" w:cs="Times New Roman"/>
                <w:color w:val="auto"/>
                <w:kern w:val="0"/>
                <w:sz w:val="24"/>
                <w:highlight w:val="none"/>
                <w:lang w:val="en-US" w:eastAsia="zh-CN"/>
              </w:rPr>
              <w:t>1</w:t>
            </w:r>
            <w:r>
              <w:rPr>
                <w:rFonts w:hint="eastAsia" w:ascii="Times New Roman" w:hAnsi="Times New Roman" w:cs="Times New Roman"/>
                <w:color w:val="auto"/>
                <w:kern w:val="0"/>
                <w:sz w:val="24"/>
                <w:highlight w:val="none"/>
                <w:lang w:eastAsia="zh-CN"/>
              </w:rPr>
              <w:t>）</w:t>
            </w:r>
            <w:r>
              <w:rPr>
                <w:rFonts w:hint="default" w:ascii="Times New Roman" w:hAnsi="Times New Roman" w:cs="Times New Roman"/>
                <w:color w:val="auto"/>
                <w:kern w:val="0"/>
                <w:sz w:val="24"/>
                <w:highlight w:val="none"/>
              </w:rPr>
              <w:t>企业在施工过程</w:t>
            </w:r>
            <w:r>
              <w:rPr>
                <w:rFonts w:hint="default" w:ascii="Times New Roman" w:hAnsi="Times New Roman" w:cs="Times New Roman"/>
                <w:color w:val="auto"/>
                <w:kern w:val="0"/>
                <w:sz w:val="24"/>
                <w:highlight w:val="none"/>
                <w:lang w:val="en-US" w:eastAsia="zh-CN"/>
              </w:rPr>
              <w:t>中</w:t>
            </w:r>
            <w:r>
              <w:rPr>
                <w:rFonts w:hint="default" w:ascii="Times New Roman" w:hAnsi="Times New Roman" w:cs="Times New Roman"/>
                <w:color w:val="auto"/>
                <w:kern w:val="0"/>
                <w:sz w:val="24"/>
                <w:highlight w:val="none"/>
              </w:rPr>
              <w:t>要合理安排施工时间，所有产噪设备施工时间应尽量安排在日间，严格控制夜间施工，在22时至次日6时不得施工，高噪声设备禁止夜间施工；</w:t>
            </w:r>
          </w:p>
          <w:p w14:paraId="11C3F5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lang w:eastAsia="zh-CN"/>
              </w:rPr>
              <w:t>（</w:t>
            </w:r>
            <w:r>
              <w:rPr>
                <w:rFonts w:hint="eastAsia" w:ascii="Times New Roman" w:hAnsi="Times New Roman" w:cs="Times New Roman"/>
                <w:color w:val="auto"/>
                <w:kern w:val="0"/>
                <w:sz w:val="24"/>
                <w:highlight w:val="none"/>
                <w:lang w:val="en-US" w:eastAsia="zh-CN"/>
              </w:rPr>
              <w:t>2</w:t>
            </w:r>
            <w:r>
              <w:rPr>
                <w:rFonts w:hint="eastAsia" w:ascii="Times New Roman" w:hAnsi="Times New Roman" w:cs="Times New Roman"/>
                <w:color w:val="auto"/>
                <w:kern w:val="0"/>
                <w:sz w:val="24"/>
                <w:highlight w:val="none"/>
                <w:lang w:eastAsia="zh-CN"/>
              </w:rPr>
              <w:t>）</w:t>
            </w:r>
            <w:r>
              <w:rPr>
                <w:rFonts w:hint="default" w:ascii="Times New Roman" w:hAnsi="Times New Roman" w:cs="Times New Roman"/>
                <w:color w:val="auto"/>
                <w:kern w:val="0"/>
                <w:sz w:val="24"/>
                <w:highlight w:val="none"/>
              </w:rPr>
              <w:t>由于工艺或工程进度要求需在夜间施工时，需事先征得环保部门的同意，并竖立</w:t>
            </w:r>
            <w:r>
              <w:rPr>
                <w:rFonts w:hint="eastAsia" w:ascii="Times New Roman" w:hAnsi="Times New Roman" w:cs="Times New Roman"/>
                <w:color w:val="auto"/>
                <w:kern w:val="0"/>
                <w:sz w:val="24"/>
                <w:highlight w:val="none"/>
                <w:lang w:eastAsia="zh-CN"/>
              </w:rPr>
              <w:t>公告牌</w:t>
            </w:r>
            <w:r>
              <w:rPr>
                <w:rFonts w:hint="default" w:ascii="Times New Roman" w:hAnsi="Times New Roman" w:cs="Times New Roman"/>
                <w:color w:val="auto"/>
                <w:kern w:val="0"/>
                <w:sz w:val="24"/>
                <w:highlight w:val="none"/>
              </w:rPr>
              <w:t>向周边居民说明情况；</w:t>
            </w:r>
          </w:p>
          <w:p w14:paraId="4173B29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lang w:eastAsia="zh-CN"/>
              </w:rPr>
              <w:t>（</w:t>
            </w:r>
            <w:r>
              <w:rPr>
                <w:rFonts w:hint="eastAsia" w:ascii="Times New Roman" w:hAnsi="Times New Roman" w:cs="Times New Roman"/>
                <w:color w:val="auto"/>
                <w:kern w:val="0"/>
                <w:sz w:val="24"/>
                <w:highlight w:val="none"/>
                <w:lang w:val="en-US" w:eastAsia="zh-CN"/>
              </w:rPr>
              <w:t>3</w:t>
            </w:r>
            <w:r>
              <w:rPr>
                <w:rFonts w:hint="eastAsia" w:ascii="Times New Roman" w:hAnsi="Times New Roman" w:cs="Times New Roman"/>
                <w:color w:val="auto"/>
                <w:kern w:val="0"/>
                <w:sz w:val="24"/>
                <w:highlight w:val="none"/>
                <w:lang w:eastAsia="zh-CN"/>
              </w:rPr>
              <w:t>）</w:t>
            </w:r>
            <w:r>
              <w:rPr>
                <w:rFonts w:hint="default" w:ascii="Times New Roman" w:hAnsi="Times New Roman" w:cs="Times New Roman"/>
                <w:color w:val="auto"/>
                <w:kern w:val="0"/>
                <w:sz w:val="24"/>
                <w:highlight w:val="none"/>
              </w:rPr>
              <w:t>采用低噪声设备，对动力机械设备进行定期维修、养护，避免因设备松动部件的</w:t>
            </w:r>
            <w:r>
              <w:rPr>
                <w:rFonts w:hint="eastAsia" w:ascii="Times New Roman" w:hAnsi="Times New Roman" w:cs="Times New Roman"/>
                <w:color w:val="auto"/>
                <w:kern w:val="0"/>
                <w:sz w:val="24"/>
                <w:highlight w:val="none"/>
                <w:lang w:eastAsia="zh-CN"/>
              </w:rPr>
              <w:t>振动</w:t>
            </w:r>
            <w:r>
              <w:rPr>
                <w:rFonts w:hint="default" w:ascii="Times New Roman" w:hAnsi="Times New Roman" w:cs="Times New Roman"/>
                <w:color w:val="auto"/>
                <w:kern w:val="0"/>
                <w:sz w:val="24"/>
                <w:highlight w:val="none"/>
              </w:rPr>
              <w:t>或消声器破坏而加大其工作时的声级；</w:t>
            </w:r>
          </w:p>
          <w:p w14:paraId="5377B8D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lang w:eastAsia="zh-CN"/>
              </w:rPr>
              <w:t>（</w:t>
            </w:r>
            <w:r>
              <w:rPr>
                <w:rFonts w:hint="eastAsia" w:ascii="Times New Roman" w:hAnsi="Times New Roman" w:cs="Times New Roman"/>
                <w:color w:val="auto"/>
                <w:kern w:val="0"/>
                <w:sz w:val="24"/>
                <w:highlight w:val="none"/>
                <w:lang w:val="en-US" w:eastAsia="zh-CN"/>
              </w:rPr>
              <w:t>4</w:t>
            </w:r>
            <w:r>
              <w:rPr>
                <w:rFonts w:hint="eastAsia" w:ascii="Times New Roman" w:hAnsi="Times New Roman" w:cs="Times New Roman"/>
                <w:color w:val="auto"/>
                <w:kern w:val="0"/>
                <w:sz w:val="24"/>
                <w:highlight w:val="none"/>
                <w:lang w:eastAsia="zh-CN"/>
              </w:rPr>
              <w:t>）</w:t>
            </w:r>
            <w:r>
              <w:rPr>
                <w:rFonts w:hint="default" w:ascii="Times New Roman" w:hAnsi="Times New Roman" w:cs="Times New Roman"/>
                <w:color w:val="auto"/>
                <w:kern w:val="0"/>
                <w:sz w:val="24"/>
                <w:highlight w:val="none"/>
              </w:rPr>
              <w:t>在模板、支架的拆卸过程中应遵守作业规定，减少碰撞噪声。</w:t>
            </w:r>
          </w:p>
          <w:p w14:paraId="5F8C7A6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lang w:eastAsia="zh-CN"/>
              </w:rPr>
              <w:t>（</w:t>
            </w:r>
            <w:r>
              <w:rPr>
                <w:rFonts w:hint="eastAsia" w:ascii="Times New Roman" w:hAnsi="Times New Roman" w:cs="Times New Roman"/>
                <w:color w:val="auto"/>
                <w:kern w:val="0"/>
                <w:sz w:val="24"/>
                <w:highlight w:val="none"/>
                <w:lang w:val="en-US" w:eastAsia="zh-CN"/>
              </w:rPr>
              <w:t>5</w:t>
            </w:r>
            <w:r>
              <w:rPr>
                <w:rFonts w:hint="eastAsia" w:ascii="Times New Roman" w:hAnsi="Times New Roman" w:cs="Times New Roman"/>
                <w:color w:val="auto"/>
                <w:kern w:val="0"/>
                <w:sz w:val="24"/>
                <w:highlight w:val="none"/>
                <w:lang w:eastAsia="zh-CN"/>
              </w:rPr>
              <w:t>）</w:t>
            </w:r>
            <w:r>
              <w:rPr>
                <w:rFonts w:hint="default" w:ascii="Times New Roman" w:hAnsi="Times New Roman" w:cs="Times New Roman"/>
                <w:color w:val="auto"/>
                <w:kern w:val="0"/>
                <w:sz w:val="24"/>
                <w:highlight w:val="none"/>
              </w:rPr>
              <w:t>合理布局，避免在同一地点安排大量动力机械设备，以避免局部声级过高。</w:t>
            </w:r>
          </w:p>
          <w:p w14:paraId="101C9F5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lang w:eastAsia="zh-CN"/>
              </w:rPr>
              <w:t>（</w:t>
            </w:r>
            <w:r>
              <w:rPr>
                <w:rFonts w:hint="eastAsia" w:ascii="Times New Roman" w:hAnsi="Times New Roman" w:cs="Times New Roman"/>
                <w:color w:val="auto"/>
                <w:kern w:val="0"/>
                <w:sz w:val="24"/>
                <w:highlight w:val="none"/>
                <w:lang w:val="en-US" w:eastAsia="zh-CN"/>
              </w:rPr>
              <w:t>6</w:t>
            </w:r>
            <w:r>
              <w:rPr>
                <w:rFonts w:hint="eastAsia" w:ascii="Times New Roman" w:hAnsi="Times New Roman" w:cs="Times New Roman"/>
                <w:color w:val="auto"/>
                <w:kern w:val="0"/>
                <w:sz w:val="24"/>
                <w:highlight w:val="none"/>
                <w:lang w:eastAsia="zh-CN"/>
              </w:rPr>
              <w:t>）</w:t>
            </w:r>
            <w:r>
              <w:rPr>
                <w:rFonts w:hint="default" w:ascii="Times New Roman" w:hAnsi="Times New Roman" w:cs="Times New Roman"/>
                <w:color w:val="auto"/>
                <w:kern w:val="0"/>
                <w:sz w:val="24"/>
                <w:highlight w:val="none"/>
              </w:rPr>
              <w:t>为避免设备噪声对施工人员造成影响，评价建议项目施工时要合理安排工作人员，轮流操作机械，减少工人接触高噪音时间；对声源附近工作时间较长的工人，应采取分发防护耳塞保护措施，使工人自身防护得到保障。</w:t>
            </w:r>
          </w:p>
          <w:p w14:paraId="08874F68">
            <w:pPr>
              <w:numPr>
                <w:ilvl w:val="0"/>
                <w:numId w:val="10"/>
              </w:numPr>
              <w:bidi w:val="0"/>
              <w:rPr>
                <w:rFonts w:hint="eastAsia"/>
                <w:b/>
                <w:bCs/>
                <w:color w:val="auto"/>
                <w:highlight w:val="none"/>
                <w:lang w:eastAsia="zh-CN"/>
              </w:rPr>
            </w:pPr>
            <w:r>
              <w:rPr>
                <w:rFonts w:hint="eastAsia"/>
                <w:b/>
                <w:bCs/>
                <w:color w:val="auto"/>
                <w:highlight w:val="none"/>
                <w:lang w:eastAsia="zh-CN"/>
              </w:rPr>
              <w:t>固体废弃物</w:t>
            </w:r>
          </w:p>
          <w:p w14:paraId="27C60AF1">
            <w:pPr>
              <w:bidi w:val="0"/>
              <w:rPr>
                <w:rFonts w:hint="eastAsia"/>
                <w:color w:val="auto"/>
                <w:highlight w:val="none"/>
                <w:lang w:eastAsia="zh-CN"/>
              </w:rPr>
            </w:pPr>
            <w:r>
              <w:rPr>
                <w:rFonts w:hint="eastAsia"/>
                <w:color w:val="auto"/>
                <w:highlight w:val="none"/>
                <w:lang w:eastAsia="zh-CN"/>
              </w:rPr>
              <w:t>本项目施工期固体废物分为两类，一类为建筑垃圾，另一类是生活垃圾。</w:t>
            </w:r>
          </w:p>
          <w:p w14:paraId="40B15D97">
            <w:pPr>
              <w:bidi w:val="0"/>
              <w:rPr>
                <w:rFonts w:hint="eastAsia"/>
                <w:color w:val="auto"/>
                <w:highlight w:val="none"/>
                <w:lang w:eastAsia="zh-CN"/>
              </w:rPr>
            </w:pPr>
            <w:r>
              <w:rPr>
                <w:rFonts w:hint="eastAsia"/>
                <w:color w:val="auto"/>
                <w:highlight w:val="none"/>
                <w:lang w:eastAsia="zh-CN"/>
              </w:rPr>
              <w:t>工程无弃方，但在施工期间需运输各种建筑材料，运输过程会有散落；工程完工后，会有不少废建筑材料。建设单位应要求施工单位规范运输，不要随路散落，也不要随意倾倒建筑垃圾，制造新的垃圾堆场。建筑垃圾处置不当，会有扬尘、雨水冲淋等，引起对环境空气和水环境造成二次污染，会对周围环境产生相当严重的不利影响。因此，从环境保护的角度看，对建筑废弃物的妥善处置十分重要。应根据当地相关建筑垃圾处理规定在已合法登记的消纳场地内处理，并且运输车辆必须密闭化，严禁在运输过程中跑、冒、滴、漏。</w:t>
            </w:r>
          </w:p>
          <w:p w14:paraId="471E890F">
            <w:pPr>
              <w:bidi w:val="0"/>
              <w:rPr>
                <w:rFonts w:hint="eastAsia"/>
                <w:color w:val="auto"/>
                <w:highlight w:val="none"/>
                <w:lang w:eastAsia="zh-CN"/>
              </w:rPr>
            </w:pPr>
            <w:r>
              <w:rPr>
                <w:rFonts w:hint="eastAsia"/>
                <w:color w:val="auto"/>
                <w:highlight w:val="none"/>
                <w:lang w:eastAsia="zh-CN"/>
              </w:rPr>
              <w:t>施工队的生活垃圾要收集到指定的垃圾箱（桶）内，由环卫部门统一处理。施工现场建筑垃圾、生活垃圾要分类、集中堆放，日产日清。</w:t>
            </w:r>
          </w:p>
          <w:p w14:paraId="5ED4B14E">
            <w:pPr>
              <w:bidi w:val="0"/>
              <w:rPr>
                <w:rFonts w:hint="eastAsia"/>
                <w:color w:val="auto"/>
                <w:highlight w:val="none"/>
                <w:lang w:eastAsia="zh-CN"/>
              </w:rPr>
            </w:pPr>
            <w:r>
              <w:rPr>
                <w:rFonts w:hint="eastAsia"/>
                <w:color w:val="auto"/>
                <w:highlight w:val="none"/>
                <w:lang w:eastAsia="zh-CN"/>
              </w:rPr>
              <w:t>所有施工固废在外送过程中做好密闭化，防止散落，更不得随意丢弃入水体或者周边自然环境之中。</w:t>
            </w:r>
          </w:p>
          <w:p w14:paraId="26E0DDE1">
            <w:pPr>
              <w:bidi w:val="0"/>
              <w:rPr>
                <w:rFonts w:hint="eastAsia"/>
                <w:color w:val="auto"/>
                <w:highlight w:val="none"/>
                <w:lang w:eastAsia="zh-CN"/>
              </w:rPr>
            </w:pPr>
            <w:r>
              <w:rPr>
                <w:rFonts w:hint="eastAsia"/>
                <w:color w:val="auto"/>
                <w:highlight w:val="none"/>
                <w:lang w:eastAsia="zh-CN"/>
              </w:rPr>
              <w:t>综上所述，项目施工期对周围环境会产生一些影响，建设单位应要求施工方做好上述建议，文明施工，便可以把装修施工期间对周围环境影响减小至满足相关环境标准要求。</w:t>
            </w:r>
          </w:p>
          <w:p w14:paraId="32CA9E72">
            <w:pPr>
              <w:bidi w:val="0"/>
              <w:rPr>
                <w:rFonts w:hint="eastAsia"/>
                <w:color w:val="auto"/>
                <w:highlight w:val="none"/>
                <w:lang w:eastAsia="zh-CN"/>
              </w:rPr>
            </w:pPr>
          </w:p>
          <w:p w14:paraId="5795216E">
            <w:pPr>
              <w:bidi w:val="0"/>
              <w:ind w:left="0" w:leftChars="0" w:firstLine="0" w:firstLineChars="0"/>
              <w:rPr>
                <w:rFonts w:hint="eastAsia"/>
                <w:color w:val="auto"/>
                <w:highlight w:val="none"/>
                <w:lang w:eastAsia="zh-CN"/>
              </w:rPr>
            </w:pPr>
          </w:p>
        </w:tc>
      </w:tr>
      <w:tr w14:paraId="232C9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3" w:hRule="atLeast"/>
          <w:jc w:val="center"/>
        </w:trPr>
        <w:tc>
          <w:tcPr>
            <w:tcW w:w="450" w:type="dxa"/>
            <w:tcBorders>
              <w:left w:val="single" w:color="auto" w:sz="8" w:space="0"/>
              <w:bottom w:val="single" w:color="auto" w:sz="8" w:space="0"/>
            </w:tcBorders>
            <w:vAlign w:val="center"/>
          </w:tcPr>
          <w:p w14:paraId="3124E6CE">
            <w:pPr>
              <w:pStyle w:val="3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eastAsia="zh-CN"/>
              </w:rPr>
            </w:pPr>
            <w:r>
              <w:rPr>
                <w:rFonts w:hint="eastAsia"/>
                <w:color w:val="auto"/>
                <w:highlight w:val="none"/>
                <w:lang w:eastAsia="zh-CN"/>
              </w:rPr>
              <w:t>运营期环境影响和保护措施</w:t>
            </w:r>
          </w:p>
        </w:tc>
        <w:tc>
          <w:tcPr>
            <w:tcW w:w="8838" w:type="dxa"/>
            <w:tcBorders>
              <w:bottom w:val="single" w:color="auto" w:sz="8" w:space="0"/>
              <w:right w:val="single" w:color="auto" w:sz="8" w:space="0"/>
            </w:tcBorders>
            <w:vAlign w:val="center"/>
          </w:tcPr>
          <w:p w14:paraId="045FAA6A">
            <w:pPr>
              <w:pStyle w:val="3"/>
              <w:keepNext w:val="0"/>
              <w:keepLines w:val="0"/>
              <w:pageBreakBefore w:val="0"/>
              <w:widowControl w:val="0"/>
              <w:kinsoku/>
              <w:wordWrap/>
              <w:overflowPunct/>
              <w:topLinePunct w:val="0"/>
              <w:autoSpaceDE/>
              <w:autoSpaceDN/>
              <w:bidi w:val="0"/>
              <w:adjustRightInd/>
              <w:snapToGrid/>
              <w:ind w:left="202" w:leftChars="0" w:firstLine="482" w:firstLineChars="0"/>
              <w:jc w:val="left"/>
              <w:textAlignment w:val="auto"/>
              <w:rPr>
                <w:rFonts w:hint="eastAsia"/>
                <w:b/>
                <w:bCs/>
                <w:color w:val="auto"/>
                <w:highlight w:val="none"/>
                <w:lang w:val="en-US" w:eastAsia="zh-CN"/>
              </w:rPr>
            </w:pPr>
            <w:bookmarkStart w:id="43" w:name="_Toc17431"/>
            <w:bookmarkStart w:id="44" w:name="_Toc4027"/>
            <w:r>
              <w:rPr>
                <w:rFonts w:hint="eastAsia"/>
                <w:b/>
                <w:bCs/>
                <w:color w:val="auto"/>
                <w:highlight w:val="none"/>
                <w:lang w:val="en-US" w:eastAsia="zh-CN"/>
              </w:rPr>
              <w:t>废气</w:t>
            </w:r>
            <w:bookmarkEnd w:id="43"/>
            <w:bookmarkEnd w:id="44"/>
          </w:p>
          <w:p w14:paraId="65F04C1D">
            <w:pPr>
              <w:pStyle w:val="29"/>
              <w:keepNext w:val="0"/>
              <w:keepLines w:val="0"/>
              <w:pageBreakBefore w:val="0"/>
              <w:widowControl w:val="0"/>
              <w:kinsoku/>
              <w:wordWrap/>
              <w:overflowPunct/>
              <w:topLinePunct w:val="0"/>
              <w:autoSpaceDE/>
              <w:autoSpaceDN/>
              <w:bidi w:val="0"/>
              <w:adjustRightInd/>
              <w:snapToGrid/>
              <w:spacing w:before="0" w:after="0" w:line="240" w:lineRule="auto"/>
              <w:ind w:left="0" w:leftChars="0" w:firstLine="0" w:firstLineChars="0"/>
              <w:jc w:val="center"/>
              <w:textAlignment w:val="baseline"/>
              <w:rPr>
                <w:rFonts w:hint="default" w:ascii="Times New Roman" w:hAnsi="Times New Roman" w:eastAsia="宋体" w:cs="Times New Roman"/>
                <w:b/>
                <w:bCs/>
                <w:color w:val="auto"/>
                <w:kern w:val="2"/>
                <w:sz w:val="21"/>
                <w:szCs w:val="24"/>
                <w:highlight w:val="none"/>
                <w:lang w:val="en-US" w:eastAsia="zh-CN" w:bidi="ar"/>
              </w:rPr>
            </w:pPr>
            <w:r>
              <w:rPr>
                <w:rFonts w:hint="default" w:ascii="Times New Roman" w:hAnsi="Times New Roman" w:eastAsia="宋体" w:cs="Times New Roman"/>
                <w:b/>
                <w:bCs/>
                <w:color w:val="auto"/>
                <w:kern w:val="2"/>
                <w:sz w:val="21"/>
                <w:szCs w:val="24"/>
                <w:highlight w:val="none"/>
                <w:lang w:val="en-US" w:eastAsia="zh-CN" w:bidi="ar"/>
              </w:rPr>
              <w:t>表</w:t>
            </w:r>
            <w:r>
              <w:rPr>
                <w:rFonts w:hint="default" w:ascii="Times New Roman" w:hAnsi="Times New Roman" w:eastAsia="宋体" w:cs="Times New Roman"/>
                <w:b/>
                <w:bCs/>
                <w:color w:val="auto"/>
                <w:kern w:val="2"/>
                <w:sz w:val="21"/>
                <w:szCs w:val="24"/>
                <w:highlight w:val="none"/>
                <w:lang w:val="en-US" w:eastAsia="zh-CN" w:bidi="ar"/>
              </w:rPr>
              <w:fldChar w:fldCharType="begin"/>
            </w:r>
            <w:r>
              <w:rPr>
                <w:rFonts w:hint="default" w:ascii="Times New Roman" w:hAnsi="Times New Roman" w:eastAsia="宋体" w:cs="Times New Roman"/>
                <w:b/>
                <w:bCs/>
                <w:color w:val="auto"/>
                <w:kern w:val="2"/>
                <w:sz w:val="21"/>
                <w:szCs w:val="24"/>
                <w:highlight w:val="none"/>
                <w:lang w:val="en-US" w:eastAsia="zh-CN" w:bidi="ar"/>
              </w:rPr>
              <w:instrText xml:space="preserve"> STYLEREF 1 \s </w:instrText>
            </w:r>
            <w:r>
              <w:rPr>
                <w:rFonts w:hint="default" w:ascii="Times New Roman" w:hAnsi="Times New Roman" w:eastAsia="宋体" w:cs="Times New Roman"/>
                <w:b/>
                <w:bCs/>
                <w:color w:val="auto"/>
                <w:kern w:val="2"/>
                <w:sz w:val="21"/>
                <w:szCs w:val="24"/>
                <w:highlight w:val="none"/>
                <w:lang w:val="en-US" w:eastAsia="zh-CN" w:bidi="ar"/>
              </w:rPr>
              <w:fldChar w:fldCharType="separate"/>
            </w:r>
            <w:r>
              <w:rPr>
                <w:rFonts w:hint="default" w:ascii="Times New Roman" w:hAnsi="Times New Roman" w:eastAsia="宋体" w:cs="Times New Roman"/>
                <w:b/>
                <w:bCs/>
                <w:color w:val="auto"/>
                <w:kern w:val="2"/>
                <w:sz w:val="21"/>
                <w:szCs w:val="24"/>
                <w:highlight w:val="none"/>
                <w:lang w:val="en-US" w:eastAsia="zh-CN" w:bidi="ar"/>
              </w:rPr>
              <w:t>4</w:t>
            </w:r>
            <w:r>
              <w:rPr>
                <w:rFonts w:hint="default" w:ascii="Times New Roman" w:hAnsi="Times New Roman" w:eastAsia="宋体" w:cs="Times New Roman"/>
                <w:b/>
                <w:bCs/>
                <w:color w:val="auto"/>
                <w:kern w:val="2"/>
                <w:sz w:val="21"/>
                <w:szCs w:val="24"/>
                <w:highlight w:val="none"/>
                <w:lang w:val="en-US" w:eastAsia="zh-CN" w:bidi="ar"/>
              </w:rPr>
              <w:fldChar w:fldCharType="end"/>
            </w:r>
            <w:r>
              <w:rPr>
                <w:rFonts w:hint="default" w:ascii="Times New Roman" w:hAnsi="Times New Roman" w:eastAsia="宋体" w:cs="Times New Roman"/>
                <w:b/>
                <w:bCs/>
                <w:color w:val="auto"/>
                <w:kern w:val="2"/>
                <w:sz w:val="21"/>
                <w:szCs w:val="24"/>
                <w:highlight w:val="none"/>
                <w:lang w:val="en-US" w:eastAsia="zh-CN" w:bidi="ar"/>
              </w:rPr>
              <w:t>-</w:t>
            </w:r>
            <w:r>
              <w:rPr>
                <w:rFonts w:hint="default" w:ascii="Times New Roman" w:hAnsi="Times New Roman" w:eastAsia="宋体" w:cs="Times New Roman"/>
                <w:b/>
                <w:bCs/>
                <w:color w:val="auto"/>
                <w:kern w:val="2"/>
                <w:sz w:val="21"/>
                <w:szCs w:val="24"/>
                <w:highlight w:val="none"/>
                <w:lang w:val="en-US" w:eastAsia="zh-CN" w:bidi="ar"/>
              </w:rPr>
              <w:fldChar w:fldCharType="begin"/>
            </w:r>
            <w:r>
              <w:rPr>
                <w:rFonts w:hint="default" w:ascii="Times New Roman" w:hAnsi="Times New Roman" w:eastAsia="宋体" w:cs="Times New Roman"/>
                <w:b/>
                <w:bCs/>
                <w:color w:val="auto"/>
                <w:kern w:val="2"/>
                <w:sz w:val="21"/>
                <w:szCs w:val="24"/>
                <w:highlight w:val="none"/>
                <w:lang w:val="en-US" w:eastAsia="zh-CN" w:bidi="ar"/>
              </w:rPr>
              <w:instrText xml:space="preserve"> SEQ 表 \* ARABIC \s 1 </w:instrText>
            </w:r>
            <w:r>
              <w:rPr>
                <w:rFonts w:hint="default" w:ascii="Times New Roman" w:hAnsi="Times New Roman" w:eastAsia="宋体" w:cs="Times New Roman"/>
                <w:b/>
                <w:bCs/>
                <w:color w:val="auto"/>
                <w:kern w:val="2"/>
                <w:sz w:val="21"/>
                <w:szCs w:val="24"/>
                <w:highlight w:val="none"/>
                <w:lang w:val="en-US" w:eastAsia="zh-CN" w:bidi="ar"/>
              </w:rPr>
              <w:fldChar w:fldCharType="separate"/>
            </w:r>
            <w:r>
              <w:rPr>
                <w:rFonts w:hint="default" w:ascii="Times New Roman" w:hAnsi="Times New Roman" w:eastAsia="宋体" w:cs="Times New Roman"/>
                <w:b/>
                <w:bCs/>
                <w:color w:val="auto"/>
                <w:kern w:val="2"/>
                <w:sz w:val="21"/>
                <w:szCs w:val="24"/>
                <w:highlight w:val="none"/>
                <w:lang w:val="en-US" w:eastAsia="zh-CN" w:bidi="ar"/>
              </w:rPr>
              <w:t>1</w:t>
            </w:r>
            <w:r>
              <w:rPr>
                <w:rFonts w:hint="default" w:ascii="Times New Roman" w:hAnsi="Times New Roman" w:eastAsia="宋体" w:cs="Times New Roman"/>
                <w:b/>
                <w:bCs/>
                <w:color w:val="auto"/>
                <w:kern w:val="2"/>
                <w:sz w:val="21"/>
                <w:szCs w:val="24"/>
                <w:highlight w:val="none"/>
                <w:lang w:val="en-US" w:eastAsia="zh-CN" w:bidi="ar"/>
              </w:rPr>
              <w:fldChar w:fldCharType="end"/>
            </w:r>
            <w:r>
              <w:rPr>
                <w:rFonts w:hint="eastAsia" w:ascii="Times New Roman" w:hAnsi="Times New Roman" w:eastAsia="宋体" w:cs="Times New Roman"/>
                <w:b/>
                <w:bCs/>
                <w:color w:val="auto"/>
                <w:kern w:val="2"/>
                <w:sz w:val="21"/>
                <w:szCs w:val="24"/>
                <w:highlight w:val="none"/>
                <w:lang w:val="en-US" w:eastAsia="zh-CN" w:bidi="ar"/>
              </w:rPr>
              <w:t xml:space="preserve"> 废气污染源产生排放情况表</w:t>
            </w:r>
          </w:p>
          <w:tbl>
            <w:tblPr>
              <w:tblStyle w:val="34"/>
              <w:tblW w:w="86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1"/>
              <w:gridCol w:w="1652"/>
              <w:gridCol w:w="899"/>
              <w:gridCol w:w="846"/>
              <w:gridCol w:w="853"/>
              <w:gridCol w:w="890"/>
              <w:gridCol w:w="2468"/>
            </w:tblGrid>
            <w:tr w14:paraId="51576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0" w:type="pct"/>
                  <w:gridSpan w:val="2"/>
                  <w:vAlign w:val="center"/>
                </w:tcPr>
                <w:p w14:paraId="46B2E94D">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污染源名称</w:t>
                  </w:r>
                </w:p>
              </w:tc>
              <w:tc>
                <w:tcPr>
                  <w:tcW w:w="2025" w:type="pct"/>
                  <w:gridSpan w:val="4"/>
                  <w:vAlign w:val="center"/>
                </w:tcPr>
                <w:p w14:paraId="4B8B2B49">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实验室废气</w:t>
                  </w:r>
                </w:p>
              </w:tc>
              <w:tc>
                <w:tcPr>
                  <w:tcW w:w="1433" w:type="pct"/>
                  <w:shd w:val="clear" w:color="auto" w:fill="auto"/>
                  <w:vAlign w:val="center"/>
                </w:tcPr>
                <w:p w14:paraId="3FBB5CE0">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kern w:val="1"/>
                      <w:sz w:val="21"/>
                      <w:szCs w:val="21"/>
                      <w:highlight w:val="none"/>
                      <w:vertAlign w:val="baseline"/>
                      <w:lang w:val="en-US" w:eastAsia="zh-CN" w:bidi="ar-SA"/>
                    </w:rPr>
                  </w:pPr>
                  <w:r>
                    <w:rPr>
                      <w:rFonts w:hint="default" w:ascii="Times New Roman" w:hAnsi="Times New Roman" w:eastAsia="宋体" w:cs="Times New Roman"/>
                      <w:b w:val="0"/>
                      <w:bCs/>
                      <w:color w:val="auto"/>
                      <w:sz w:val="21"/>
                      <w:szCs w:val="21"/>
                      <w:highlight w:val="none"/>
                      <w:vertAlign w:val="baseline"/>
                      <w:lang w:val="en-US" w:eastAsia="zh-CN"/>
                    </w:rPr>
                    <w:t>餐厅</w:t>
                  </w:r>
                </w:p>
              </w:tc>
            </w:tr>
            <w:tr w14:paraId="73237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0" w:type="pct"/>
                  <w:gridSpan w:val="2"/>
                  <w:vAlign w:val="center"/>
                </w:tcPr>
                <w:p w14:paraId="2AFC5DA8">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污染物种类</w:t>
                  </w:r>
                </w:p>
              </w:tc>
              <w:tc>
                <w:tcPr>
                  <w:tcW w:w="522" w:type="pct"/>
                  <w:vAlign w:val="center"/>
                </w:tcPr>
                <w:p w14:paraId="3B77D2A0">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氯化氢</w:t>
                  </w:r>
                </w:p>
              </w:tc>
              <w:tc>
                <w:tcPr>
                  <w:tcW w:w="491" w:type="pct"/>
                  <w:vAlign w:val="center"/>
                </w:tcPr>
                <w:p w14:paraId="4DFF4E7A">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硫酸雾</w:t>
                  </w:r>
                </w:p>
              </w:tc>
              <w:tc>
                <w:tcPr>
                  <w:tcW w:w="495" w:type="pct"/>
                  <w:vAlign w:val="center"/>
                </w:tcPr>
                <w:p w14:paraId="3538DAEE">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硝酸雾</w:t>
                  </w:r>
                </w:p>
              </w:tc>
              <w:tc>
                <w:tcPr>
                  <w:tcW w:w="516" w:type="pct"/>
                  <w:vAlign w:val="center"/>
                </w:tcPr>
                <w:p w14:paraId="1445D37C">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非甲烷总烃</w:t>
                  </w:r>
                </w:p>
              </w:tc>
              <w:tc>
                <w:tcPr>
                  <w:tcW w:w="1433" w:type="pct"/>
                  <w:shd w:val="clear" w:color="auto" w:fill="auto"/>
                  <w:vAlign w:val="center"/>
                </w:tcPr>
                <w:p w14:paraId="71552754">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kern w:val="1"/>
                      <w:sz w:val="21"/>
                      <w:szCs w:val="21"/>
                      <w:highlight w:val="none"/>
                      <w:vertAlign w:val="baseline"/>
                      <w:lang w:val="en-US" w:eastAsia="zh-CN" w:bidi="ar-SA"/>
                    </w:rPr>
                  </w:pPr>
                  <w:r>
                    <w:rPr>
                      <w:rFonts w:hint="default" w:ascii="Times New Roman" w:hAnsi="Times New Roman" w:eastAsia="宋体" w:cs="Times New Roman"/>
                      <w:b w:val="0"/>
                      <w:bCs/>
                      <w:color w:val="auto"/>
                      <w:sz w:val="21"/>
                      <w:szCs w:val="21"/>
                      <w:highlight w:val="none"/>
                      <w:vertAlign w:val="baseline"/>
                      <w:lang w:val="en-US" w:eastAsia="zh-CN"/>
                    </w:rPr>
                    <w:t>食堂油烟</w:t>
                  </w:r>
                </w:p>
              </w:tc>
            </w:tr>
            <w:tr w14:paraId="41E42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0" w:type="pct"/>
                  <w:gridSpan w:val="2"/>
                  <w:vAlign w:val="center"/>
                </w:tcPr>
                <w:p w14:paraId="660C0573">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排放方式</w:t>
                  </w:r>
                </w:p>
              </w:tc>
              <w:tc>
                <w:tcPr>
                  <w:tcW w:w="2025" w:type="pct"/>
                  <w:gridSpan w:val="4"/>
                  <w:vAlign w:val="center"/>
                </w:tcPr>
                <w:p w14:paraId="0B17EF93">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w:t>
                  </w:r>
                  <w:r>
                    <w:rPr>
                      <w:rFonts w:hint="default" w:ascii="Times New Roman" w:hAnsi="Times New Roman" w:eastAsia="宋体" w:cs="Times New Roman"/>
                      <w:b w:val="0"/>
                      <w:bCs/>
                      <w:color w:val="auto"/>
                      <w:sz w:val="21"/>
                      <w:szCs w:val="21"/>
                      <w:highlight w:val="none"/>
                      <w:vertAlign w:val="baseline"/>
                      <w:lang w:val="en-US" w:eastAsia="zh-CN"/>
                    </w:rPr>
                    <w:t>有组织</w:t>
                  </w:r>
                  <w:r>
                    <w:rPr>
                      <w:rFonts w:hint="eastAsia" w:ascii="Times New Roman" w:hAnsi="Times New Roman" w:eastAsia="宋体" w:cs="Times New Roman"/>
                      <w:b w:val="0"/>
                      <w:bCs/>
                      <w:color w:val="auto"/>
                      <w:sz w:val="21"/>
                      <w:szCs w:val="21"/>
                      <w:highlight w:val="none"/>
                      <w:vertAlign w:val="baseline"/>
                      <w:lang w:val="en-US" w:eastAsia="zh-CN"/>
                    </w:rPr>
                    <w:t xml:space="preserve"> □</w:t>
                  </w:r>
                  <w:r>
                    <w:rPr>
                      <w:rFonts w:hint="default" w:ascii="Times New Roman" w:hAnsi="Times New Roman" w:eastAsia="宋体" w:cs="Times New Roman"/>
                      <w:b w:val="0"/>
                      <w:bCs/>
                      <w:color w:val="auto"/>
                      <w:sz w:val="21"/>
                      <w:szCs w:val="21"/>
                      <w:highlight w:val="none"/>
                      <w:vertAlign w:val="baseline"/>
                      <w:lang w:val="en-US" w:eastAsia="zh-CN"/>
                    </w:rPr>
                    <w:t>无组织</w:t>
                  </w:r>
                </w:p>
              </w:tc>
              <w:tc>
                <w:tcPr>
                  <w:tcW w:w="1433" w:type="pct"/>
                  <w:shd w:val="clear" w:color="auto" w:fill="auto"/>
                  <w:vAlign w:val="center"/>
                </w:tcPr>
                <w:p w14:paraId="468213BD">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kern w:val="1"/>
                      <w:sz w:val="21"/>
                      <w:szCs w:val="21"/>
                      <w:highlight w:val="none"/>
                      <w:vertAlign w:val="baseline"/>
                      <w:lang w:val="en-US" w:eastAsia="zh-CN" w:bidi="ar-SA"/>
                    </w:rPr>
                  </w:pPr>
                  <w:r>
                    <w:rPr>
                      <w:rFonts w:hint="default" w:ascii="Times New Roman" w:hAnsi="Times New Roman" w:eastAsia="宋体" w:cs="Times New Roman"/>
                      <w:b w:val="0"/>
                      <w:bCs/>
                      <w:color w:val="auto"/>
                      <w:sz w:val="21"/>
                      <w:szCs w:val="21"/>
                      <w:highlight w:val="none"/>
                      <w:vertAlign w:val="baseline"/>
                      <w:lang w:val="en-US" w:eastAsia="zh-CN"/>
                    </w:rPr>
                    <w:t>☑有组织</w:t>
                  </w:r>
                  <w:r>
                    <w:rPr>
                      <w:rFonts w:hint="eastAsia" w:ascii="Times New Roman" w:hAnsi="Times New Roman" w:eastAsia="宋体" w:cs="Times New Roman"/>
                      <w:b w:val="0"/>
                      <w:bCs/>
                      <w:color w:val="auto"/>
                      <w:sz w:val="21"/>
                      <w:szCs w:val="21"/>
                      <w:highlight w:val="none"/>
                      <w:vertAlign w:val="baseline"/>
                      <w:lang w:val="en-US" w:eastAsia="zh-CN"/>
                    </w:rPr>
                    <w:t xml:space="preserve"> □</w:t>
                  </w:r>
                  <w:r>
                    <w:rPr>
                      <w:rFonts w:hint="default" w:ascii="Times New Roman" w:hAnsi="Times New Roman" w:eastAsia="宋体" w:cs="Times New Roman"/>
                      <w:b w:val="0"/>
                      <w:bCs/>
                      <w:color w:val="auto"/>
                      <w:sz w:val="21"/>
                      <w:szCs w:val="21"/>
                      <w:highlight w:val="none"/>
                      <w:vertAlign w:val="baseline"/>
                      <w:lang w:val="en-US" w:eastAsia="zh-CN"/>
                    </w:rPr>
                    <w:t>无组织</w:t>
                  </w:r>
                </w:p>
              </w:tc>
            </w:tr>
            <w:tr w14:paraId="20F15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0" w:type="pct"/>
                  <w:gridSpan w:val="2"/>
                  <w:vAlign w:val="center"/>
                </w:tcPr>
                <w:p w14:paraId="05BD5A0E">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废气量（m</w:t>
                  </w:r>
                  <w:r>
                    <w:rPr>
                      <w:rFonts w:hint="default" w:ascii="Times New Roman" w:hAnsi="Times New Roman" w:eastAsia="宋体" w:cs="Times New Roman"/>
                      <w:b w:val="0"/>
                      <w:bCs/>
                      <w:color w:val="auto"/>
                      <w:sz w:val="21"/>
                      <w:szCs w:val="21"/>
                      <w:highlight w:val="none"/>
                      <w:vertAlign w:val="superscript"/>
                      <w:lang w:val="en-US" w:eastAsia="zh-CN"/>
                    </w:rPr>
                    <w:t>3</w:t>
                  </w:r>
                  <w:r>
                    <w:rPr>
                      <w:rFonts w:hint="default" w:ascii="Times New Roman" w:hAnsi="Times New Roman" w:eastAsia="宋体" w:cs="Times New Roman"/>
                      <w:b w:val="0"/>
                      <w:bCs/>
                      <w:color w:val="auto"/>
                      <w:sz w:val="21"/>
                      <w:szCs w:val="21"/>
                      <w:highlight w:val="none"/>
                      <w:vertAlign w:val="baseline"/>
                      <w:lang w:val="en-US" w:eastAsia="zh-CN"/>
                    </w:rPr>
                    <w:t>/h）</w:t>
                  </w:r>
                </w:p>
              </w:tc>
              <w:tc>
                <w:tcPr>
                  <w:tcW w:w="2025" w:type="pct"/>
                  <w:gridSpan w:val="4"/>
                  <w:vAlign w:val="center"/>
                </w:tcPr>
                <w:p w14:paraId="2117AD43">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38000</w:t>
                  </w:r>
                </w:p>
              </w:tc>
              <w:tc>
                <w:tcPr>
                  <w:tcW w:w="1433" w:type="pct"/>
                  <w:shd w:val="clear" w:color="auto" w:fill="auto"/>
                  <w:vAlign w:val="center"/>
                </w:tcPr>
                <w:p w14:paraId="1C9B8E19">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16000</w:t>
                  </w:r>
                </w:p>
              </w:tc>
            </w:tr>
            <w:tr w14:paraId="423C5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pct"/>
                  <w:vMerge w:val="restart"/>
                  <w:vAlign w:val="center"/>
                </w:tcPr>
                <w:p w14:paraId="04CC9395">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污染物产生情况</w:t>
                  </w:r>
                </w:p>
              </w:tc>
              <w:tc>
                <w:tcPr>
                  <w:tcW w:w="959" w:type="pct"/>
                  <w:vAlign w:val="center"/>
                </w:tcPr>
                <w:p w14:paraId="1EA1AB1D">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浓度（mg/m</w:t>
                  </w:r>
                  <w:r>
                    <w:rPr>
                      <w:rFonts w:hint="default" w:ascii="Times New Roman" w:hAnsi="Times New Roman" w:eastAsia="宋体" w:cs="Times New Roman"/>
                      <w:b w:val="0"/>
                      <w:bCs/>
                      <w:color w:val="auto"/>
                      <w:sz w:val="21"/>
                      <w:szCs w:val="21"/>
                      <w:highlight w:val="none"/>
                      <w:vertAlign w:val="superscript"/>
                      <w:lang w:val="en-US" w:eastAsia="zh-CN"/>
                    </w:rPr>
                    <w:t>3</w:t>
                  </w:r>
                  <w:r>
                    <w:rPr>
                      <w:rFonts w:hint="default" w:ascii="Times New Roman" w:hAnsi="Times New Roman" w:eastAsia="宋体" w:cs="Times New Roman"/>
                      <w:b w:val="0"/>
                      <w:bCs/>
                      <w:color w:val="auto"/>
                      <w:sz w:val="21"/>
                      <w:szCs w:val="21"/>
                      <w:highlight w:val="none"/>
                      <w:vertAlign w:val="baseline"/>
                      <w:lang w:val="en-US" w:eastAsia="zh-CN"/>
                    </w:rPr>
                    <w:t>）</w:t>
                  </w:r>
                </w:p>
              </w:tc>
              <w:tc>
                <w:tcPr>
                  <w:tcW w:w="522" w:type="pct"/>
                  <w:vAlign w:val="center"/>
                </w:tcPr>
                <w:p w14:paraId="4BE64DD5">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0.143</w:t>
                  </w:r>
                </w:p>
              </w:tc>
              <w:tc>
                <w:tcPr>
                  <w:tcW w:w="491" w:type="pct"/>
                  <w:vAlign w:val="center"/>
                </w:tcPr>
                <w:p w14:paraId="54890016">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0.032</w:t>
                  </w:r>
                </w:p>
              </w:tc>
              <w:tc>
                <w:tcPr>
                  <w:tcW w:w="495" w:type="pct"/>
                  <w:vAlign w:val="center"/>
                </w:tcPr>
                <w:p w14:paraId="0DB812E1">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0.018</w:t>
                  </w:r>
                </w:p>
              </w:tc>
              <w:tc>
                <w:tcPr>
                  <w:tcW w:w="516" w:type="pct"/>
                  <w:vAlign w:val="center"/>
                </w:tcPr>
                <w:p w14:paraId="2D45623D">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0.132</w:t>
                  </w:r>
                </w:p>
              </w:tc>
              <w:tc>
                <w:tcPr>
                  <w:tcW w:w="1433" w:type="pct"/>
                  <w:shd w:val="clear" w:color="auto" w:fill="auto"/>
                  <w:vAlign w:val="center"/>
                </w:tcPr>
                <w:p w14:paraId="7C6BBD5F">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15.26</w:t>
                  </w:r>
                </w:p>
              </w:tc>
            </w:tr>
            <w:tr w14:paraId="46586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pct"/>
                  <w:vMerge w:val="continue"/>
                  <w:vAlign w:val="center"/>
                </w:tcPr>
                <w:p w14:paraId="3CFC897E">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959" w:type="pct"/>
                  <w:vAlign w:val="center"/>
                </w:tcPr>
                <w:p w14:paraId="6FAA6A47">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产生量（kg/h）</w:t>
                  </w:r>
                </w:p>
              </w:tc>
              <w:tc>
                <w:tcPr>
                  <w:tcW w:w="522" w:type="pct"/>
                  <w:vAlign w:val="center"/>
                </w:tcPr>
                <w:p w14:paraId="138CE1BF">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0.005</w:t>
                  </w:r>
                </w:p>
              </w:tc>
              <w:tc>
                <w:tcPr>
                  <w:tcW w:w="491" w:type="pct"/>
                  <w:vAlign w:val="center"/>
                </w:tcPr>
                <w:p w14:paraId="1642398A">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0.001</w:t>
                  </w:r>
                </w:p>
              </w:tc>
              <w:tc>
                <w:tcPr>
                  <w:tcW w:w="495" w:type="pct"/>
                  <w:vAlign w:val="center"/>
                </w:tcPr>
                <w:p w14:paraId="49AFC520">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0.001</w:t>
                  </w:r>
                </w:p>
              </w:tc>
              <w:tc>
                <w:tcPr>
                  <w:tcW w:w="516" w:type="pct"/>
                  <w:vAlign w:val="center"/>
                </w:tcPr>
                <w:p w14:paraId="52527436">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0.005</w:t>
                  </w:r>
                </w:p>
              </w:tc>
              <w:tc>
                <w:tcPr>
                  <w:tcW w:w="1433" w:type="pct"/>
                  <w:shd w:val="clear" w:color="auto" w:fill="auto"/>
                  <w:vAlign w:val="center"/>
                </w:tcPr>
                <w:p w14:paraId="4EE390FF">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0.244</w:t>
                  </w:r>
                </w:p>
              </w:tc>
            </w:tr>
            <w:tr w14:paraId="3AF91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pct"/>
                  <w:vMerge w:val="continue"/>
                  <w:vAlign w:val="center"/>
                </w:tcPr>
                <w:p w14:paraId="744CF3DB">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959" w:type="pct"/>
                  <w:vAlign w:val="center"/>
                </w:tcPr>
                <w:p w14:paraId="75099159">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核算方法</w:t>
                  </w:r>
                </w:p>
              </w:tc>
              <w:tc>
                <w:tcPr>
                  <w:tcW w:w="2025" w:type="pct"/>
                  <w:gridSpan w:val="4"/>
                  <w:vAlign w:val="center"/>
                </w:tcPr>
                <w:p w14:paraId="445B7673">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类比法</w:t>
                  </w:r>
                </w:p>
              </w:tc>
              <w:tc>
                <w:tcPr>
                  <w:tcW w:w="1433" w:type="pct"/>
                  <w:shd w:val="clear" w:color="auto" w:fill="auto"/>
                  <w:vAlign w:val="center"/>
                </w:tcPr>
                <w:p w14:paraId="7C53FA34">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类比法</w:t>
                  </w:r>
                </w:p>
              </w:tc>
            </w:tr>
            <w:tr w14:paraId="39555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pct"/>
                  <w:vMerge w:val="restart"/>
                  <w:vAlign w:val="center"/>
                </w:tcPr>
                <w:p w14:paraId="3703165B">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污染物防治措施</w:t>
                  </w:r>
                </w:p>
              </w:tc>
              <w:tc>
                <w:tcPr>
                  <w:tcW w:w="959" w:type="pct"/>
                  <w:vAlign w:val="center"/>
                </w:tcPr>
                <w:p w14:paraId="14D586DD">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治理设施</w:t>
                  </w:r>
                </w:p>
              </w:tc>
              <w:tc>
                <w:tcPr>
                  <w:tcW w:w="2025" w:type="pct"/>
                  <w:gridSpan w:val="4"/>
                  <w:vAlign w:val="center"/>
                </w:tcPr>
                <w:p w14:paraId="4D148F55">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碱喷淋+活性炭吸附</w:t>
                  </w:r>
                </w:p>
              </w:tc>
              <w:tc>
                <w:tcPr>
                  <w:tcW w:w="1433" w:type="pct"/>
                  <w:shd w:val="clear" w:color="auto" w:fill="auto"/>
                  <w:vAlign w:val="center"/>
                </w:tcPr>
                <w:p w14:paraId="4BA5853F">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kern w:val="1"/>
                      <w:sz w:val="21"/>
                      <w:szCs w:val="21"/>
                      <w:highlight w:val="none"/>
                      <w:vertAlign w:val="baseline"/>
                      <w:lang w:val="en-US" w:eastAsia="zh-CN" w:bidi="ar-SA"/>
                    </w:rPr>
                    <w:t>静电式油烟净化器</w:t>
                  </w:r>
                </w:p>
              </w:tc>
            </w:tr>
            <w:tr w14:paraId="21039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81" w:type="pct"/>
                  <w:vMerge w:val="continue"/>
                  <w:vAlign w:val="center"/>
                </w:tcPr>
                <w:p w14:paraId="463363A2">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959" w:type="pct"/>
                  <w:vAlign w:val="center"/>
                </w:tcPr>
                <w:p w14:paraId="6D0DD62A">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收集效率（%）</w:t>
                  </w:r>
                </w:p>
              </w:tc>
              <w:tc>
                <w:tcPr>
                  <w:tcW w:w="522" w:type="pct"/>
                  <w:vAlign w:val="center"/>
                </w:tcPr>
                <w:p w14:paraId="6799EAB9">
                  <w:pPr>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90</w:t>
                  </w:r>
                </w:p>
              </w:tc>
              <w:tc>
                <w:tcPr>
                  <w:tcW w:w="491" w:type="pct"/>
                  <w:vAlign w:val="center"/>
                </w:tcPr>
                <w:p w14:paraId="3FAC9B7A">
                  <w:pPr>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90</w:t>
                  </w:r>
                </w:p>
              </w:tc>
              <w:tc>
                <w:tcPr>
                  <w:tcW w:w="495" w:type="pct"/>
                  <w:vAlign w:val="center"/>
                </w:tcPr>
                <w:p w14:paraId="5D3D2EAC">
                  <w:pPr>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90</w:t>
                  </w:r>
                </w:p>
              </w:tc>
              <w:tc>
                <w:tcPr>
                  <w:tcW w:w="516" w:type="pct"/>
                  <w:vAlign w:val="center"/>
                </w:tcPr>
                <w:p w14:paraId="0B7E461F">
                  <w:pPr>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90</w:t>
                  </w:r>
                </w:p>
              </w:tc>
              <w:tc>
                <w:tcPr>
                  <w:tcW w:w="1433" w:type="pct"/>
                  <w:shd w:val="clear" w:color="auto" w:fill="auto"/>
                  <w:vAlign w:val="center"/>
                </w:tcPr>
                <w:p w14:paraId="3FC446FB">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90%</w:t>
                  </w:r>
                </w:p>
              </w:tc>
            </w:tr>
            <w:tr w14:paraId="01CA2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pct"/>
                  <w:vMerge w:val="continue"/>
                  <w:vAlign w:val="center"/>
                </w:tcPr>
                <w:p w14:paraId="78F93C5A">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959" w:type="pct"/>
                  <w:vAlign w:val="center"/>
                </w:tcPr>
                <w:p w14:paraId="70A38385">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处理效率（%）</w:t>
                  </w:r>
                </w:p>
              </w:tc>
              <w:tc>
                <w:tcPr>
                  <w:tcW w:w="522" w:type="pct"/>
                  <w:vAlign w:val="center"/>
                </w:tcPr>
                <w:p w14:paraId="3E54C50E">
                  <w:pPr>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90</w:t>
                  </w:r>
                </w:p>
              </w:tc>
              <w:tc>
                <w:tcPr>
                  <w:tcW w:w="491" w:type="pct"/>
                  <w:vAlign w:val="center"/>
                </w:tcPr>
                <w:p w14:paraId="17E0D1E7">
                  <w:pPr>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90</w:t>
                  </w:r>
                </w:p>
              </w:tc>
              <w:tc>
                <w:tcPr>
                  <w:tcW w:w="495" w:type="pct"/>
                  <w:vAlign w:val="center"/>
                </w:tcPr>
                <w:p w14:paraId="6D32F547">
                  <w:pPr>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90</w:t>
                  </w:r>
                </w:p>
              </w:tc>
              <w:tc>
                <w:tcPr>
                  <w:tcW w:w="516" w:type="pct"/>
                  <w:vAlign w:val="center"/>
                </w:tcPr>
                <w:p w14:paraId="588B6C88">
                  <w:pPr>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75</w:t>
                  </w:r>
                </w:p>
              </w:tc>
              <w:tc>
                <w:tcPr>
                  <w:tcW w:w="1433" w:type="pct"/>
                  <w:shd w:val="clear" w:color="auto" w:fill="auto"/>
                  <w:vAlign w:val="center"/>
                </w:tcPr>
                <w:p w14:paraId="5F743047">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85%</w:t>
                  </w:r>
                </w:p>
              </w:tc>
            </w:tr>
            <w:tr w14:paraId="161B6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pct"/>
                  <w:vMerge w:val="restart"/>
                  <w:vAlign w:val="center"/>
                </w:tcPr>
                <w:p w14:paraId="7D91A62C">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污染物排放情况</w:t>
                  </w:r>
                </w:p>
              </w:tc>
              <w:tc>
                <w:tcPr>
                  <w:tcW w:w="959" w:type="pct"/>
                  <w:vAlign w:val="center"/>
                </w:tcPr>
                <w:p w14:paraId="62B157BC">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浓度（mg/m</w:t>
                  </w:r>
                  <w:r>
                    <w:rPr>
                      <w:rFonts w:hint="default" w:ascii="Times New Roman" w:hAnsi="Times New Roman" w:eastAsia="宋体" w:cs="Times New Roman"/>
                      <w:b w:val="0"/>
                      <w:bCs/>
                      <w:color w:val="auto"/>
                      <w:sz w:val="21"/>
                      <w:szCs w:val="21"/>
                      <w:highlight w:val="none"/>
                      <w:vertAlign w:val="superscript"/>
                      <w:lang w:val="en-US" w:eastAsia="zh-CN"/>
                    </w:rPr>
                    <w:t>3</w:t>
                  </w:r>
                  <w:r>
                    <w:rPr>
                      <w:rFonts w:hint="default" w:ascii="Times New Roman" w:hAnsi="Times New Roman" w:eastAsia="宋体" w:cs="Times New Roman"/>
                      <w:b w:val="0"/>
                      <w:bCs/>
                      <w:color w:val="auto"/>
                      <w:sz w:val="21"/>
                      <w:szCs w:val="21"/>
                      <w:highlight w:val="none"/>
                      <w:vertAlign w:val="baseline"/>
                      <w:lang w:val="en-US" w:eastAsia="zh-CN"/>
                    </w:rPr>
                    <w:t>）</w:t>
                  </w:r>
                </w:p>
              </w:tc>
              <w:tc>
                <w:tcPr>
                  <w:tcW w:w="522" w:type="pct"/>
                  <w:vAlign w:val="center"/>
                </w:tcPr>
                <w:p w14:paraId="7C6E6E69">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0.013</w:t>
                  </w:r>
                </w:p>
              </w:tc>
              <w:tc>
                <w:tcPr>
                  <w:tcW w:w="491" w:type="pct"/>
                  <w:vAlign w:val="center"/>
                </w:tcPr>
                <w:p w14:paraId="493A85A7">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0.003</w:t>
                  </w:r>
                </w:p>
              </w:tc>
              <w:tc>
                <w:tcPr>
                  <w:tcW w:w="495" w:type="pct"/>
                  <w:vAlign w:val="center"/>
                </w:tcPr>
                <w:p w14:paraId="62D66F25">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0.002</w:t>
                  </w:r>
                </w:p>
              </w:tc>
              <w:tc>
                <w:tcPr>
                  <w:tcW w:w="516" w:type="pct"/>
                  <w:vAlign w:val="center"/>
                </w:tcPr>
                <w:p w14:paraId="5BD8DC9C">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0.030</w:t>
                  </w:r>
                </w:p>
              </w:tc>
              <w:tc>
                <w:tcPr>
                  <w:tcW w:w="1433" w:type="pct"/>
                  <w:shd w:val="clear" w:color="auto" w:fill="auto"/>
                  <w:vAlign w:val="center"/>
                </w:tcPr>
                <w:p w14:paraId="7A032F5E">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kern w:val="1"/>
                      <w:sz w:val="21"/>
                      <w:szCs w:val="21"/>
                      <w:highlight w:val="none"/>
                      <w:vertAlign w:val="baseline"/>
                      <w:lang w:val="en-US" w:eastAsia="zh-CN" w:bidi="ar-SA"/>
                    </w:rPr>
                    <w:t>1.03</w:t>
                  </w:r>
                </w:p>
              </w:tc>
            </w:tr>
            <w:tr w14:paraId="4FF30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pct"/>
                  <w:vMerge w:val="continue"/>
                  <w:vAlign w:val="center"/>
                </w:tcPr>
                <w:p w14:paraId="63ADC834">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959" w:type="pct"/>
                  <w:vAlign w:val="center"/>
                </w:tcPr>
                <w:p w14:paraId="28CD6D7B">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排放量（kg/h）</w:t>
                  </w:r>
                </w:p>
              </w:tc>
              <w:tc>
                <w:tcPr>
                  <w:tcW w:w="522" w:type="pct"/>
                  <w:vAlign w:val="center"/>
                </w:tcPr>
                <w:p w14:paraId="0F421F24">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0.0005</w:t>
                  </w:r>
                </w:p>
              </w:tc>
              <w:tc>
                <w:tcPr>
                  <w:tcW w:w="491" w:type="pct"/>
                  <w:vAlign w:val="center"/>
                </w:tcPr>
                <w:p w14:paraId="0D4CA289">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0.000</w:t>
                  </w:r>
                  <w:r>
                    <w:rPr>
                      <w:rFonts w:hint="eastAsia" w:ascii="Times New Roman" w:hAnsi="Times New Roman" w:eastAsia="宋体" w:cs="Times New Roman"/>
                      <w:b w:val="0"/>
                      <w:bCs/>
                      <w:i w:val="0"/>
                      <w:iCs w:val="0"/>
                      <w:color w:val="auto"/>
                      <w:kern w:val="0"/>
                      <w:sz w:val="21"/>
                      <w:szCs w:val="21"/>
                      <w:highlight w:val="none"/>
                      <w:u w:val="none"/>
                      <w:lang w:val="en-US" w:eastAsia="zh-CN" w:bidi="ar"/>
                    </w:rPr>
                    <w:t>1</w:t>
                  </w:r>
                </w:p>
              </w:tc>
              <w:tc>
                <w:tcPr>
                  <w:tcW w:w="495" w:type="pct"/>
                  <w:vAlign w:val="center"/>
                </w:tcPr>
                <w:p w14:paraId="16D626F3">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0.000</w:t>
                  </w:r>
                  <w:r>
                    <w:rPr>
                      <w:rFonts w:hint="eastAsia" w:ascii="Times New Roman" w:hAnsi="Times New Roman" w:eastAsia="宋体" w:cs="Times New Roman"/>
                      <w:b w:val="0"/>
                      <w:bCs/>
                      <w:i w:val="0"/>
                      <w:iCs w:val="0"/>
                      <w:color w:val="auto"/>
                      <w:kern w:val="0"/>
                      <w:sz w:val="21"/>
                      <w:szCs w:val="21"/>
                      <w:highlight w:val="none"/>
                      <w:u w:val="none"/>
                      <w:lang w:val="en-US" w:eastAsia="zh-CN" w:bidi="ar"/>
                    </w:rPr>
                    <w:t>1</w:t>
                  </w:r>
                </w:p>
              </w:tc>
              <w:tc>
                <w:tcPr>
                  <w:tcW w:w="516" w:type="pct"/>
                  <w:vAlign w:val="center"/>
                </w:tcPr>
                <w:p w14:paraId="4E71F070">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0.000</w:t>
                  </w:r>
                  <w:r>
                    <w:rPr>
                      <w:rFonts w:hint="eastAsia" w:ascii="Times New Roman" w:hAnsi="Times New Roman" w:eastAsia="宋体" w:cs="Times New Roman"/>
                      <w:b w:val="0"/>
                      <w:bCs/>
                      <w:i w:val="0"/>
                      <w:iCs w:val="0"/>
                      <w:color w:val="auto"/>
                      <w:kern w:val="0"/>
                      <w:sz w:val="21"/>
                      <w:szCs w:val="21"/>
                      <w:highlight w:val="none"/>
                      <w:u w:val="none"/>
                      <w:lang w:val="en-US" w:eastAsia="zh-CN" w:bidi="ar"/>
                    </w:rPr>
                    <w:t>1</w:t>
                  </w:r>
                </w:p>
              </w:tc>
              <w:tc>
                <w:tcPr>
                  <w:tcW w:w="1433" w:type="pct"/>
                  <w:shd w:val="clear" w:color="auto" w:fill="auto"/>
                  <w:vAlign w:val="center"/>
                </w:tcPr>
                <w:p w14:paraId="314D8EBE">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0.033</w:t>
                  </w:r>
                </w:p>
              </w:tc>
            </w:tr>
            <w:tr w14:paraId="7CBE5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pct"/>
                  <w:vMerge w:val="continue"/>
                  <w:vAlign w:val="center"/>
                </w:tcPr>
                <w:p w14:paraId="632E0788">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959" w:type="pct"/>
                  <w:vAlign w:val="center"/>
                </w:tcPr>
                <w:p w14:paraId="27AA1A7F">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核算方法</w:t>
                  </w:r>
                </w:p>
              </w:tc>
              <w:tc>
                <w:tcPr>
                  <w:tcW w:w="2025" w:type="pct"/>
                  <w:gridSpan w:val="4"/>
                  <w:vAlign w:val="center"/>
                </w:tcPr>
                <w:p w14:paraId="5416B9A2">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类比法</w:t>
                  </w:r>
                </w:p>
              </w:tc>
              <w:tc>
                <w:tcPr>
                  <w:tcW w:w="1433" w:type="pct"/>
                  <w:shd w:val="clear" w:color="auto" w:fill="auto"/>
                  <w:vAlign w:val="center"/>
                </w:tcPr>
                <w:p w14:paraId="2643F027">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类比法</w:t>
                  </w:r>
                </w:p>
              </w:tc>
            </w:tr>
            <w:tr w14:paraId="4B87E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0" w:type="pct"/>
                  <w:gridSpan w:val="2"/>
                  <w:vAlign w:val="center"/>
                </w:tcPr>
                <w:p w14:paraId="5DD413A7">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年运行时间（h/a）</w:t>
                  </w:r>
                </w:p>
              </w:tc>
              <w:tc>
                <w:tcPr>
                  <w:tcW w:w="2025" w:type="pct"/>
                  <w:gridSpan w:val="4"/>
                  <w:vAlign w:val="center"/>
                </w:tcPr>
                <w:p w14:paraId="1BD6DDBB">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390</w:t>
                  </w:r>
                </w:p>
              </w:tc>
              <w:tc>
                <w:tcPr>
                  <w:tcW w:w="1433" w:type="pct"/>
                  <w:shd w:val="clear" w:color="auto" w:fill="auto"/>
                  <w:vAlign w:val="center"/>
                </w:tcPr>
                <w:p w14:paraId="41BCAF51">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1200</w:t>
                  </w:r>
                </w:p>
              </w:tc>
            </w:tr>
            <w:tr w14:paraId="0CECC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540" w:type="pct"/>
                  <w:gridSpan w:val="2"/>
                  <w:vAlign w:val="center"/>
                </w:tcPr>
                <w:p w14:paraId="3C2DC6F9">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年排放量（</w:t>
                  </w:r>
                  <w:r>
                    <w:rPr>
                      <w:rFonts w:hint="eastAsia" w:ascii="Times New Roman" w:hAnsi="Times New Roman" w:eastAsia="宋体" w:cs="Times New Roman"/>
                      <w:b w:val="0"/>
                      <w:bCs/>
                      <w:color w:val="auto"/>
                      <w:sz w:val="21"/>
                      <w:szCs w:val="21"/>
                      <w:highlight w:val="none"/>
                      <w:vertAlign w:val="baseline"/>
                      <w:lang w:val="en-US" w:eastAsia="zh-CN"/>
                    </w:rPr>
                    <w:t>kg</w:t>
                  </w:r>
                  <w:r>
                    <w:rPr>
                      <w:rFonts w:hint="default" w:ascii="Times New Roman" w:hAnsi="Times New Roman" w:eastAsia="宋体" w:cs="Times New Roman"/>
                      <w:b w:val="0"/>
                      <w:bCs/>
                      <w:color w:val="auto"/>
                      <w:sz w:val="21"/>
                      <w:szCs w:val="21"/>
                      <w:highlight w:val="none"/>
                      <w:vertAlign w:val="baseline"/>
                      <w:lang w:val="en-US" w:eastAsia="zh-CN"/>
                    </w:rPr>
                    <w:t>/a）</w:t>
                  </w:r>
                </w:p>
              </w:tc>
              <w:tc>
                <w:tcPr>
                  <w:tcW w:w="522" w:type="pct"/>
                  <w:vAlign w:val="center"/>
                </w:tcPr>
                <w:p w14:paraId="7F0E2016">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0.019</w:t>
                  </w:r>
                </w:p>
              </w:tc>
              <w:tc>
                <w:tcPr>
                  <w:tcW w:w="491" w:type="pct"/>
                  <w:vAlign w:val="center"/>
                </w:tcPr>
                <w:p w14:paraId="068854C8">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0.042</w:t>
                  </w:r>
                </w:p>
              </w:tc>
              <w:tc>
                <w:tcPr>
                  <w:tcW w:w="495" w:type="pct"/>
                  <w:vAlign w:val="center"/>
                </w:tcPr>
                <w:p w14:paraId="0D11887B">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0.024</w:t>
                  </w:r>
                </w:p>
              </w:tc>
              <w:tc>
                <w:tcPr>
                  <w:tcW w:w="516" w:type="pct"/>
                  <w:vAlign w:val="center"/>
                </w:tcPr>
                <w:p w14:paraId="495DFCED">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0.439</w:t>
                  </w:r>
                </w:p>
              </w:tc>
              <w:tc>
                <w:tcPr>
                  <w:tcW w:w="1433" w:type="pct"/>
                  <w:shd w:val="clear" w:color="auto" w:fill="auto"/>
                  <w:vAlign w:val="center"/>
                </w:tcPr>
                <w:p w14:paraId="1826667A">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39.56</w:t>
                  </w:r>
                </w:p>
              </w:tc>
            </w:tr>
            <w:tr w14:paraId="1C7BA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pct"/>
                  <w:vMerge w:val="restart"/>
                  <w:vAlign w:val="center"/>
                </w:tcPr>
                <w:p w14:paraId="0EE99B1A">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排放参数（有组织）</w:t>
                  </w:r>
                </w:p>
              </w:tc>
              <w:tc>
                <w:tcPr>
                  <w:tcW w:w="959" w:type="pct"/>
                  <w:vAlign w:val="center"/>
                </w:tcPr>
                <w:p w14:paraId="78784F9F">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排气筒高度（m）</w:t>
                  </w:r>
                </w:p>
              </w:tc>
              <w:tc>
                <w:tcPr>
                  <w:tcW w:w="2025" w:type="pct"/>
                  <w:gridSpan w:val="4"/>
                  <w:vAlign w:val="center"/>
                </w:tcPr>
                <w:p w14:paraId="097FFEC8">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23</w:t>
                  </w:r>
                </w:p>
              </w:tc>
              <w:tc>
                <w:tcPr>
                  <w:tcW w:w="1433" w:type="pct"/>
                  <w:shd w:val="clear" w:color="auto" w:fill="auto"/>
                  <w:vAlign w:val="center"/>
                </w:tcPr>
                <w:p w14:paraId="69F4EFD0">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w:t>
                  </w:r>
                </w:p>
              </w:tc>
            </w:tr>
            <w:tr w14:paraId="7C8ED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pct"/>
                  <w:vMerge w:val="continue"/>
                  <w:vAlign w:val="center"/>
                </w:tcPr>
                <w:p w14:paraId="72B7DB4F">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959" w:type="pct"/>
                  <w:vAlign w:val="center"/>
                </w:tcPr>
                <w:p w14:paraId="09CA8BA9">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出口内径（m）</w:t>
                  </w:r>
                </w:p>
              </w:tc>
              <w:tc>
                <w:tcPr>
                  <w:tcW w:w="2025" w:type="pct"/>
                  <w:gridSpan w:val="4"/>
                  <w:vAlign w:val="center"/>
                </w:tcPr>
                <w:p w14:paraId="68C1BD88">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0.6</w:t>
                  </w:r>
                </w:p>
              </w:tc>
              <w:tc>
                <w:tcPr>
                  <w:tcW w:w="1433" w:type="pct"/>
                  <w:shd w:val="clear" w:color="auto" w:fill="auto"/>
                  <w:vAlign w:val="center"/>
                </w:tcPr>
                <w:p w14:paraId="2A7D5AF2">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w:t>
                  </w:r>
                </w:p>
              </w:tc>
            </w:tr>
            <w:tr w14:paraId="3DD1E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pct"/>
                  <w:vMerge w:val="continue"/>
                  <w:vAlign w:val="center"/>
                </w:tcPr>
                <w:p w14:paraId="7B8FC20C">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959" w:type="pct"/>
                  <w:vAlign w:val="center"/>
                </w:tcPr>
                <w:p w14:paraId="2083DD2D">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排放温度（℃）</w:t>
                  </w:r>
                </w:p>
              </w:tc>
              <w:tc>
                <w:tcPr>
                  <w:tcW w:w="2025" w:type="pct"/>
                  <w:gridSpan w:val="4"/>
                  <w:vAlign w:val="center"/>
                </w:tcPr>
                <w:p w14:paraId="3F20E003">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常温</w:t>
                  </w:r>
                </w:p>
              </w:tc>
              <w:tc>
                <w:tcPr>
                  <w:tcW w:w="1433" w:type="pct"/>
                  <w:shd w:val="clear" w:color="auto" w:fill="auto"/>
                  <w:vAlign w:val="center"/>
                </w:tcPr>
                <w:p w14:paraId="0AA0D51D">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eastAsia" w:ascii="Times New Roman" w:hAnsi="Times New Roman" w:eastAsia="宋体" w:cs="Times New Roman"/>
                      <w:b w:val="0"/>
                      <w:bCs/>
                      <w:color w:val="auto"/>
                      <w:kern w:val="1"/>
                      <w:sz w:val="21"/>
                      <w:szCs w:val="21"/>
                      <w:highlight w:val="none"/>
                      <w:vertAlign w:val="baseline"/>
                      <w:lang w:val="en-US" w:eastAsia="zh-CN" w:bidi="ar-SA"/>
                    </w:rPr>
                  </w:pPr>
                  <w:r>
                    <w:rPr>
                      <w:rFonts w:hint="eastAsia" w:ascii="Times New Roman" w:hAnsi="Times New Roman" w:eastAsia="宋体" w:cs="Times New Roman"/>
                      <w:b w:val="0"/>
                      <w:bCs/>
                      <w:color w:val="auto"/>
                      <w:sz w:val="21"/>
                      <w:szCs w:val="21"/>
                      <w:highlight w:val="none"/>
                      <w:vertAlign w:val="baseline"/>
                      <w:lang w:val="en-US" w:eastAsia="zh-CN"/>
                    </w:rPr>
                    <w:t>常温</w:t>
                  </w:r>
                </w:p>
              </w:tc>
            </w:tr>
          </w:tbl>
          <w:p w14:paraId="32652A37">
            <w:pPr>
              <w:pStyle w:val="29"/>
              <w:keepNext w:val="0"/>
              <w:keepLines w:val="0"/>
              <w:pageBreakBefore w:val="0"/>
              <w:widowControl w:val="0"/>
              <w:numPr>
                <w:ilvl w:val="0"/>
                <w:numId w:val="11"/>
              </w:numPr>
              <w:kinsoku/>
              <w:wordWrap/>
              <w:overflowPunct/>
              <w:topLinePunct w:val="0"/>
              <w:autoSpaceDE/>
              <w:autoSpaceDN/>
              <w:bidi w:val="0"/>
              <w:adjustRightInd/>
              <w:snapToGrid/>
              <w:spacing w:before="0" w:after="0" w:line="360" w:lineRule="auto"/>
              <w:ind w:left="0" w:leftChars="0" w:firstLine="480" w:firstLineChars="200"/>
              <w:jc w:val="left"/>
              <w:textAlignment w:val="baseline"/>
              <w:rPr>
                <w:rFonts w:hint="default" w:ascii="Times New Roman" w:hAnsi="Times New Roman" w:eastAsia="宋体" w:cs="宋体"/>
                <w:color w:val="auto"/>
                <w:kern w:val="2"/>
                <w:sz w:val="24"/>
                <w:szCs w:val="24"/>
                <w:highlight w:val="none"/>
                <w:lang w:val="en-US" w:eastAsia="zh-CN" w:bidi="ar-SA"/>
              </w:rPr>
            </w:pPr>
            <w:r>
              <w:rPr>
                <w:rFonts w:hint="eastAsia" w:ascii="Times New Roman" w:hAnsi="Times New Roman" w:eastAsia="宋体" w:cs="宋体"/>
                <w:color w:val="auto"/>
                <w:kern w:val="2"/>
                <w:sz w:val="24"/>
                <w:szCs w:val="24"/>
                <w:highlight w:val="none"/>
                <w:lang w:val="en-US" w:eastAsia="zh-CN" w:bidi="ar-SA"/>
              </w:rPr>
              <w:t>源强核算</w:t>
            </w:r>
          </w:p>
          <w:p w14:paraId="1BC896D4">
            <w:pPr>
              <w:pStyle w:val="29"/>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0" w:leftChars="0" w:firstLine="480" w:firstLineChars="200"/>
              <w:jc w:val="left"/>
              <w:rPr>
                <w:rFonts w:hint="default" w:ascii="Times New Roman" w:hAnsi="Times New Roman" w:eastAsia="宋体" w:cs="宋体"/>
                <w:color w:val="auto"/>
                <w:kern w:val="2"/>
                <w:sz w:val="24"/>
                <w:szCs w:val="24"/>
                <w:highlight w:val="none"/>
                <w:lang w:val="en-US" w:eastAsia="zh-CN" w:bidi="ar-SA"/>
              </w:rPr>
            </w:pPr>
            <w:r>
              <w:rPr>
                <w:rFonts w:hint="eastAsia" w:ascii="Times New Roman" w:hAnsi="Times New Roman" w:eastAsia="宋体" w:cs="宋体"/>
                <w:color w:val="auto"/>
                <w:kern w:val="2"/>
                <w:sz w:val="24"/>
                <w:szCs w:val="24"/>
                <w:highlight w:val="none"/>
                <w:lang w:val="en-US" w:eastAsia="zh-CN" w:bidi="ar-SA"/>
              </w:rPr>
              <w:t>1）实验室废气</w:t>
            </w:r>
          </w:p>
          <w:p w14:paraId="20286FF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根据物理、化学、生物实验课程内容的分析，项目实验室废气主要来自化学实验室和生物实验室。化学实验室所用化学试剂主要为有机溶剂试剂乙醇、乙酸、乙酸乙酯等，无机酸类试剂盐酸、硫酸等。乙醇</w:t>
            </w:r>
            <w:r>
              <w:rPr>
                <w:rFonts w:hint="default" w:ascii="Times New Roman" w:hAnsi="Times New Roman" w:cs="Times New Roman"/>
                <w:bCs/>
                <w:color w:val="auto"/>
                <w:sz w:val="24"/>
                <w:highlight w:val="none"/>
                <w:lang w:eastAsia="zh-CN"/>
              </w:rPr>
              <w:t>主要作为</w:t>
            </w:r>
            <w:r>
              <w:rPr>
                <w:rFonts w:hint="default" w:ascii="Times New Roman" w:hAnsi="Times New Roman" w:cs="Times New Roman"/>
                <w:bCs/>
                <w:color w:val="auto"/>
                <w:sz w:val="24"/>
                <w:highlight w:val="none"/>
              </w:rPr>
              <w:t>溶剂、萃取剂</w:t>
            </w: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乙酸</w:t>
            </w:r>
            <w:r>
              <w:rPr>
                <w:rFonts w:hint="default" w:ascii="Times New Roman" w:hAnsi="Times New Roman" w:cs="Times New Roman"/>
                <w:bCs/>
                <w:color w:val="auto"/>
                <w:sz w:val="24"/>
                <w:highlight w:val="none"/>
                <w:lang w:eastAsia="zh-CN"/>
              </w:rPr>
              <w:t>主要用于</w:t>
            </w:r>
            <w:r>
              <w:rPr>
                <w:rFonts w:hint="default" w:ascii="Times New Roman" w:hAnsi="Times New Roman" w:cs="Times New Roman"/>
                <w:bCs/>
                <w:color w:val="auto"/>
                <w:sz w:val="24"/>
                <w:highlight w:val="none"/>
              </w:rPr>
              <w:t>酯化反应、弱酸性质实验、缓冲液配制</w:t>
            </w: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乙酸乙酯</w:t>
            </w:r>
            <w:r>
              <w:rPr>
                <w:rFonts w:hint="default" w:ascii="Times New Roman" w:hAnsi="Times New Roman" w:cs="Times New Roman"/>
                <w:bCs/>
                <w:color w:val="auto"/>
                <w:sz w:val="24"/>
                <w:highlight w:val="none"/>
                <w:lang w:eastAsia="zh-CN"/>
              </w:rPr>
              <w:t>主要用于</w:t>
            </w:r>
            <w:r>
              <w:rPr>
                <w:rFonts w:hint="default" w:ascii="Times New Roman" w:hAnsi="Times New Roman" w:cs="Times New Roman"/>
                <w:bCs/>
                <w:color w:val="auto"/>
                <w:sz w:val="24"/>
                <w:highlight w:val="none"/>
              </w:rPr>
              <w:t>酯的水解实验、萃取剂、溶剂</w:t>
            </w: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盐酸</w:t>
            </w:r>
            <w:r>
              <w:rPr>
                <w:rFonts w:hint="default" w:ascii="Times New Roman" w:hAnsi="Times New Roman" w:cs="Times New Roman"/>
                <w:bCs/>
                <w:color w:val="auto"/>
                <w:sz w:val="24"/>
                <w:highlight w:val="none"/>
                <w:lang w:eastAsia="zh-CN"/>
              </w:rPr>
              <w:t>主要用于</w:t>
            </w:r>
            <w:r>
              <w:rPr>
                <w:rFonts w:hint="default" w:ascii="Times New Roman" w:hAnsi="Times New Roman" w:cs="Times New Roman"/>
                <w:bCs/>
                <w:color w:val="auto"/>
                <w:sz w:val="24"/>
                <w:highlight w:val="none"/>
              </w:rPr>
              <w:t>pH调节、清洗剂</w:t>
            </w:r>
            <w:r>
              <w:rPr>
                <w:rFonts w:hint="default" w:ascii="Times New Roman" w:hAnsi="Times New Roman" w:cs="Times New Roman"/>
                <w:bCs/>
                <w:color w:val="auto"/>
                <w:sz w:val="24"/>
                <w:highlight w:val="none"/>
                <w:lang w:eastAsia="zh-CN"/>
              </w:rPr>
              <w:t>、酸碱中和反应等；</w:t>
            </w:r>
            <w:r>
              <w:rPr>
                <w:rFonts w:hint="default" w:ascii="Times New Roman" w:hAnsi="Times New Roman" w:cs="Times New Roman"/>
                <w:bCs/>
                <w:color w:val="auto"/>
                <w:sz w:val="24"/>
                <w:highlight w:val="none"/>
              </w:rPr>
              <w:t>硫酸</w:t>
            </w:r>
            <w:r>
              <w:rPr>
                <w:rFonts w:hint="default" w:ascii="Times New Roman" w:hAnsi="Times New Roman" w:cs="Times New Roman"/>
                <w:bCs/>
                <w:color w:val="auto"/>
                <w:sz w:val="24"/>
                <w:highlight w:val="none"/>
                <w:lang w:eastAsia="zh-CN"/>
              </w:rPr>
              <w:t>主要用于酸碱中和反应，溶液配置等。</w:t>
            </w:r>
            <w:r>
              <w:rPr>
                <w:rFonts w:hint="default" w:ascii="Times New Roman" w:hAnsi="Times New Roman" w:cs="Times New Roman"/>
                <w:bCs/>
                <w:color w:val="auto"/>
                <w:sz w:val="24"/>
                <w:highlight w:val="none"/>
              </w:rPr>
              <w:t>生物实验室主要采用乙醇、石油醚、乙酸和盐酸。乙醇</w:t>
            </w:r>
            <w:r>
              <w:rPr>
                <w:rFonts w:hint="default" w:ascii="Times New Roman" w:hAnsi="Times New Roman" w:cs="Times New Roman"/>
                <w:bCs/>
                <w:color w:val="auto"/>
                <w:sz w:val="24"/>
                <w:highlight w:val="none"/>
                <w:lang w:eastAsia="zh-CN"/>
              </w:rPr>
              <w:t>主要用于</w:t>
            </w:r>
            <w:r>
              <w:rPr>
                <w:rFonts w:hint="default" w:ascii="Times New Roman" w:hAnsi="Times New Roman" w:cs="Times New Roman"/>
                <w:bCs/>
                <w:color w:val="auto"/>
                <w:sz w:val="24"/>
                <w:highlight w:val="none"/>
              </w:rPr>
              <w:t>消毒、叶绿素/DNA提取溶剂</w:t>
            </w: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石油醚</w:t>
            </w:r>
            <w:r>
              <w:rPr>
                <w:rFonts w:hint="default" w:ascii="Times New Roman" w:hAnsi="Times New Roman" w:cs="Times New Roman"/>
                <w:bCs/>
                <w:color w:val="auto"/>
                <w:sz w:val="24"/>
                <w:highlight w:val="none"/>
                <w:lang w:eastAsia="zh-CN"/>
              </w:rPr>
              <w:t>主要用于</w:t>
            </w:r>
            <w:r>
              <w:rPr>
                <w:rFonts w:hint="default" w:ascii="Times New Roman" w:hAnsi="Times New Roman" w:cs="Times New Roman"/>
                <w:bCs/>
                <w:color w:val="auto"/>
                <w:sz w:val="24"/>
                <w:highlight w:val="none"/>
              </w:rPr>
              <w:t>叶绿素/胡萝卜素等脂溶性色素的主要提取剂、层析法分离色素的层析液</w:t>
            </w: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乙酸</w:t>
            </w:r>
            <w:r>
              <w:rPr>
                <w:rFonts w:hint="eastAsia" w:cs="Times New Roman"/>
                <w:bCs/>
                <w:color w:val="auto"/>
                <w:sz w:val="24"/>
                <w:highlight w:val="none"/>
                <w:lang w:eastAsia="zh-CN"/>
              </w:rPr>
              <w:t>（</w:t>
            </w:r>
            <w:r>
              <w:rPr>
                <w:rFonts w:hint="default" w:ascii="Times New Roman" w:hAnsi="Times New Roman" w:cs="Times New Roman"/>
                <w:bCs/>
                <w:color w:val="auto"/>
                <w:sz w:val="24"/>
                <w:highlight w:val="none"/>
              </w:rPr>
              <w:t>冰醋酸</w:t>
            </w:r>
            <w:r>
              <w:rPr>
                <w:rFonts w:hint="eastAsia" w:cs="Times New Roman"/>
                <w:bCs/>
                <w:color w:val="auto"/>
                <w:sz w:val="24"/>
                <w:highlight w:val="none"/>
                <w:lang w:eastAsia="zh-CN"/>
              </w:rPr>
              <w:t>）</w:t>
            </w:r>
            <w:r>
              <w:rPr>
                <w:rFonts w:hint="default" w:ascii="Times New Roman" w:hAnsi="Times New Roman" w:cs="Times New Roman"/>
                <w:bCs/>
                <w:color w:val="auto"/>
                <w:sz w:val="24"/>
                <w:highlight w:val="none"/>
                <w:lang w:eastAsia="zh-CN"/>
              </w:rPr>
              <w:t>主要用于</w:t>
            </w:r>
            <w:r>
              <w:rPr>
                <w:rFonts w:hint="default" w:ascii="Times New Roman" w:hAnsi="Times New Roman" w:cs="Times New Roman"/>
                <w:bCs/>
                <w:color w:val="auto"/>
                <w:sz w:val="24"/>
                <w:highlight w:val="none"/>
              </w:rPr>
              <w:t>调节pH/提供醋酸根</w:t>
            </w: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DNA沉淀</w:t>
            </w: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盐酸</w:t>
            </w:r>
            <w:r>
              <w:rPr>
                <w:rFonts w:hint="default" w:ascii="Times New Roman" w:hAnsi="Times New Roman" w:cs="Times New Roman"/>
                <w:bCs/>
                <w:color w:val="auto"/>
                <w:sz w:val="24"/>
                <w:highlight w:val="none"/>
                <w:lang w:eastAsia="zh-CN"/>
              </w:rPr>
              <w:t>用于</w:t>
            </w:r>
            <w:r>
              <w:rPr>
                <w:rFonts w:hint="default" w:ascii="Times New Roman" w:hAnsi="Times New Roman" w:cs="Times New Roman"/>
                <w:bCs/>
                <w:color w:val="auto"/>
                <w:sz w:val="24"/>
                <w:highlight w:val="none"/>
              </w:rPr>
              <w:t>提供酸性环境</w:t>
            </w:r>
            <w:r>
              <w:rPr>
                <w:rFonts w:hint="default"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酶活性pH实验、DNA鉴定</w:t>
            </w:r>
            <w:r>
              <w:rPr>
                <w:rFonts w:hint="default" w:ascii="Times New Roman" w:hAnsi="Times New Roman" w:cs="Times New Roman"/>
                <w:bCs/>
                <w:color w:val="auto"/>
                <w:sz w:val="24"/>
                <w:highlight w:val="none"/>
                <w:lang w:eastAsia="zh-CN"/>
              </w:rPr>
              <w:t>）等。</w:t>
            </w:r>
            <w:r>
              <w:rPr>
                <w:rFonts w:hint="default" w:ascii="Times New Roman" w:hAnsi="Times New Roman" w:cs="Times New Roman"/>
                <w:bCs/>
                <w:color w:val="auto"/>
                <w:sz w:val="24"/>
                <w:highlight w:val="none"/>
              </w:rPr>
              <w:t>项目实验室废气主要来源于实验过程和试剂配制过程中的挥发性化学试剂的挥发，主要包括无机酸类试剂挥发产生的酸性废气和少量易挥发的有机试剂使用过程中挥发的有机物（以非甲烷总烃计）。</w:t>
            </w:r>
          </w:p>
          <w:p w14:paraId="27A1D37C">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kern w:val="2"/>
                <w:sz w:val="21"/>
                <w:szCs w:val="24"/>
                <w:highlight w:val="none"/>
                <w:lang w:val="en-US" w:eastAsia="zh-CN" w:bidi="ar"/>
              </w:rPr>
              <w:t>表</w:t>
            </w:r>
            <w:r>
              <w:rPr>
                <w:rFonts w:hint="default" w:ascii="Times New Roman" w:hAnsi="Times New Roman" w:eastAsia="宋体" w:cs="Times New Roman"/>
                <w:b/>
                <w:bCs/>
                <w:color w:val="auto"/>
                <w:kern w:val="2"/>
                <w:sz w:val="21"/>
                <w:szCs w:val="24"/>
                <w:highlight w:val="none"/>
                <w:lang w:val="en-US" w:eastAsia="zh-CN" w:bidi="ar"/>
              </w:rPr>
              <w:fldChar w:fldCharType="begin"/>
            </w:r>
            <w:r>
              <w:rPr>
                <w:rFonts w:hint="default" w:ascii="Times New Roman" w:hAnsi="Times New Roman" w:eastAsia="宋体" w:cs="Times New Roman"/>
                <w:b/>
                <w:bCs/>
                <w:color w:val="auto"/>
                <w:kern w:val="2"/>
                <w:sz w:val="21"/>
                <w:szCs w:val="24"/>
                <w:highlight w:val="none"/>
                <w:lang w:val="en-US" w:eastAsia="zh-CN" w:bidi="ar"/>
              </w:rPr>
              <w:instrText xml:space="preserve"> STYLEREF 1 \s </w:instrText>
            </w:r>
            <w:r>
              <w:rPr>
                <w:rFonts w:hint="default" w:ascii="Times New Roman" w:hAnsi="Times New Roman" w:eastAsia="宋体" w:cs="Times New Roman"/>
                <w:b/>
                <w:bCs/>
                <w:color w:val="auto"/>
                <w:kern w:val="2"/>
                <w:sz w:val="21"/>
                <w:szCs w:val="24"/>
                <w:highlight w:val="none"/>
                <w:lang w:val="en-US" w:eastAsia="zh-CN" w:bidi="ar"/>
              </w:rPr>
              <w:fldChar w:fldCharType="separate"/>
            </w:r>
            <w:r>
              <w:rPr>
                <w:rFonts w:hint="default" w:ascii="Times New Roman" w:hAnsi="Times New Roman" w:eastAsia="宋体" w:cs="Times New Roman"/>
                <w:b/>
                <w:bCs/>
                <w:color w:val="auto"/>
                <w:kern w:val="2"/>
                <w:sz w:val="21"/>
                <w:szCs w:val="24"/>
                <w:highlight w:val="none"/>
                <w:lang w:val="en-US" w:eastAsia="zh-CN" w:bidi="ar"/>
              </w:rPr>
              <w:t>4</w:t>
            </w:r>
            <w:r>
              <w:rPr>
                <w:rFonts w:hint="default" w:ascii="Times New Roman" w:hAnsi="Times New Roman" w:eastAsia="宋体" w:cs="Times New Roman"/>
                <w:b/>
                <w:bCs/>
                <w:color w:val="auto"/>
                <w:kern w:val="2"/>
                <w:sz w:val="21"/>
                <w:szCs w:val="24"/>
                <w:highlight w:val="none"/>
                <w:lang w:val="en-US" w:eastAsia="zh-CN" w:bidi="ar"/>
              </w:rPr>
              <w:fldChar w:fldCharType="end"/>
            </w:r>
            <w:r>
              <w:rPr>
                <w:rFonts w:hint="default" w:ascii="Times New Roman" w:hAnsi="Times New Roman" w:eastAsia="宋体" w:cs="Times New Roman"/>
                <w:b/>
                <w:bCs/>
                <w:color w:val="auto"/>
                <w:kern w:val="2"/>
                <w:sz w:val="21"/>
                <w:szCs w:val="24"/>
                <w:highlight w:val="none"/>
                <w:lang w:val="en-US" w:eastAsia="zh-CN" w:bidi="ar"/>
              </w:rPr>
              <w:t>-</w:t>
            </w:r>
            <w:r>
              <w:rPr>
                <w:rFonts w:hint="default" w:ascii="Times New Roman" w:hAnsi="Times New Roman" w:eastAsia="宋体" w:cs="Times New Roman"/>
                <w:b/>
                <w:bCs/>
                <w:color w:val="auto"/>
                <w:kern w:val="2"/>
                <w:sz w:val="21"/>
                <w:szCs w:val="24"/>
                <w:highlight w:val="none"/>
                <w:lang w:val="en-US" w:eastAsia="zh-CN" w:bidi="ar"/>
              </w:rPr>
              <w:fldChar w:fldCharType="begin"/>
            </w:r>
            <w:r>
              <w:rPr>
                <w:rFonts w:hint="default" w:ascii="Times New Roman" w:hAnsi="Times New Roman" w:eastAsia="宋体" w:cs="Times New Roman"/>
                <w:b/>
                <w:bCs/>
                <w:color w:val="auto"/>
                <w:kern w:val="2"/>
                <w:sz w:val="21"/>
                <w:szCs w:val="24"/>
                <w:highlight w:val="none"/>
                <w:lang w:val="en-US" w:eastAsia="zh-CN" w:bidi="ar"/>
              </w:rPr>
              <w:instrText xml:space="preserve"> SEQ 表 \* ARABIC \s 1 </w:instrText>
            </w:r>
            <w:r>
              <w:rPr>
                <w:rFonts w:hint="default" w:ascii="Times New Roman" w:hAnsi="Times New Roman" w:eastAsia="宋体" w:cs="Times New Roman"/>
                <w:b/>
                <w:bCs/>
                <w:color w:val="auto"/>
                <w:kern w:val="2"/>
                <w:sz w:val="21"/>
                <w:szCs w:val="24"/>
                <w:highlight w:val="none"/>
                <w:lang w:val="en-US" w:eastAsia="zh-CN" w:bidi="ar"/>
              </w:rPr>
              <w:fldChar w:fldCharType="separate"/>
            </w:r>
            <w:r>
              <w:rPr>
                <w:rFonts w:hint="default" w:ascii="Times New Roman" w:hAnsi="Times New Roman" w:eastAsia="宋体" w:cs="Times New Roman"/>
                <w:b/>
                <w:bCs/>
                <w:color w:val="auto"/>
                <w:kern w:val="2"/>
                <w:sz w:val="21"/>
                <w:szCs w:val="24"/>
                <w:highlight w:val="none"/>
                <w:lang w:val="en-US" w:eastAsia="zh-CN" w:bidi="ar"/>
              </w:rPr>
              <w:t>2</w:t>
            </w:r>
            <w:r>
              <w:rPr>
                <w:rFonts w:hint="default" w:ascii="Times New Roman" w:hAnsi="Times New Roman" w:eastAsia="宋体" w:cs="Times New Roman"/>
                <w:b/>
                <w:bCs/>
                <w:color w:val="auto"/>
                <w:kern w:val="2"/>
                <w:sz w:val="21"/>
                <w:szCs w:val="24"/>
                <w:highlight w:val="none"/>
                <w:lang w:val="en-US" w:eastAsia="zh-CN" w:bidi="ar"/>
              </w:rPr>
              <w:fldChar w:fldCharType="end"/>
            </w:r>
            <w:r>
              <w:rPr>
                <w:rFonts w:hint="eastAsia" w:ascii="Times New Roman" w:hAnsi="Times New Roman" w:eastAsia="宋体" w:cs="Times New Roman"/>
                <w:b/>
                <w:bCs/>
                <w:color w:val="auto"/>
                <w:kern w:val="2"/>
                <w:sz w:val="21"/>
                <w:szCs w:val="24"/>
                <w:highlight w:val="none"/>
                <w:lang w:val="en-US" w:eastAsia="zh-CN" w:bidi="ar"/>
              </w:rPr>
              <w:t xml:space="preserve"> </w:t>
            </w:r>
            <w:r>
              <w:rPr>
                <w:rFonts w:hint="default" w:ascii="Times New Roman" w:hAnsi="Times New Roman" w:eastAsia="宋体" w:cs="Times New Roman"/>
                <w:color w:val="auto"/>
                <w:sz w:val="21"/>
                <w:szCs w:val="21"/>
                <w:highlight w:val="none"/>
                <w:lang w:val="en-US" w:eastAsia="zh-CN"/>
              </w:rPr>
              <w:t>本项目化学、生物实验室主要化学品使用情况</w:t>
            </w:r>
          </w:p>
          <w:tbl>
            <w:tblPr>
              <w:tblStyle w:val="33"/>
              <w:tblW w:w="4995" w:type="pct"/>
              <w:tblInd w:w="-5"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24"/>
              <w:gridCol w:w="1373"/>
              <w:gridCol w:w="2044"/>
              <w:gridCol w:w="1165"/>
              <w:gridCol w:w="1612"/>
              <w:gridCol w:w="1579"/>
            </w:tblGrid>
            <w:tr w14:paraId="53551E8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340" w:hRule="atLeast"/>
              </w:trPr>
              <w:tc>
                <w:tcPr>
                  <w:tcW w:w="479" w:type="pct"/>
                  <w:tcBorders>
                    <w:tl2br w:val="nil"/>
                    <w:tr2bl w:val="nil"/>
                  </w:tcBorders>
                  <w:noWrap/>
                  <w:vAlign w:val="center"/>
                </w:tcPr>
                <w:p w14:paraId="7BB222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序号</w:t>
                  </w:r>
                </w:p>
              </w:tc>
              <w:tc>
                <w:tcPr>
                  <w:tcW w:w="798" w:type="pct"/>
                  <w:tcBorders>
                    <w:tl2br w:val="nil"/>
                    <w:tr2bl w:val="nil"/>
                  </w:tcBorders>
                  <w:noWrap/>
                  <w:vAlign w:val="center"/>
                </w:tcPr>
                <w:p w14:paraId="24B83D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类别</w:t>
                  </w:r>
                </w:p>
              </w:tc>
              <w:tc>
                <w:tcPr>
                  <w:tcW w:w="1188" w:type="pct"/>
                  <w:tcBorders>
                    <w:tl2br w:val="nil"/>
                    <w:tr2bl w:val="nil"/>
                  </w:tcBorders>
                  <w:noWrap w:val="0"/>
                  <w:vAlign w:val="center"/>
                </w:tcPr>
                <w:p w14:paraId="45811B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eastAsia" w:cs="Times New Roman"/>
                      <w:b/>
                      <w:bCs/>
                      <w:color w:val="auto"/>
                      <w:kern w:val="0"/>
                      <w:sz w:val="21"/>
                      <w:szCs w:val="21"/>
                      <w:highlight w:val="none"/>
                      <w:lang w:val="en-US" w:eastAsia="zh-CN"/>
                    </w:rPr>
                    <w:t>化学</w:t>
                  </w:r>
                  <w:r>
                    <w:rPr>
                      <w:rFonts w:hint="default" w:ascii="Times New Roman" w:hAnsi="Times New Roman" w:cs="Times New Roman"/>
                      <w:b/>
                      <w:bCs/>
                      <w:color w:val="auto"/>
                      <w:kern w:val="0"/>
                      <w:sz w:val="21"/>
                      <w:szCs w:val="21"/>
                      <w:highlight w:val="none"/>
                    </w:rPr>
                    <w:t>物质名称</w:t>
                  </w:r>
                </w:p>
              </w:tc>
              <w:tc>
                <w:tcPr>
                  <w:tcW w:w="677" w:type="pct"/>
                  <w:tcBorders>
                    <w:tl2br w:val="nil"/>
                    <w:tr2bl w:val="nil"/>
                  </w:tcBorders>
                  <w:noWrap w:val="0"/>
                  <w:vAlign w:val="center"/>
                </w:tcPr>
                <w:p w14:paraId="3521B1D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kern w:val="0"/>
                      <w:sz w:val="21"/>
                      <w:szCs w:val="21"/>
                      <w:highlight w:val="none"/>
                      <w:lang w:eastAsia="zh-CN"/>
                    </w:rPr>
                  </w:pPr>
                  <w:r>
                    <w:rPr>
                      <w:rFonts w:hint="default" w:ascii="Times New Roman" w:hAnsi="Times New Roman" w:cs="Times New Roman"/>
                      <w:b/>
                      <w:color w:val="auto"/>
                      <w:kern w:val="0"/>
                      <w:sz w:val="21"/>
                      <w:szCs w:val="21"/>
                      <w:highlight w:val="none"/>
                    </w:rPr>
                    <w:t>年用量（mL</w:t>
                  </w:r>
                  <w:r>
                    <w:rPr>
                      <w:rFonts w:hint="default" w:ascii="Times New Roman" w:hAnsi="Times New Roman" w:cs="Times New Roman"/>
                      <w:b/>
                      <w:color w:val="auto"/>
                      <w:kern w:val="0"/>
                      <w:sz w:val="21"/>
                      <w:szCs w:val="21"/>
                      <w:highlight w:val="none"/>
                      <w:lang w:eastAsia="zh-CN"/>
                    </w:rPr>
                    <w:t>）</w:t>
                  </w:r>
                </w:p>
              </w:tc>
              <w:tc>
                <w:tcPr>
                  <w:tcW w:w="937" w:type="pct"/>
                  <w:tcBorders>
                    <w:tl2br w:val="nil"/>
                    <w:tr2bl w:val="nil"/>
                  </w:tcBorders>
                  <w:noWrap w:val="0"/>
                  <w:vAlign w:val="center"/>
                </w:tcPr>
                <w:p w14:paraId="03C7A44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eastAsia="zh-CN"/>
                    </w:rPr>
                  </w:pPr>
                  <w:r>
                    <w:rPr>
                      <w:rFonts w:hint="default" w:ascii="Times New Roman" w:hAnsi="Times New Roman" w:cs="Times New Roman"/>
                      <w:b/>
                      <w:bCs/>
                      <w:color w:val="auto"/>
                      <w:sz w:val="21"/>
                      <w:szCs w:val="21"/>
                      <w:highlight w:val="none"/>
                    </w:rPr>
                    <w:t>密度（g/cm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lang w:eastAsia="zh-CN"/>
                    </w:rPr>
                    <w:t>）</w:t>
                  </w:r>
                </w:p>
              </w:tc>
              <w:tc>
                <w:tcPr>
                  <w:tcW w:w="918" w:type="pct"/>
                  <w:tcBorders>
                    <w:tl2br w:val="nil"/>
                    <w:tr2bl w:val="nil"/>
                  </w:tcBorders>
                  <w:noWrap w:val="0"/>
                  <w:vAlign w:val="center"/>
                </w:tcPr>
                <w:p w14:paraId="2745C8D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rPr>
                    <w:t>年使用量（kg</w:t>
                  </w:r>
                  <w:r>
                    <w:rPr>
                      <w:rFonts w:hint="default" w:ascii="Times New Roman" w:hAnsi="Times New Roman" w:cs="Times New Roman"/>
                      <w:b/>
                      <w:bCs/>
                      <w:color w:val="auto"/>
                      <w:sz w:val="21"/>
                      <w:szCs w:val="21"/>
                      <w:highlight w:val="none"/>
                      <w:lang w:eastAsia="zh-CN"/>
                    </w:rPr>
                    <w:t>）</w:t>
                  </w:r>
                </w:p>
              </w:tc>
            </w:tr>
            <w:tr w14:paraId="08DC78B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9" w:type="pct"/>
                  <w:tcBorders>
                    <w:tl2br w:val="nil"/>
                    <w:tr2bl w:val="nil"/>
                  </w:tcBorders>
                  <w:noWrap/>
                  <w:vAlign w:val="center"/>
                </w:tcPr>
                <w:p w14:paraId="551FC0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rPr>
                    <w:t>1</w:t>
                  </w:r>
                </w:p>
              </w:tc>
              <w:tc>
                <w:tcPr>
                  <w:tcW w:w="798" w:type="pct"/>
                  <w:vMerge w:val="restart"/>
                  <w:tcBorders>
                    <w:tl2br w:val="nil"/>
                    <w:tr2bl w:val="nil"/>
                  </w:tcBorders>
                  <w:noWrap/>
                  <w:vAlign w:val="center"/>
                </w:tcPr>
                <w:p w14:paraId="50C1932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无机酸类</w:t>
                  </w:r>
                </w:p>
              </w:tc>
              <w:tc>
                <w:tcPr>
                  <w:tcW w:w="1188" w:type="pct"/>
                  <w:tcBorders>
                    <w:tl2br w:val="nil"/>
                    <w:tr2bl w:val="nil"/>
                  </w:tcBorders>
                  <w:noWrap w:val="0"/>
                  <w:vAlign w:val="center"/>
                </w:tcPr>
                <w:p w14:paraId="53BF214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盐酸（37%）</w:t>
                  </w:r>
                </w:p>
              </w:tc>
              <w:tc>
                <w:tcPr>
                  <w:tcW w:w="1166" w:type="dxa"/>
                  <w:tcBorders>
                    <w:tl2br w:val="nil"/>
                    <w:tr2bl w:val="nil"/>
                  </w:tcBorders>
                  <w:noWrap w:val="0"/>
                  <w:vAlign w:val="center"/>
                </w:tcPr>
                <w:p w14:paraId="55E2EDE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11500</w:t>
                  </w:r>
                </w:p>
              </w:tc>
              <w:tc>
                <w:tcPr>
                  <w:tcW w:w="1613" w:type="dxa"/>
                  <w:tcBorders>
                    <w:tl2br w:val="nil"/>
                    <w:tr2bl w:val="nil"/>
                  </w:tcBorders>
                  <w:noWrap w:val="0"/>
                  <w:vAlign w:val="center"/>
                </w:tcPr>
                <w:p w14:paraId="1A1625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1.84</w:t>
                  </w:r>
                </w:p>
              </w:tc>
              <w:tc>
                <w:tcPr>
                  <w:tcW w:w="1580" w:type="dxa"/>
                  <w:tcBorders>
                    <w:tl2br w:val="nil"/>
                    <w:tr2bl w:val="nil"/>
                  </w:tcBorders>
                  <w:noWrap w:val="0"/>
                  <w:vAlign w:val="center"/>
                </w:tcPr>
                <w:p w14:paraId="79FA2B6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21.16</w:t>
                  </w:r>
                </w:p>
              </w:tc>
            </w:tr>
            <w:tr w14:paraId="40BB45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9" w:type="pct"/>
                  <w:tcBorders>
                    <w:tl2br w:val="nil"/>
                    <w:tr2bl w:val="nil"/>
                  </w:tcBorders>
                  <w:noWrap/>
                  <w:vAlign w:val="center"/>
                </w:tcPr>
                <w:p w14:paraId="03318B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rPr>
                    <w:t>2</w:t>
                  </w:r>
                </w:p>
              </w:tc>
              <w:tc>
                <w:tcPr>
                  <w:tcW w:w="798" w:type="pct"/>
                  <w:vMerge w:val="continue"/>
                  <w:tcBorders>
                    <w:tl2br w:val="nil"/>
                    <w:tr2bl w:val="nil"/>
                  </w:tcBorders>
                  <w:noWrap/>
                  <w:vAlign w:val="center"/>
                </w:tcPr>
                <w:p w14:paraId="6AAA384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p>
              </w:tc>
              <w:tc>
                <w:tcPr>
                  <w:tcW w:w="1188" w:type="pct"/>
                  <w:tcBorders>
                    <w:tl2br w:val="nil"/>
                    <w:tr2bl w:val="nil"/>
                  </w:tcBorders>
                  <w:noWrap w:val="0"/>
                  <w:vAlign w:val="center"/>
                </w:tcPr>
                <w:p w14:paraId="52651FA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浓硫酸（98%）</w:t>
                  </w:r>
                </w:p>
              </w:tc>
              <w:tc>
                <w:tcPr>
                  <w:tcW w:w="1166" w:type="dxa"/>
                  <w:tcBorders>
                    <w:tl2br w:val="nil"/>
                    <w:tr2bl w:val="nil"/>
                  </w:tcBorders>
                  <w:noWrap w:val="0"/>
                  <w:vAlign w:val="center"/>
                </w:tcPr>
                <w:p w14:paraId="2CE5464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4000</w:t>
                  </w:r>
                </w:p>
              </w:tc>
              <w:tc>
                <w:tcPr>
                  <w:tcW w:w="1613" w:type="dxa"/>
                  <w:tcBorders>
                    <w:tl2br w:val="nil"/>
                    <w:tr2bl w:val="nil"/>
                  </w:tcBorders>
                  <w:noWrap w:val="0"/>
                  <w:vAlign w:val="center"/>
                </w:tcPr>
                <w:p w14:paraId="701FF2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1.18</w:t>
                  </w:r>
                </w:p>
              </w:tc>
              <w:tc>
                <w:tcPr>
                  <w:tcW w:w="1580" w:type="dxa"/>
                  <w:tcBorders>
                    <w:tl2br w:val="nil"/>
                    <w:tr2bl w:val="nil"/>
                  </w:tcBorders>
                  <w:noWrap w:val="0"/>
                  <w:vAlign w:val="center"/>
                </w:tcPr>
                <w:p w14:paraId="3EE16FA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4.72</w:t>
                  </w:r>
                </w:p>
              </w:tc>
            </w:tr>
            <w:tr w14:paraId="6C7248B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9" w:type="pct"/>
                  <w:tcBorders>
                    <w:tl2br w:val="nil"/>
                    <w:tr2bl w:val="nil"/>
                  </w:tcBorders>
                  <w:noWrap/>
                  <w:vAlign w:val="center"/>
                </w:tcPr>
                <w:p w14:paraId="2C5CD8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rPr>
                    <w:t>3</w:t>
                  </w:r>
                </w:p>
              </w:tc>
              <w:tc>
                <w:tcPr>
                  <w:tcW w:w="798" w:type="pct"/>
                  <w:vMerge w:val="continue"/>
                  <w:tcBorders>
                    <w:tl2br w:val="nil"/>
                    <w:tr2bl w:val="nil"/>
                  </w:tcBorders>
                  <w:noWrap/>
                  <w:vAlign w:val="center"/>
                </w:tcPr>
                <w:p w14:paraId="179623A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p>
              </w:tc>
              <w:tc>
                <w:tcPr>
                  <w:tcW w:w="1188" w:type="pct"/>
                  <w:tcBorders>
                    <w:tl2br w:val="nil"/>
                    <w:tr2bl w:val="nil"/>
                  </w:tcBorders>
                  <w:noWrap w:val="0"/>
                  <w:vAlign w:val="center"/>
                </w:tcPr>
                <w:p w14:paraId="6589EF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硝酸（63%）</w:t>
                  </w:r>
                </w:p>
              </w:tc>
              <w:tc>
                <w:tcPr>
                  <w:tcW w:w="1166" w:type="dxa"/>
                  <w:tcBorders>
                    <w:tl2br w:val="nil"/>
                    <w:tr2bl w:val="nil"/>
                  </w:tcBorders>
                  <w:noWrap w:val="0"/>
                  <w:vAlign w:val="center"/>
                </w:tcPr>
                <w:p w14:paraId="4AC8471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2500</w:t>
                  </w:r>
                </w:p>
              </w:tc>
              <w:tc>
                <w:tcPr>
                  <w:tcW w:w="1613" w:type="dxa"/>
                  <w:tcBorders>
                    <w:tl2br w:val="nil"/>
                    <w:tr2bl w:val="nil"/>
                  </w:tcBorders>
                  <w:noWrap w:val="0"/>
                  <w:vAlign w:val="center"/>
                </w:tcPr>
                <w:p w14:paraId="4F6854E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1.05</w:t>
                  </w:r>
                </w:p>
              </w:tc>
              <w:tc>
                <w:tcPr>
                  <w:tcW w:w="1580" w:type="dxa"/>
                  <w:tcBorders>
                    <w:tl2br w:val="nil"/>
                    <w:tr2bl w:val="nil"/>
                  </w:tcBorders>
                  <w:noWrap w:val="0"/>
                  <w:vAlign w:val="center"/>
                </w:tcPr>
                <w:p w14:paraId="419C89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2.6</w:t>
                  </w:r>
                  <w:r>
                    <w:rPr>
                      <w:rFonts w:hint="eastAsia" w:ascii="Times New Roman" w:hAnsi="Times New Roman" w:eastAsia="宋体" w:cs="Times New Roman"/>
                      <w:i w:val="0"/>
                      <w:iCs w:val="0"/>
                      <w:color w:val="auto"/>
                      <w:kern w:val="0"/>
                      <w:sz w:val="21"/>
                      <w:szCs w:val="21"/>
                      <w:highlight w:val="none"/>
                      <w:u w:val="none"/>
                      <w:lang w:val="en-US" w:eastAsia="zh-CN" w:bidi="ar"/>
                    </w:rPr>
                    <w:t>3</w:t>
                  </w:r>
                </w:p>
              </w:tc>
            </w:tr>
            <w:tr w14:paraId="6FD635B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9" w:type="pct"/>
                  <w:tcBorders>
                    <w:tl2br w:val="nil"/>
                    <w:tr2bl w:val="nil"/>
                  </w:tcBorders>
                  <w:noWrap w:val="0"/>
                  <w:vAlign w:val="center"/>
                </w:tcPr>
                <w:p w14:paraId="510805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rPr>
                    <w:t>4</w:t>
                  </w:r>
                </w:p>
              </w:tc>
              <w:tc>
                <w:tcPr>
                  <w:tcW w:w="798" w:type="pct"/>
                  <w:tcBorders>
                    <w:tl2br w:val="nil"/>
                    <w:tr2bl w:val="nil"/>
                  </w:tcBorders>
                  <w:noWrap w:val="0"/>
                  <w:vAlign w:val="center"/>
                </w:tcPr>
                <w:p w14:paraId="5333578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合计</w:t>
                  </w:r>
                </w:p>
              </w:tc>
              <w:tc>
                <w:tcPr>
                  <w:tcW w:w="1188" w:type="pct"/>
                  <w:tcBorders>
                    <w:tl2br w:val="nil"/>
                    <w:tr2bl w:val="nil"/>
                  </w:tcBorders>
                  <w:noWrap w:val="0"/>
                  <w:vAlign w:val="center"/>
                </w:tcPr>
                <w:p w14:paraId="6CD46D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166" w:type="dxa"/>
                  <w:tcBorders>
                    <w:tl2br w:val="nil"/>
                    <w:tr2bl w:val="nil"/>
                  </w:tcBorders>
                  <w:noWrap w:val="0"/>
                  <w:vAlign w:val="center"/>
                </w:tcPr>
                <w:p w14:paraId="562B372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613" w:type="dxa"/>
                  <w:tcBorders>
                    <w:tl2br w:val="nil"/>
                    <w:tr2bl w:val="nil"/>
                  </w:tcBorders>
                  <w:noWrap w:val="0"/>
                  <w:vAlign w:val="center"/>
                </w:tcPr>
                <w:p w14:paraId="7A71FE1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580" w:type="dxa"/>
                  <w:tcBorders>
                    <w:tl2br w:val="nil"/>
                    <w:tr2bl w:val="nil"/>
                  </w:tcBorders>
                  <w:noWrap w:val="0"/>
                  <w:vAlign w:val="center"/>
                </w:tcPr>
                <w:p w14:paraId="1423532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28.5</w:t>
                  </w:r>
                  <w:r>
                    <w:rPr>
                      <w:rFonts w:hint="eastAsia" w:ascii="Times New Roman" w:hAnsi="Times New Roman" w:eastAsia="宋体" w:cs="Times New Roman"/>
                      <w:i w:val="0"/>
                      <w:iCs w:val="0"/>
                      <w:color w:val="auto"/>
                      <w:kern w:val="0"/>
                      <w:sz w:val="21"/>
                      <w:szCs w:val="21"/>
                      <w:highlight w:val="none"/>
                      <w:u w:val="none"/>
                      <w:lang w:val="en-US" w:eastAsia="zh-CN" w:bidi="ar"/>
                    </w:rPr>
                    <w:t>1</w:t>
                  </w:r>
                </w:p>
              </w:tc>
            </w:tr>
            <w:tr w14:paraId="7D4B9C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9" w:type="pct"/>
                  <w:tcBorders>
                    <w:tl2br w:val="nil"/>
                    <w:tr2bl w:val="nil"/>
                  </w:tcBorders>
                  <w:noWrap w:val="0"/>
                  <w:vAlign w:val="center"/>
                </w:tcPr>
                <w:p w14:paraId="28648E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rPr>
                    <w:t>1</w:t>
                  </w:r>
                </w:p>
              </w:tc>
              <w:tc>
                <w:tcPr>
                  <w:tcW w:w="798" w:type="pct"/>
                  <w:vMerge w:val="restart"/>
                  <w:tcBorders>
                    <w:tl2br w:val="nil"/>
                    <w:tr2bl w:val="nil"/>
                  </w:tcBorders>
                  <w:noWrap w:val="0"/>
                  <w:vAlign w:val="center"/>
                </w:tcPr>
                <w:p w14:paraId="37CA10B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有机溶剂</w:t>
                  </w:r>
                </w:p>
              </w:tc>
              <w:tc>
                <w:tcPr>
                  <w:tcW w:w="1188" w:type="pct"/>
                  <w:tcBorders>
                    <w:tl2br w:val="nil"/>
                    <w:tr2bl w:val="nil"/>
                  </w:tcBorders>
                  <w:noWrap w:val="0"/>
                  <w:vAlign w:val="center"/>
                </w:tcPr>
                <w:p w14:paraId="3C13633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无水乙醇</w:t>
                  </w:r>
                </w:p>
              </w:tc>
              <w:tc>
                <w:tcPr>
                  <w:tcW w:w="1166" w:type="dxa"/>
                  <w:tcBorders>
                    <w:tl2br w:val="nil"/>
                    <w:tr2bl w:val="nil"/>
                  </w:tcBorders>
                  <w:noWrap w:val="0"/>
                  <w:vAlign w:val="center"/>
                </w:tcPr>
                <w:p w14:paraId="760F9F7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11000</w:t>
                  </w:r>
                </w:p>
              </w:tc>
              <w:tc>
                <w:tcPr>
                  <w:tcW w:w="1613" w:type="dxa"/>
                  <w:tcBorders>
                    <w:tl2br w:val="nil"/>
                    <w:tr2bl w:val="nil"/>
                  </w:tcBorders>
                  <w:noWrap w:val="0"/>
                  <w:vAlign w:val="center"/>
                </w:tcPr>
                <w:p w14:paraId="2ECAAB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0.78</w:t>
                  </w:r>
                </w:p>
              </w:tc>
              <w:tc>
                <w:tcPr>
                  <w:tcW w:w="1580" w:type="dxa"/>
                  <w:tcBorders>
                    <w:tl2br w:val="nil"/>
                    <w:tr2bl w:val="nil"/>
                  </w:tcBorders>
                  <w:noWrap w:val="0"/>
                  <w:vAlign w:val="center"/>
                </w:tcPr>
                <w:p w14:paraId="5BA70D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8.58</w:t>
                  </w:r>
                </w:p>
              </w:tc>
            </w:tr>
            <w:tr w14:paraId="3B01067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9" w:type="pct"/>
                  <w:tcBorders>
                    <w:tl2br w:val="nil"/>
                    <w:tr2bl w:val="nil"/>
                  </w:tcBorders>
                  <w:noWrap w:val="0"/>
                  <w:vAlign w:val="center"/>
                </w:tcPr>
                <w:p w14:paraId="7FB374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rPr>
                    <w:t>2</w:t>
                  </w:r>
                </w:p>
              </w:tc>
              <w:tc>
                <w:tcPr>
                  <w:tcW w:w="798" w:type="pct"/>
                  <w:vMerge w:val="continue"/>
                  <w:tcBorders>
                    <w:tl2br w:val="nil"/>
                    <w:tr2bl w:val="nil"/>
                  </w:tcBorders>
                  <w:noWrap w:val="0"/>
                  <w:vAlign w:val="center"/>
                </w:tcPr>
                <w:p w14:paraId="1466FA7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rPr>
                  </w:pPr>
                </w:p>
              </w:tc>
              <w:tc>
                <w:tcPr>
                  <w:tcW w:w="1188" w:type="pct"/>
                  <w:tcBorders>
                    <w:tl2br w:val="nil"/>
                    <w:tr2bl w:val="nil"/>
                  </w:tcBorders>
                  <w:noWrap w:val="0"/>
                  <w:vAlign w:val="center"/>
                </w:tcPr>
                <w:p w14:paraId="2FF739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乙酸（36%）</w:t>
                  </w:r>
                </w:p>
              </w:tc>
              <w:tc>
                <w:tcPr>
                  <w:tcW w:w="1166" w:type="dxa"/>
                  <w:tcBorders>
                    <w:tl2br w:val="nil"/>
                    <w:tr2bl w:val="nil"/>
                  </w:tcBorders>
                  <w:noWrap w:val="0"/>
                  <w:vAlign w:val="center"/>
                </w:tcPr>
                <w:p w14:paraId="311ACC0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4000</w:t>
                  </w:r>
                </w:p>
              </w:tc>
              <w:tc>
                <w:tcPr>
                  <w:tcW w:w="1613" w:type="dxa"/>
                  <w:tcBorders>
                    <w:tl2br w:val="nil"/>
                    <w:tr2bl w:val="nil"/>
                  </w:tcBorders>
                  <w:noWrap w:val="0"/>
                  <w:vAlign w:val="center"/>
                </w:tcPr>
                <w:p w14:paraId="6069DF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1.049</w:t>
                  </w:r>
                </w:p>
              </w:tc>
              <w:tc>
                <w:tcPr>
                  <w:tcW w:w="1580" w:type="dxa"/>
                  <w:tcBorders>
                    <w:tl2br w:val="nil"/>
                    <w:tr2bl w:val="nil"/>
                  </w:tcBorders>
                  <w:noWrap w:val="0"/>
                  <w:vAlign w:val="center"/>
                </w:tcPr>
                <w:p w14:paraId="4AA700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w:t>
                  </w:r>
                  <w:r>
                    <w:rPr>
                      <w:rFonts w:hint="eastAsia" w:ascii="Times New Roman" w:hAnsi="Times New Roman" w:eastAsia="宋体" w:cs="Times New Roman"/>
                      <w:i w:val="0"/>
                      <w:iCs w:val="0"/>
                      <w:color w:val="auto"/>
                      <w:kern w:val="0"/>
                      <w:sz w:val="21"/>
                      <w:szCs w:val="21"/>
                      <w:highlight w:val="none"/>
                      <w:u w:val="none"/>
                      <w:lang w:val="en-US" w:eastAsia="zh-CN" w:bidi="ar"/>
                    </w:rPr>
                    <w:t>20</w:t>
                  </w:r>
                </w:p>
              </w:tc>
            </w:tr>
            <w:tr w14:paraId="4D4DD1A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9" w:type="pct"/>
                  <w:tcBorders>
                    <w:tl2br w:val="nil"/>
                    <w:tr2bl w:val="nil"/>
                  </w:tcBorders>
                  <w:noWrap w:val="0"/>
                  <w:vAlign w:val="center"/>
                </w:tcPr>
                <w:p w14:paraId="348BA8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3</w:t>
                  </w:r>
                </w:p>
              </w:tc>
              <w:tc>
                <w:tcPr>
                  <w:tcW w:w="798" w:type="pct"/>
                  <w:vMerge w:val="continue"/>
                  <w:tcBorders>
                    <w:tl2br w:val="nil"/>
                    <w:tr2bl w:val="nil"/>
                  </w:tcBorders>
                  <w:noWrap w:val="0"/>
                  <w:vAlign w:val="center"/>
                </w:tcPr>
                <w:p w14:paraId="5B51140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rPr>
                  </w:pPr>
                </w:p>
              </w:tc>
              <w:tc>
                <w:tcPr>
                  <w:tcW w:w="1188" w:type="pct"/>
                  <w:tcBorders>
                    <w:tl2br w:val="nil"/>
                    <w:tr2bl w:val="nil"/>
                  </w:tcBorders>
                  <w:noWrap w:val="0"/>
                  <w:vAlign w:val="center"/>
                </w:tcPr>
                <w:p w14:paraId="5C3A91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石油醚</w:t>
                  </w:r>
                </w:p>
              </w:tc>
              <w:tc>
                <w:tcPr>
                  <w:tcW w:w="1166" w:type="dxa"/>
                  <w:tcBorders>
                    <w:tl2br w:val="nil"/>
                    <w:tr2bl w:val="nil"/>
                  </w:tcBorders>
                  <w:noWrap w:val="0"/>
                  <w:vAlign w:val="center"/>
                </w:tcPr>
                <w:p w14:paraId="755BDA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7500</w:t>
                  </w:r>
                </w:p>
              </w:tc>
              <w:tc>
                <w:tcPr>
                  <w:tcW w:w="1613" w:type="dxa"/>
                  <w:tcBorders>
                    <w:tl2br w:val="nil"/>
                    <w:tr2bl w:val="nil"/>
                  </w:tcBorders>
                  <w:noWrap w:val="0"/>
                  <w:vAlign w:val="center"/>
                </w:tcPr>
                <w:p w14:paraId="1B3D3B7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0.66</w:t>
                  </w:r>
                </w:p>
              </w:tc>
              <w:tc>
                <w:tcPr>
                  <w:tcW w:w="1580" w:type="dxa"/>
                  <w:tcBorders>
                    <w:tl2br w:val="nil"/>
                    <w:tr2bl w:val="nil"/>
                  </w:tcBorders>
                  <w:noWrap w:val="0"/>
                  <w:vAlign w:val="center"/>
                </w:tcPr>
                <w:p w14:paraId="559FC1F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4.95</w:t>
                  </w:r>
                </w:p>
              </w:tc>
            </w:tr>
            <w:tr w14:paraId="193F6F9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9" w:type="pct"/>
                  <w:tcBorders>
                    <w:tl2br w:val="nil"/>
                    <w:tr2bl w:val="nil"/>
                  </w:tcBorders>
                  <w:noWrap w:val="0"/>
                  <w:vAlign w:val="center"/>
                </w:tcPr>
                <w:p w14:paraId="7D9FD4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4</w:t>
                  </w:r>
                </w:p>
              </w:tc>
              <w:tc>
                <w:tcPr>
                  <w:tcW w:w="798" w:type="pct"/>
                  <w:vMerge w:val="continue"/>
                  <w:tcBorders>
                    <w:tl2br w:val="nil"/>
                    <w:tr2bl w:val="nil"/>
                  </w:tcBorders>
                  <w:noWrap w:val="0"/>
                  <w:vAlign w:val="center"/>
                </w:tcPr>
                <w:p w14:paraId="0ADDE09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rPr>
                  </w:pPr>
                </w:p>
              </w:tc>
              <w:tc>
                <w:tcPr>
                  <w:tcW w:w="1188" w:type="pct"/>
                  <w:tcBorders>
                    <w:tl2br w:val="nil"/>
                    <w:tr2bl w:val="nil"/>
                  </w:tcBorders>
                  <w:noWrap w:val="0"/>
                  <w:vAlign w:val="center"/>
                </w:tcPr>
                <w:p w14:paraId="57B741C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乙酸乙酯</w:t>
                  </w:r>
                </w:p>
              </w:tc>
              <w:tc>
                <w:tcPr>
                  <w:tcW w:w="1166" w:type="dxa"/>
                  <w:tcBorders>
                    <w:tl2br w:val="nil"/>
                    <w:tr2bl w:val="nil"/>
                  </w:tcBorders>
                  <w:noWrap w:val="0"/>
                  <w:vAlign w:val="center"/>
                </w:tcPr>
                <w:p w14:paraId="57F838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2000</w:t>
                  </w:r>
                </w:p>
              </w:tc>
              <w:tc>
                <w:tcPr>
                  <w:tcW w:w="1613" w:type="dxa"/>
                  <w:tcBorders>
                    <w:tl2br w:val="nil"/>
                    <w:tr2bl w:val="nil"/>
                  </w:tcBorders>
                  <w:noWrap w:val="0"/>
                  <w:vAlign w:val="center"/>
                </w:tcPr>
                <w:p w14:paraId="6FBECCF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0.902</w:t>
                  </w:r>
                </w:p>
              </w:tc>
              <w:tc>
                <w:tcPr>
                  <w:tcW w:w="1580" w:type="dxa"/>
                  <w:tcBorders>
                    <w:tl2br w:val="nil"/>
                    <w:tr2bl w:val="nil"/>
                  </w:tcBorders>
                  <w:noWrap w:val="0"/>
                  <w:vAlign w:val="center"/>
                </w:tcPr>
                <w:p w14:paraId="7574540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1.80</w:t>
                  </w:r>
                </w:p>
              </w:tc>
            </w:tr>
            <w:tr w14:paraId="16AA370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9" w:type="pct"/>
                  <w:tcBorders>
                    <w:tl2br w:val="nil"/>
                    <w:tr2bl w:val="nil"/>
                  </w:tcBorders>
                  <w:noWrap w:val="0"/>
                  <w:vAlign w:val="center"/>
                </w:tcPr>
                <w:p w14:paraId="60A69D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5</w:t>
                  </w:r>
                </w:p>
              </w:tc>
              <w:tc>
                <w:tcPr>
                  <w:tcW w:w="798" w:type="pct"/>
                  <w:tcBorders>
                    <w:tl2br w:val="nil"/>
                    <w:tr2bl w:val="nil"/>
                  </w:tcBorders>
                  <w:noWrap w:val="0"/>
                  <w:vAlign w:val="center"/>
                </w:tcPr>
                <w:p w14:paraId="5BE161A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合计</w:t>
                  </w:r>
                </w:p>
              </w:tc>
              <w:tc>
                <w:tcPr>
                  <w:tcW w:w="1188" w:type="pct"/>
                  <w:tcBorders>
                    <w:tl2br w:val="nil"/>
                    <w:tr2bl w:val="nil"/>
                  </w:tcBorders>
                  <w:noWrap w:val="0"/>
                  <w:vAlign w:val="center"/>
                </w:tcPr>
                <w:p w14:paraId="37BE45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166" w:type="dxa"/>
                  <w:tcBorders>
                    <w:tl2br w:val="nil"/>
                    <w:tr2bl w:val="nil"/>
                  </w:tcBorders>
                  <w:noWrap w:val="0"/>
                  <w:vAlign w:val="center"/>
                </w:tcPr>
                <w:p w14:paraId="5696B1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613" w:type="dxa"/>
                  <w:tcBorders>
                    <w:tl2br w:val="nil"/>
                    <w:tr2bl w:val="nil"/>
                  </w:tcBorders>
                  <w:noWrap w:val="0"/>
                  <w:vAlign w:val="center"/>
                </w:tcPr>
                <w:p w14:paraId="5FA2FF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580" w:type="dxa"/>
                  <w:tcBorders>
                    <w:tl2br w:val="nil"/>
                    <w:tr2bl w:val="nil"/>
                  </w:tcBorders>
                  <w:noWrap w:val="0"/>
                  <w:vAlign w:val="center"/>
                </w:tcPr>
                <w:p w14:paraId="61C3619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19.53</w:t>
                  </w:r>
                </w:p>
              </w:tc>
            </w:tr>
          </w:tbl>
          <w:p w14:paraId="1A6A0F6E">
            <w:pPr>
              <w:pStyle w:val="27"/>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cs="Times New Roman"/>
                <w:color w:val="auto"/>
                <w:spacing w:val="0"/>
                <w:w w:val="100"/>
                <w:position w:val="0"/>
                <w:sz w:val="24"/>
                <w:highlight w:val="none"/>
                <w:u w:val="none"/>
                <w:lang w:eastAsia="zh-CN"/>
              </w:rPr>
            </w:pPr>
            <w:r>
              <w:rPr>
                <w:rFonts w:hint="default" w:ascii="Times New Roman" w:hAnsi="Times New Roman" w:eastAsia="宋体" w:cs="Times New Roman"/>
                <w:bCs/>
                <w:color w:val="auto"/>
                <w:spacing w:val="0"/>
                <w:w w:val="100"/>
                <w:kern w:val="2"/>
                <w:position w:val="0"/>
                <w:sz w:val="24"/>
                <w:szCs w:val="24"/>
                <w:highlight w:val="none"/>
                <w:lang w:val="en-US" w:eastAsia="zh-CN" w:bidi="ar-SA"/>
              </w:rPr>
              <w:t>高中阶段化学、生物实验学生实验课演示实验为教师一人操作，废气产生量较小，本次评价按选取学生实验过程废气排放量进行核算。每班学生化学实验16个课时，每班学生生物实验按10个课时进行计算，每个课时实验时间按30min计，则化学、生物反应时间为</w:t>
            </w:r>
            <w:r>
              <w:rPr>
                <w:rFonts w:hint="eastAsia" w:cs="Times New Roman"/>
                <w:bCs/>
                <w:color w:val="auto"/>
                <w:spacing w:val="0"/>
                <w:w w:val="100"/>
                <w:kern w:val="2"/>
                <w:position w:val="0"/>
                <w:sz w:val="24"/>
                <w:szCs w:val="24"/>
                <w:highlight w:val="none"/>
                <w:lang w:val="en-US" w:eastAsia="zh-CN" w:bidi="ar-SA"/>
              </w:rPr>
              <w:t>23400</w:t>
            </w:r>
            <w:r>
              <w:rPr>
                <w:rFonts w:hint="default" w:ascii="Times New Roman" w:hAnsi="Times New Roman" w:eastAsia="宋体" w:cs="Times New Roman"/>
                <w:bCs/>
                <w:color w:val="auto"/>
                <w:spacing w:val="0"/>
                <w:w w:val="100"/>
                <w:kern w:val="2"/>
                <w:position w:val="0"/>
                <w:sz w:val="24"/>
                <w:szCs w:val="24"/>
                <w:highlight w:val="none"/>
                <w:lang w:val="en-US" w:eastAsia="zh-CN" w:bidi="ar-SA"/>
              </w:rPr>
              <w:t>min（3</w:t>
            </w:r>
            <w:r>
              <w:rPr>
                <w:rFonts w:hint="eastAsia" w:cs="Times New Roman"/>
                <w:bCs/>
                <w:color w:val="auto"/>
                <w:spacing w:val="0"/>
                <w:w w:val="100"/>
                <w:kern w:val="2"/>
                <w:position w:val="0"/>
                <w:sz w:val="24"/>
                <w:szCs w:val="24"/>
                <w:highlight w:val="none"/>
                <w:lang w:val="en-US" w:eastAsia="zh-CN" w:bidi="ar-SA"/>
              </w:rPr>
              <w:t>90</w:t>
            </w:r>
            <w:r>
              <w:rPr>
                <w:rFonts w:hint="default" w:ascii="Times New Roman" w:hAnsi="Times New Roman" w:eastAsia="宋体" w:cs="Times New Roman"/>
                <w:bCs/>
                <w:color w:val="auto"/>
                <w:spacing w:val="0"/>
                <w:w w:val="100"/>
                <w:kern w:val="2"/>
                <w:position w:val="0"/>
                <w:sz w:val="24"/>
                <w:szCs w:val="24"/>
                <w:highlight w:val="none"/>
                <w:lang w:val="en-US" w:eastAsia="zh-CN" w:bidi="ar-SA"/>
              </w:rPr>
              <w:t>h/a）。</w:t>
            </w:r>
          </w:p>
          <w:p w14:paraId="2A67D890">
            <w:pPr>
              <w:pStyle w:val="27"/>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bCs/>
                <w:color w:val="auto"/>
                <w:spacing w:val="0"/>
                <w:w w:val="100"/>
                <w:kern w:val="2"/>
                <w:position w:val="0"/>
                <w:sz w:val="24"/>
                <w:szCs w:val="24"/>
                <w:highlight w:val="none"/>
                <w:lang w:val="en-US" w:eastAsia="zh-CN" w:bidi="ar-SA"/>
              </w:rPr>
            </w:pPr>
            <w:r>
              <w:rPr>
                <w:rFonts w:hint="default" w:ascii="Times New Roman" w:hAnsi="Times New Roman" w:cs="Times New Roman"/>
                <w:color w:val="auto"/>
                <w:spacing w:val="0"/>
                <w:w w:val="100"/>
                <w:position w:val="0"/>
                <w:sz w:val="24"/>
                <w:highlight w:val="none"/>
                <w:u w:val="none"/>
                <w:lang w:eastAsia="zh-CN"/>
              </w:rPr>
              <w:t>本项目所属行业现无相应的污染源源强核算技术指南，源强按照《污染源源强核算技术指南 准则》（HJ884—2018）要求采用产污系数法确定。根据《空气污染物排放和控制手册工业污染源调查与研究第二辑》（美国环境保护局编），检测实验操作过程中试剂的实际挥发量约为用量的10%，本次评价所有试剂的挥发量均按用量的10%计算</w:t>
            </w:r>
            <w:r>
              <w:rPr>
                <w:rFonts w:hint="default" w:ascii="Times New Roman" w:hAnsi="Times New Roman" w:eastAsia="宋体" w:cs="Times New Roman"/>
                <w:bCs/>
                <w:color w:val="auto"/>
                <w:spacing w:val="0"/>
                <w:w w:val="100"/>
                <w:kern w:val="2"/>
                <w:position w:val="0"/>
                <w:sz w:val="24"/>
                <w:szCs w:val="24"/>
                <w:highlight w:val="none"/>
                <w:lang w:val="en-US" w:eastAsia="zh-CN" w:bidi="ar-SA"/>
              </w:rPr>
              <w:t>，则本项目实验室废气产生量见下表。</w:t>
            </w:r>
          </w:p>
          <w:p w14:paraId="75BFEAC9">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kern w:val="2"/>
                <w:sz w:val="21"/>
                <w:szCs w:val="24"/>
                <w:highlight w:val="none"/>
                <w:lang w:val="en-US" w:eastAsia="zh-CN" w:bidi="ar"/>
              </w:rPr>
              <w:t>表</w:t>
            </w:r>
            <w:r>
              <w:rPr>
                <w:rFonts w:hint="default" w:ascii="Times New Roman" w:hAnsi="Times New Roman" w:eastAsia="宋体" w:cs="Times New Roman"/>
                <w:b/>
                <w:bCs/>
                <w:color w:val="auto"/>
                <w:kern w:val="2"/>
                <w:sz w:val="21"/>
                <w:szCs w:val="24"/>
                <w:highlight w:val="none"/>
                <w:lang w:val="en-US" w:eastAsia="zh-CN" w:bidi="ar"/>
              </w:rPr>
              <w:fldChar w:fldCharType="begin"/>
            </w:r>
            <w:r>
              <w:rPr>
                <w:rFonts w:hint="default" w:ascii="Times New Roman" w:hAnsi="Times New Roman" w:eastAsia="宋体" w:cs="Times New Roman"/>
                <w:b/>
                <w:bCs/>
                <w:color w:val="auto"/>
                <w:kern w:val="2"/>
                <w:sz w:val="21"/>
                <w:szCs w:val="24"/>
                <w:highlight w:val="none"/>
                <w:lang w:val="en-US" w:eastAsia="zh-CN" w:bidi="ar"/>
              </w:rPr>
              <w:instrText xml:space="preserve"> STYLEREF 1 \s </w:instrText>
            </w:r>
            <w:r>
              <w:rPr>
                <w:rFonts w:hint="default" w:ascii="Times New Roman" w:hAnsi="Times New Roman" w:eastAsia="宋体" w:cs="Times New Roman"/>
                <w:b/>
                <w:bCs/>
                <w:color w:val="auto"/>
                <w:kern w:val="2"/>
                <w:sz w:val="21"/>
                <w:szCs w:val="24"/>
                <w:highlight w:val="none"/>
                <w:lang w:val="en-US" w:eastAsia="zh-CN" w:bidi="ar"/>
              </w:rPr>
              <w:fldChar w:fldCharType="separate"/>
            </w:r>
            <w:r>
              <w:rPr>
                <w:rFonts w:hint="default" w:ascii="Times New Roman" w:hAnsi="Times New Roman" w:eastAsia="宋体" w:cs="Times New Roman"/>
                <w:b/>
                <w:bCs/>
                <w:color w:val="auto"/>
                <w:kern w:val="2"/>
                <w:sz w:val="21"/>
                <w:szCs w:val="24"/>
                <w:highlight w:val="none"/>
                <w:lang w:val="en-US" w:eastAsia="zh-CN" w:bidi="ar"/>
              </w:rPr>
              <w:t>4</w:t>
            </w:r>
            <w:r>
              <w:rPr>
                <w:rFonts w:hint="default" w:ascii="Times New Roman" w:hAnsi="Times New Roman" w:eastAsia="宋体" w:cs="Times New Roman"/>
                <w:b/>
                <w:bCs/>
                <w:color w:val="auto"/>
                <w:kern w:val="2"/>
                <w:sz w:val="21"/>
                <w:szCs w:val="24"/>
                <w:highlight w:val="none"/>
                <w:lang w:val="en-US" w:eastAsia="zh-CN" w:bidi="ar"/>
              </w:rPr>
              <w:fldChar w:fldCharType="end"/>
            </w:r>
            <w:r>
              <w:rPr>
                <w:rFonts w:hint="default" w:ascii="Times New Roman" w:hAnsi="Times New Roman" w:eastAsia="宋体" w:cs="Times New Roman"/>
                <w:b/>
                <w:bCs/>
                <w:color w:val="auto"/>
                <w:kern w:val="2"/>
                <w:sz w:val="21"/>
                <w:szCs w:val="24"/>
                <w:highlight w:val="none"/>
                <w:lang w:val="en-US" w:eastAsia="zh-CN" w:bidi="ar"/>
              </w:rPr>
              <w:t>-</w:t>
            </w:r>
            <w:r>
              <w:rPr>
                <w:rFonts w:hint="default" w:ascii="Times New Roman" w:hAnsi="Times New Roman" w:eastAsia="宋体" w:cs="Times New Roman"/>
                <w:b/>
                <w:bCs/>
                <w:color w:val="auto"/>
                <w:kern w:val="2"/>
                <w:sz w:val="21"/>
                <w:szCs w:val="24"/>
                <w:highlight w:val="none"/>
                <w:lang w:val="en-US" w:eastAsia="zh-CN" w:bidi="ar"/>
              </w:rPr>
              <w:fldChar w:fldCharType="begin"/>
            </w:r>
            <w:r>
              <w:rPr>
                <w:rFonts w:hint="default" w:ascii="Times New Roman" w:hAnsi="Times New Roman" w:eastAsia="宋体" w:cs="Times New Roman"/>
                <w:b/>
                <w:bCs/>
                <w:color w:val="auto"/>
                <w:kern w:val="2"/>
                <w:sz w:val="21"/>
                <w:szCs w:val="24"/>
                <w:highlight w:val="none"/>
                <w:lang w:val="en-US" w:eastAsia="zh-CN" w:bidi="ar"/>
              </w:rPr>
              <w:instrText xml:space="preserve"> SEQ 表 \* ARABIC \s 1 </w:instrText>
            </w:r>
            <w:r>
              <w:rPr>
                <w:rFonts w:hint="default" w:ascii="Times New Roman" w:hAnsi="Times New Roman" w:eastAsia="宋体" w:cs="Times New Roman"/>
                <w:b/>
                <w:bCs/>
                <w:color w:val="auto"/>
                <w:kern w:val="2"/>
                <w:sz w:val="21"/>
                <w:szCs w:val="24"/>
                <w:highlight w:val="none"/>
                <w:lang w:val="en-US" w:eastAsia="zh-CN" w:bidi="ar"/>
              </w:rPr>
              <w:fldChar w:fldCharType="separate"/>
            </w:r>
            <w:r>
              <w:rPr>
                <w:rFonts w:hint="default" w:ascii="Times New Roman" w:hAnsi="Times New Roman" w:eastAsia="宋体" w:cs="Times New Roman"/>
                <w:b/>
                <w:bCs/>
                <w:color w:val="auto"/>
                <w:kern w:val="2"/>
                <w:sz w:val="21"/>
                <w:szCs w:val="24"/>
                <w:highlight w:val="none"/>
                <w:lang w:val="en-US" w:eastAsia="zh-CN" w:bidi="ar"/>
              </w:rPr>
              <w:t>3</w:t>
            </w:r>
            <w:r>
              <w:rPr>
                <w:rFonts w:hint="default" w:ascii="Times New Roman" w:hAnsi="Times New Roman" w:eastAsia="宋体" w:cs="Times New Roman"/>
                <w:b/>
                <w:bCs/>
                <w:color w:val="auto"/>
                <w:kern w:val="2"/>
                <w:sz w:val="21"/>
                <w:szCs w:val="24"/>
                <w:highlight w:val="none"/>
                <w:lang w:val="en-US" w:eastAsia="zh-CN" w:bidi="ar"/>
              </w:rPr>
              <w:fldChar w:fldCharType="end"/>
            </w:r>
            <w:r>
              <w:rPr>
                <w:rFonts w:hint="eastAsia" w:ascii="Times New Roman" w:hAnsi="Times New Roman" w:eastAsia="宋体" w:cs="Times New Roman"/>
                <w:b/>
                <w:bCs/>
                <w:color w:val="auto"/>
                <w:kern w:val="2"/>
                <w:sz w:val="21"/>
                <w:szCs w:val="24"/>
                <w:highlight w:val="none"/>
                <w:lang w:val="en-US" w:eastAsia="zh-CN" w:bidi="ar"/>
              </w:rPr>
              <w:t xml:space="preserve"> </w:t>
            </w:r>
            <w:r>
              <w:rPr>
                <w:rFonts w:hint="default" w:ascii="Times New Roman" w:hAnsi="Times New Roman" w:eastAsia="宋体" w:cs="Times New Roman"/>
                <w:color w:val="auto"/>
                <w:sz w:val="21"/>
                <w:szCs w:val="21"/>
                <w:highlight w:val="none"/>
                <w:lang w:val="en-US" w:eastAsia="zh-CN"/>
              </w:rPr>
              <w:t>本项目实验室废气产生量情况表</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2940"/>
              <w:gridCol w:w="4314"/>
            </w:tblGrid>
            <w:tr w14:paraId="4DA9B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exact"/>
                <w:jc w:val="center"/>
              </w:trPr>
              <w:tc>
                <w:tcPr>
                  <w:tcW w:w="784" w:type="pct"/>
                  <w:tcBorders>
                    <w:tl2br w:val="nil"/>
                    <w:tr2bl w:val="nil"/>
                  </w:tcBorders>
                  <w:noWrap w:val="0"/>
                  <w:vAlign w:val="center"/>
                </w:tcPr>
                <w:p w14:paraId="32B759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kern w:val="0"/>
                      <w:sz w:val="21"/>
                      <w:szCs w:val="21"/>
                      <w:highlight w:val="none"/>
                      <w:lang w:val="en-US" w:eastAsia="zh-CN"/>
                    </w:rPr>
                  </w:pPr>
                  <w:r>
                    <w:rPr>
                      <w:rFonts w:hint="default" w:ascii="Times New Roman" w:hAnsi="Times New Roman" w:eastAsia="宋体" w:cs="Times New Roman"/>
                      <w:b/>
                      <w:color w:val="auto"/>
                      <w:kern w:val="0"/>
                      <w:sz w:val="21"/>
                      <w:szCs w:val="21"/>
                      <w:highlight w:val="none"/>
                      <w:lang w:val="en-US" w:eastAsia="zh-CN"/>
                    </w:rPr>
                    <w:t>序号</w:t>
                  </w:r>
                </w:p>
              </w:tc>
              <w:tc>
                <w:tcPr>
                  <w:tcW w:w="1708" w:type="pct"/>
                  <w:tcBorders>
                    <w:tl2br w:val="nil"/>
                    <w:tr2bl w:val="nil"/>
                  </w:tcBorders>
                  <w:noWrap w:val="0"/>
                  <w:vAlign w:val="center"/>
                </w:tcPr>
                <w:p w14:paraId="6F87A5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污染物</w:t>
                  </w:r>
                </w:p>
              </w:tc>
              <w:tc>
                <w:tcPr>
                  <w:tcW w:w="2506" w:type="pct"/>
                  <w:tcBorders>
                    <w:tl2br w:val="nil"/>
                    <w:tr2bl w:val="nil"/>
                  </w:tcBorders>
                  <w:noWrap w:val="0"/>
                  <w:vAlign w:val="center"/>
                </w:tcPr>
                <w:p w14:paraId="52438F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废气产生</w:t>
                  </w:r>
                  <w:r>
                    <w:rPr>
                      <w:rFonts w:hint="default" w:ascii="Times New Roman" w:hAnsi="Times New Roman" w:eastAsia="宋体" w:cs="Times New Roman"/>
                      <w:b/>
                      <w:bCs/>
                      <w:color w:val="auto"/>
                      <w:sz w:val="21"/>
                      <w:szCs w:val="21"/>
                      <w:highlight w:val="none"/>
                    </w:rPr>
                    <w:t>量</w:t>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t>kg</w:t>
                  </w:r>
                  <w:r>
                    <w:rPr>
                      <w:rFonts w:hint="default" w:ascii="Times New Roman" w:hAnsi="Times New Roman" w:eastAsia="宋体" w:cs="Times New Roman"/>
                      <w:b/>
                      <w:bCs/>
                      <w:color w:val="auto"/>
                      <w:sz w:val="21"/>
                      <w:szCs w:val="21"/>
                      <w:highlight w:val="none"/>
                      <w:lang w:val="en-US" w:eastAsia="zh-CN"/>
                    </w:rPr>
                    <w:t>/a</w:t>
                  </w:r>
                  <w:r>
                    <w:rPr>
                      <w:rFonts w:hint="default" w:ascii="Times New Roman" w:hAnsi="Times New Roman" w:eastAsia="宋体" w:cs="Times New Roman"/>
                      <w:b/>
                      <w:bCs/>
                      <w:color w:val="auto"/>
                      <w:sz w:val="21"/>
                      <w:szCs w:val="21"/>
                      <w:highlight w:val="none"/>
                      <w:lang w:eastAsia="zh-CN"/>
                    </w:rPr>
                    <w:t>）</w:t>
                  </w:r>
                </w:p>
              </w:tc>
            </w:tr>
            <w:tr w14:paraId="6729F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exact"/>
                <w:jc w:val="center"/>
              </w:trPr>
              <w:tc>
                <w:tcPr>
                  <w:tcW w:w="784" w:type="pct"/>
                  <w:tcBorders>
                    <w:tl2br w:val="nil"/>
                    <w:tr2bl w:val="nil"/>
                  </w:tcBorders>
                  <w:noWrap w:val="0"/>
                  <w:vAlign w:val="center"/>
                </w:tcPr>
                <w:p w14:paraId="2FE7AC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sz w:val="21"/>
                      <w:szCs w:val="21"/>
                      <w:highlight w:val="none"/>
                      <w:lang w:val="en-US" w:eastAsia="zh-CN"/>
                    </w:rPr>
                    <w:t>1</w:t>
                  </w:r>
                </w:p>
              </w:tc>
              <w:tc>
                <w:tcPr>
                  <w:tcW w:w="1708" w:type="pct"/>
                  <w:tcBorders>
                    <w:tl2br w:val="nil"/>
                    <w:tr2bl w:val="nil"/>
                  </w:tcBorders>
                  <w:noWrap w:val="0"/>
                  <w:vAlign w:val="center"/>
                </w:tcPr>
                <w:p w14:paraId="3993DB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有机废气</w:t>
                  </w:r>
                </w:p>
              </w:tc>
              <w:tc>
                <w:tcPr>
                  <w:tcW w:w="4314" w:type="dxa"/>
                  <w:tcBorders>
                    <w:tl2br w:val="nil"/>
                    <w:tr2bl w:val="nil"/>
                  </w:tcBorders>
                  <w:noWrap w:val="0"/>
                  <w:vAlign w:val="center"/>
                </w:tcPr>
                <w:p w14:paraId="023C46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1.953</w:t>
                  </w:r>
                </w:p>
              </w:tc>
            </w:tr>
            <w:tr w14:paraId="1AA50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exact"/>
                <w:jc w:val="center"/>
              </w:trPr>
              <w:tc>
                <w:tcPr>
                  <w:tcW w:w="784" w:type="pct"/>
                  <w:tcBorders>
                    <w:tl2br w:val="nil"/>
                    <w:tr2bl w:val="nil"/>
                  </w:tcBorders>
                  <w:noWrap w:val="0"/>
                  <w:vAlign w:val="center"/>
                </w:tcPr>
                <w:p w14:paraId="6529AA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1708" w:type="pct"/>
                  <w:tcBorders>
                    <w:tl2br w:val="nil"/>
                    <w:tr2bl w:val="nil"/>
                  </w:tcBorders>
                  <w:noWrap w:val="0"/>
                  <w:vAlign w:val="center"/>
                </w:tcPr>
                <w:p w14:paraId="051F32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氯化氢</w:t>
                  </w:r>
                </w:p>
              </w:tc>
              <w:tc>
                <w:tcPr>
                  <w:tcW w:w="4314" w:type="dxa"/>
                  <w:tcBorders>
                    <w:tl2br w:val="nil"/>
                    <w:tr2bl w:val="nil"/>
                  </w:tcBorders>
                  <w:noWrap w:val="0"/>
                  <w:vAlign w:val="center"/>
                </w:tcPr>
                <w:p w14:paraId="6BE7F19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2.116</w:t>
                  </w:r>
                </w:p>
              </w:tc>
            </w:tr>
            <w:tr w14:paraId="1A92F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exact"/>
                <w:jc w:val="center"/>
              </w:trPr>
              <w:tc>
                <w:tcPr>
                  <w:tcW w:w="784" w:type="pct"/>
                  <w:tcBorders>
                    <w:tl2br w:val="nil"/>
                    <w:tr2bl w:val="nil"/>
                  </w:tcBorders>
                  <w:noWrap w:val="0"/>
                  <w:vAlign w:val="center"/>
                </w:tcPr>
                <w:p w14:paraId="56611B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1708" w:type="pct"/>
                  <w:tcBorders>
                    <w:tl2br w:val="nil"/>
                    <w:tr2bl w:val="nil"/>
                  </w:tcBorders>
                  <w:noWrap w:val="0"/>
                  <w:vAlign w:val="center"/>
                </w:tcPr>
                <w:p w14:paraId="305575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硫酸雾</w:t>
                  </w:r>
                </w:p>
              </w:tc>
              <w:tc>
                <w:tcPr>
                  <w:tcW w:w="4314" w:type="dxa"/>
                  <w:tcBorders>
                    <w:tl2br w:val="nil"/>
                    <w:tr2bl w:val="nil"/>
                  </w:tcBorders>
                  <w:noWrap w:val="0"/>
                  <w:vAlign w:val="center"/>
                </w:tcPr>
                <w:p w14:paraId="2FAEE31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0.472</w:t>
                  </w:r>
                </w:p>
              </w:tc>
            </w:tr>
            <w:tr w14:paraId="4F313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exact"/>
                <w:jc w:val="center"/>
              </w:trPr>
              <w:tc>
                <w:tcPr>
                  <w:tcW w:w="784" w:type="pct"/>
                  <w:tcBorders>
                    <w:tl2br w:val="nil"/>
                    <w:tr2bl w:val="nil"/>
                  </w:tcBorders>
                  <w:noWrap w:val="0"/>
                  <w:vAlign w:val="center"/>
                </w:tcPr>
                <w:p w14:paraId="65506B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1708" w:type="pct"/>
                  <w:tcBorders>
                    <w:tl2br w:val="nil"/>
                    <w:tr2bl w:val="nil"/>
                  </w:tcBorders>
                  <w:noWrap w:val="0"/>
                  <w:vAlign w:val="center"/>
                </w:tcPr>
                <w:p w14:paraId="4F6C90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硝酸雾</w:t>
                  </w:r>
                </w:p>
              </w:tc>
              <w:tc>
                <w:tcPr>
                  <w:tcW w:w="4314" w:type="dxa"/>
                  <w:tcBorders>
                    <w:tl2br w:val="nil"/>
                    <w:tr2bl w:val="nil"/>
                  </w:tcBorders>
                  <w:noWrap w:val="0"/>
                  <w:vAlign w:val="center"/>
                </w:tcPr>
                <w:p w14:paraId="5E1B63F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0.263</w:t>
                  </w:r>
                </w:p>
              </w:tc>
            </w:tr>
          </w:tbl>
          <w:p w14:paraId="0021905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w w:val="100"/>
                <w:kern w:val="2"/>
                <w:position w:val="0"/>
                <w:sz w:val="24"/>
                <w:szCs w:val="24"/>
                <w:highlight w:val="none"/>
                <w:lang w:val="en-US" w:eastAsia="zh-CN" w:bidi="ar-SA"/>
              </w:rPr>
            </w:pPr>
            <w:r>
              <w:rPr>
                <w:rFonts w:hint="default" w:ascii="Times New Roman" w:hAnsi="Times New Roman" w:eastAsia="宋体" w:cs="Times New Roman"/>
                <w:bCs/>
                <w:color w:val="auto"/>
                <w:spacing w:val="0"/>
                <w:w w:val="100"/>
                <w:kern w:val="2"/>
                <w:position w:val="0"/>
                <w:sz w:val="24"/>
                <w:szCs w:val="24"/>
                <w:highlight w:val="none"/>
                <w:lang w:val="en-US" w:eastAsia="zh-CN" w:bidi="ar-SA"/>
              </w:rPr>
              <w:t>实验开始前先在化学准备室/生物准备室内配制溶液，溶液配置在通风橱内进行，配制好的溶液送入教室，教室内每个实验台设置侧向吸风罩，实验室内设置强制通风通道，准备室的通风橱也连接通风通道，实验过程中排放的废气通过通风系统收集后，采用引风机输送到楼顶经“碱喷淋（配套脱水）+二级活性炭吸附”装置处理后由高出楼顶1m排气筒（DA00</w:t>
            </w:r>
            <w:r>
              <w:rPr>
                <w:rFonts w:hint="eastAsia" w:cs="Times New Roman"/>
                <w:bCs/>
                <w:color w:val="auto"/>
                <w:spacing w:val="0"/>
                <w:w w:val="100"/>
                <w:kern w:val="2"/>
                <w:position w:val="0"/>
                <w:sz w:val="24"/>
                <w:szCs w:val="24"/>
                <w:highlight w:val="none"/>
                <w:lang w:val="en-US" w:eastAsia="zh-CN" w:bidi="ar-SA"/>
              </w:rPr>
              <w:t>2</w:t>
            </w:r>
            <w:r>
              <w:rPr>
                <w:rFonts w:hint="default" w:ascii="Times New Roman" w:hAnsi="Times New Roman" w:eastAsia="宋体" w:cs="Times New Roman"/>
                <w:bCs/>
                <w:color w:val="auto"/>
                <w:spacing w:val="0"/>
                <w:w w:val="100"/>
                <w:kern w:val="2"/>
                <w:position w:val="0"/>
                <w:sz w:val="24"/>
                <w:szCs w:val="24"/>
                <w:highlight w:val="none"/>
                <w:lang w:val="en-US" w:eastAsia="zh-CN" w:bidi="ar-SA"/>
              </w:rPr>
              <w:t>，距地面高度</w:t>
            </w:r>
            <w:r>
              <w:rPr>
                <w:rFonts w:hint="eastAsia" w:cs="Times New Roman"/>
                <w:bCs/>
                <w:color w:val="auto"/>
                <w:spacing w:val="0"/>
                <w:w w:val="100"/>
                <w:kern w:val="2"/>
                <w:position w:val="0"/>
                <w:sz w:val="24"/>
                <w:szCs w:val="24"/>
                <w:highlight w:val="none"/>
                <w:lang w:val="en-US" w:eastAsia="zh-CN" w:bidi="ar-SA"/>
              </w:rPr>
              <w:t>23</w:t>
            </w:r>
            <w:r>
              <w:rPr>
                <w:rFonts w:hint="default" w:ascii="Times New Roman" w:hAnsi="Times New Roman" w:eastAsia="宋体" w:cs="Times New Roman"/>
                <w:bCs/>
                <w:color w:val="auto"/>
                <w:spacing w:val="0"/>
                <w:w w:val="100"/>
                <w:kern w:val="2"/>
                <w:position w:val="0"/>
                <w:sz w:val="24"/>
                <w:szCs w:val="24"/>
                <w:highlight w:val="none"/>
                <w:lang w:val="en-US" w:eastAsia="zh-CN" w:bidi="ar-SA"/>
              </w:rPr>
              <w:t>m）（建筑高度</w:t>
            </w:r>
            <w:r>
              <w:rPr>
                <w:rFonts w:hint="eastAsia" w:cs="Times New Roman"/>
                <w:bCs/>
                <w:color w:val="auto"/>
                <w:spacing w:val="0"/>
                <w:w w:val="100"/>
                <w:kern w:val="2"/>
                <w:position w:val="0"/>
                <w:sz w:val="24"/>
                <w:szCs w:val="24"/>
                <w:highlight w:val="none"/>
                <w:lang w:val="en-US" w:eastAsia="zh-CN" w:bidi="ar-SA"/>
              </w:rPr>
              <w:t>22</w:t>
            </w:r>
            <w:r>
              <w:rPr>
                <w:rFonts w:hint="default" w:ascii="Times New Roman" w:hAnsi="Times New Roman" w:eastAsia="宋体" w:cs="Times New Roman"/>
                <w:bCs/>
                <w:color w:val="auto"/>
                <w:spacing w:val="0"/>
                <w:w w:val="100"/>
                <w:kern w:val="2"/>
                <w:position w:val="0"/>
                <w:sz w:val="24"/>
                <w:szCs w:val="24"/>
                <w:highlight w:val="none"/>
                <w:lang w:val="en-US" w:eastAsia="zh-CN" w:bidi="ar-SA"/>
              </w:rPr>
              <w:t>m）排放。本项目实验室废气收集效率按90%计。</w:t>
            </w:r>
          </w:p>
          <w:p w14:paraId="12C28BA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8"/>
                <w:highlight w:val="none"/>
                <w:u w:val="single"/>
                <w:lang w:eastAsia="zh-CN"/>
              </w:rPr>
            </w:pPr>
            <w:r>
              <w:rPr>
                <w:rFonts w:hint="default" w:ascii="Times New Roman" w:hAnsi="Times New Roman" w:eastAsia="宋体" w:cs="Times New Roman"/>
                <w:bCs/>
                <w:color w:val="auto"/>
                <w:spacing w:val="0"/>
                <w:w w:val="100"/>
                <w:kern w:val="2"/>
                <w:position w:val="0"/>
                <w:sz w:val="24"/>
                <w:szCs w:val="24"/>
                <w:highlight w:val="none"/>
                <w:lang w:val="en-US" w:eastAsia="zh-CN" w:bidi="ar-SA"/>
              </w:rPr>
              <w:t>本项目综合楼一层共有</w:t>
            </w:r>
            <w:r>
              <w:rPr>
                <w:rFonts w:hint="eastAsia" w:cs="Times New Roman"/>
                <w:bCs/>
                <w:color w:val="auto"/>
                <w:spacing w:val="0"/>
                <w:w w:val="100"/>
                <w:kern w:val="2"/>
                <w:position w:val="0"/>
                <w:sz w:val="24"/>
                <w:szCs w:val="24"/>
                <w:highlight w:val="none"/>
                <w:lang w:val="en-US" w:eastAsia="zh-CN" w:bidi="ar-SA"/>
              </w:rPr>
              <w:t>3</w:t>
            </w:r>
            <w:r>
              <w:rPr>
                <w:rFonts w:hint="default" w:ascii="Times New Roman" w:hAnsi="Times New Roman" w:eastAsia="宋体" w:cs="Times New Roman"/>
                <w:bCs/>
                <w:color w:val="auto"/>
                <w:spacing w:val="0"/>
                <w:w w:val="100"/>
                <w:kern w:val="2"/>
                <w:position w:val="0"/>
                <w:sz w:val="24"/>
                <w:szCs w:val="24"/>
                <w:highlight w:val="none"/>
                <w:lang w:val="en-US" w:eastAsia="zh-CN" w:bidi="ar-SA"/>
              </w:rPr>
              <w:t>个化学实验室、2个化学准备室，每个化学实验室设置2</w:t>
            </w:r>
            <w:r>
              <w:rPr>
                <w:rFonts w:hint="eastAsia" w:cs="Times New Roman"/>
                <w:bCs/>
                <w:color w:val="auto"/>
                <w:spacing w:val="0"/>
                <w:w w:val="100"/>
                <w:kern w:val="2"/>
                <w:position w:val="0"/>
                <w:sz w:val="24"/>
                <w:szCs w:val="24"/>
                <w:highlight w:val="none"/>
                <w:lang w:val="en-US" w:eastAsia="zh-CN" w:bidi="ar-SA"/>
              </w:rPr>
              <w:t>5</w:t>
            </w:r>
            <w:r>
              <w:rPr>
                <w:rFonts w:hint="default" w:ascii="Times New Roman" w:hAnsi="Times New Roman" w:eastAsia="宋体" w:cs="Times New Roman"/>
                <w:bCs/>
                <w:color w:val="auto"/>
                <w:spacing w:val="0"/>
                <w:w w:val="100"/>
                <w:kern w:val="2"/>
                <w:position w:val="0"/>
                <w:sz w:val="24"/>
                <w:szCs w:val="24"/>
                <w:highlight w:val="none"/>
                <w:lang w:val="en-US" w:eastAsia="zh-CN" w:bidi="ar-SA"/>
              </w:rPr>
              <w:t>个实验台；二层有2个生物实验室、</w:t>
            </w:r>
            <w:r>
              <w:rPr>
                <w:rFonts w:hint="eastAsia" w:cs="Times New Roman"/>
                <w:bCs/>
                <w:color w:val="auto"/>
                <w:spacing w:val="0"/>
                <w:w w:val="100"/>
                <w:kern w:val="2"/>
                <w:position w:val="0"/>
                <w:sz w:val="24"/>
                <w:szCs w:val="24"/>
                <w:highlight w:val="none"/>
                <w:lang w:val="en-US" w:eastAsia="zh-CN" w:bidi="ar-SA"/>
              </w:rPr>
              <w:t>1</w:t>
            </w:r>
            <w:r>
              <w:rPr>
                <w:rFonts w:hint="default" w:ascii="Times New Roman" w:hAnsi="Times New Roman" w:eastAsia="宋体" w:cs="Times New Roman"/>
                <w:bCs/>
                <w:color w:val="auto"/>
                <w:spacing w:val="0"/>
                <w:w w:val="100"/>
                <w:kern w:val="2"/>
                <w:position w:val="0"/>
                <w:sz w:val="24"/>
                <w:szCs w:val="24"/>
                <w:highlight w:val="none"/>
                <w:lang w:val="en-US" w:eastAsia="zh-CN" w:bidi="ar-SA"/>
              </w:rPr>
              <w:t>个生物准备室，每个生物实验室设置2</w:t>
            </w:r>
            <w:r>
              <w:rPr>
                <w:rFonts w:hint="eastAsia" w:cs="Times New Roman"/>
                <w:bCs/>
                <w:color w:val="auto"/>
                <w:spacing w:val="0"/>
                <w:w w:val="100"/>
                <w:kern w:val="2"/>
                <w:position w:val="0"/>
                <w:sz w:val="24"/>
                <w:szCs w:val="24"/>
                <w:highlight w:val="none"/>
                <w:lang w:val="en-US" w:eastAsia="zh-CN" w:bidi="ar-SA"/>
              </w:rPr>
              <w:t>5</w:t>
            </w:r>
            <w:r>
              <w:rPr>
                <w:rFonts w:hint="default" w:ascii="Times New Roman" w:hAnsi="Times New Roman" w:eastAsia="宋体" w:cs="Times New Roman"/>
                <w:bCs/>
                <w:color w:val="auto"/>
                <w:spacing w:val="0"/>
                <w:w w:val="100"/>
                <w:kern w:val="2"/>
                <w:position w:val="0"/>
                <w:sz w:val="24"/>
                <w:szCs w:val="24"/>
                <w:highlight w:val="none"/>
                <w:lang w:val="en-US" w:eastAsia="zh-CN" w:bidi="ar-SA"/>
              </w:rPr>
              <w:t>个实验台。根据学校实验室设计方案，每个化学准备室、生物准备室各设置1个通风橱，每个实验台配置1个吸风罩，则本项目化学/生物准备室共设置</w:t>
            </w:r>
            <w:r>
              <w:rPr>
                <w:rFonts w:hint="eastAsia" w:cs="Times New Roman"/>
                <w:bCs/>
                <w:color w:val="auto"/>
                <w:spacing w:val="0"/>
                <w:w w:val="100"/>
                <w:kern w:val="2"/>
                <w:position w:val="0"/>
                <w:sz w:val="24"/>
                <w:szCs w:val="24"/>
                <w:highlight w:val="none"/>
                <w:lang w:val="en-US" w:eastAsia="zh-CN" w:bidi="ar-SA"/>
              </w:rPr>
              <w:t>3</w:t>
            </w:r>
            <w:r>
              <w:rPr>
                <w:rFonts w:hint="default" w:ascii="Times New Roman" w:hAnsi="Times New Roman" w:eastAsia="宋体" w:cs="Times New Roman"/>
                <w:bCs/>
                <w:color w:val="auto"/>
                <w:spacing w:val="0"/>
                <w:w w:val="100"/>
                <w:kern w:val="2"/>
                <w:position w:val="0"/>
                <w:sz w:val="24"/>
                <w:szCs w:val="24"/>
                <w:highlight w:val="none"/>
                <w:lang w:val="en-US" w:eastAsia="zh-CN" w:bidi="ar-SA"/>
              </w:rPr>
              <w:t>个通风橱、化学/生物实验室</w:t>
            </w:r>
            <w:r>
              <w:rPr>
                <w:rFonts w:hint="eastAsia" w:cs="Times New Roman"/>
                <w:bCs/>
                <w:color w:val="auto"/>
                <w:spacing w:val="0"/>
                <w:w w:val="100"/>
                <w:kern w:val="2"/>
                <w:position w:val="0"/>
                <w:sz w:val="24"/>
                <w:szCs w:val="24"/>
                <w:highlight w:val="none"/>
                <w:lang w:val="en-US" w:eastAsia="zh-CN" w:bidi="ar-SA"/>
              </w:rPr>
              <w:t>125</w:t>
            </w:r>
            <w:r>
              <w:rPr>
                <w:rFonts w:hint="default" w:ascii="Times New Roman" w:hAnsi="Times New Roman" w:eastAsia="宋体" w:cs="Times New Roman"/>
                <w:bCs/>
                <w:color w:val="auto"/>
                <w:spacing w:val="0"/>
                <w:w w:val="100"/>
                <w:kern w:val="2"/>
                <w:position w:val="0"/>
                <w:sz w:val="24"/>
                <w:szCs w:val="24"/>
                <w:highlight w:val="none"/>
                <w:lang w:val="en-US" w:eastAsia="zh-CN" w:bidi="ar-SA"/>
              </w:rPr>
              <w:t>个吸风罩。</w:t>
            </w:r>
          </w:p>
          <w:p w14:paraId="4B7B246D">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kern w:val="2"/>
                <w:sz w:val="21"/>
                <w:szCs w:val="21"/>
                <w:highlight w:val="none"/>
                <w:lang w:val="en-US" w:eastAsia="zh-CN" w:bidi="ar"/>
              </w:rPr>
              <w:t>表</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STYLEREF 1 \s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4</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default" w:ascii="Times New Roman" w:hAnsi="Times New Roman" w:eastAsia="宋体" w:cs="Times New Roman"/>
                <w:b/>
                <w:bCs/>
                <w:color w:val="auto"/>
                <w:kern w:val="2"/>
                <w:sz w:val="21"/>
                <w:szCs w:val="21"/>
                <w:highlight w:val="none"/>
                <w:lang w:val="en-US" w:eastAsia="zh-CN" w:bidi="ar"/>
              </w:rPr>
              <w:t>-</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SEQ 表 \* ARABIC \s 1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4</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eastAsia" w:ascii="Times New Roman" w:hAnsi="Times New Roman" w:eastAsia="宋体" w:cs="Times New Roman"/>
                <w:b/>
                <w:bCs/>
                <w:color w:val="auto"/>
                <w:kern w:val="2"/>
                <w:sz w:val="21"/>
                <w:szCs w:val="21"/>
                <w:highlight w:val="none"/>
                <w:lang w:val="en-US" w:eastAsia="zh-CN" w:bidi="ar"/>
              </w:rPr>
              <w:t xml:space="preserve"> </w:t>
            </w:r>
            <w:r>
              <w:rPr>
                <w:rFonts w:hint="default" w:ascii="Times New Roman" w:hAnsi="Times New Roman" w:eastAsia="宋体" w:cs="Times New Roman"/>
                <w:color w:val="auto"/>
                <w:sz w:val="21"/>
                <w:szCs w:val="21"/>
                <w:highlight w:val="none"/>
                <w:lang w:val="en-US" w:eastAsia="zh-CN"/>
              </w:rPr>
              <w:t>本项目通风橱/吸风罩分布表</w:t>
            </w:r>
          </w:p>
          <w:tbl>
            <w:tblPr>
              <w:tblStyle w:val="47"/>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21"/>
              <w:gridCol w:w="1917"/>
              <w:gridCol w:w="1732"/>
              <w:gridCol w:w="1190"/>
              <w:gridCol w:w="2948"/>
            </w:tblGrid>
            <w:tr w14:paraId="329AAF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jc w:val="center"/>
              </w:trPr>
              <w:tc>
                <w:tcPr>
                  <w:tcW w:w="477" w:type="pct"/>
                  <w:noWrap w:val="0"/>
                  <w:vAlign w:val="center"/>
                </w:tcPr>
                <w:p w14:paraId="58F94ED2">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pacing w:val="4"/>
                      <w:sz w:val="21"/>
                      <w:szCs w:val="21"/>
                      <w:highlight w:val="none"/>
                      <w:u w:val="none" w:color="auto"/>
                    </w:rPr>
                    <w:t>序号</w:t>
                  </w:r>
                </w:p>
              </w:tc>
              <w:tc>
                <w:tcPr>
                  <w:tcW w:w="1112" w:type="pct"/>
                  <w:noWrap w:val="0"/>
                  <w:vAlign w:val="center"/>
                </w:tcPr>
                <w:p w14:paraId="0B2F1B17">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pacing w:val="3"/>
                      <w:sz w:val="21"/>
                      <w:szCs w:val="21"/>
                      <w:highlight w:val="none"/>
                      <w:u w:val="none" w:color="auto"/>
                    </w:rPr>
                    <w:t>位置</w:t>
                  </w:r>
                </w:p>
              </w:tc>
              <w:tc>
                <w:tcPr>
                  <w:tcW w:w="1006" w:type="pct"/>
                  <w:noWrap w:val="0"/>
                  <w:vAlign w:val="center"/>
                </w:tcPr>
                <w:p w14:paraId="4FE08545">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pacing w:val="6"/>
                      <w:sz w:val="21"/>
                      <w:szCs w:val="21"/>
                      <w:highlight w:val="none"/>
                      <w:u w:val="none" w:color="auto"/>
                    </w:rPr>
                    <w:t>集气设施</w:t>
                  </w:r>
                </w:p>
              </w:tc>
              <w:tc>
                <w:tcPr>
                  <w:tcW w:w="691" w:type="pct"/>
                  <w:noWrap w:val="0"/>
                  <w:vAlign w:val="center"/>
                </w:tcPr>
                <w:p w14:paraId="051D6E13">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pacing w:val="3"/>
                      <w:sz w:val="21"/>
                      <w:szCs w:val="21"/>
                      <w:highlight w:val="none"/>
                      <w:u w:val="none" w:color="auto"/>
                    </w:rPr>
                    <w:t>数量/个</w:t>
                  </w:r>
                </w:p>
              </w:tc>
              <w:tc>
                <w:tcPr>
                  <w:tcW w:w="1712" w:type="pct"/>
                  <w:noWrap w:val="0"/>
                  <w:vAlign w:val="center"/>
                </w:tcPr>
                <w:p w14:paraId="43674E45">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pacing w:val="3"/>
                      <w:sz w:val="21"/>
                      <w:szCs w:val="21"/>
                      <w:highlight w:val="none"/>
                      <w:u w:val="none" w:color="auto"/>
                    </w:rPr>
                    <w:t>规格</w:t>
                  </w:r>
                </w:p>
              </w:tc>
            </w:tr>
            <w:tr w14:paraId="2BE5F9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jc w:val="center"/>
              </w:trPr>
              <w:tc>
                <w:tcPr>
                  <w:tcW w:w="477" w:type="pct"/>
                  <w:noWrap w:val="0"/>
                  <w:vAlign w:val="center"/>
                </w:tcPr>
                <w:p w14:paraId="166DDF90">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default" w:ascii="Times New Roman" w:hAnsi="Times New Roman" w:eastAsia="宋体" w:cs="Times New Roman"/>
                      <w:b w:val="0"/>
                      <w:bCs w:val="0"/>
                      <w:color w:val="auto"/>
                      <w:sz w:val="21"/>
                      <w:szCs w:val="21"/>
                      <w:highlight w:val="none"/>
                      <w:u w:val="none" w:color="auto"/>
                      <w:lang w:val="en-US" w:eastAsia="zh-CN"/>
                    </w:rPr>
                    <w:t>1</w:t>
                  </w:r>
                </w:p>
              </w:tc>
              <w:tc>
                <w:tcPr>
                  <w:tcW w:w="1112" w:type="pct"/>
                  <w:noWrap w:val="0"/>
                  <w:vAlign w:val="center"/>
                </w:tcPr>
                <w:p w14:paraId="35915D9A">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default" w:ascii="Times New Roman" w:hAnsi="Times New Roman" w:eastAsia="宋体" w:cs="Times New Roman"/>
                      <w:b w:val="0"/>
                      <w:bCs w:val="0"/>
                      <w:color w:val="auto"/>
                      <w:sz w:val="21"/>
                      <w:szCs w:val="21"/>
                      <w:highlight w:val="none"/>
                      <w:u w:val="none" w:color="auto"/>
                      <w:lang w:val="en-US" w:eastAsia="zh-CN"/>
                    </w:rPr>
                    <w:t>化学实验室</w:t>
                  </w:r>
                </w:p>
              </w:tc>
              <w:tc>
                <w:tcPr>
                  <w:tcW w:w="1006" w:type="pct"/>
                  <w:noWrap w:val="0"/>
                  <w:vAlign w:val="center"/>
                </w:tcPr>
                <w:p w14:paraId="2D223C2C">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pacing w:val="5"/>
                      <w:kern w:val="2"/>
                      <w:sz w:val="21"/>
                      <w:szCs w:val="21"/>
                      <w:highlight w:val="none"/>
                      <w:u w:val="none" w:color="auto"/>
                      <w:lang w:val="en-US" w:eastAsia="zh-CN" w:bidi="ar-SA"/>
                    </w:rPr>
                  </w:pPr>
                  <w:r>
                    <w:rPr>
                      <w:rFonts w:hint="default" w:ascii="Times New Roman" w:hAnsi="Times New Roman" w:eastAsia="宋体" w:cs="Times New Roman"/>
                      <w:b w:val="0"/>
                      <w:bCs w:val="0"/>
                      <w:color w:val="auto"/>
                      <w:spacing w:val="5"/>
                      <w:sz w:val="21"/>
                      <w:szCs w:val="21"/>
                      <w:highlight w:val="none"/>
                      <w:u w:val="none" w:color="auto"/>
                      <w:lang w:val="en-US" w:eastAsia="zh-CN"/>
                    </w:rPr>
                    <w:t>吸风</w:t>
                  </w:r>
                  <w:r>
                    <w:rPr>
                      <w:rFonts w:hint="default" w:ascii="Times New Roman" w:hAnsi="Times New Roman" w:eastAsia="宋体" w:cs="Times New Roman"/>
                      <w:b w:val="0"/>
                      <w:bCs w:val="0"/>
                      <w:color w:val="auto"/>
                      <w:spacing w:val="5"/>
                      <w:sz w:val="21"/>
                      <w:szCs w:val="21"/>
                      <w:highlight w:val="none"/>
                      <w:u w:val="none" w:color="auto"/>
                      <w:lang w:eastAsia="zh-CN"/>
                    </w:rPr>
                    <w:t>罩</w:t>
                  </w:r>
                </w:p>
              </w:tc>
              <w:tc>
                <w:tcPr>
                  <w:tcW w:w="691" w:type="pct"/>
                  <w:noWrap w:val="0"/>
                  <w:vAlign w:val="center"/>
                </w:tcPr>
                <w:p w14:paraId="6401638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eastAsia" w:cs="Times New Roman"/>
                      <w:b w:val="0"/>
                      <w:bCs w:val="0"/>
                      <w:color w:val="auto"/>
                      <w:sz w:val="21"/>
                      <w:szCs w:val="21"/>
                      <w:highlight w:val="none"/>
                      <w:u w:val="none" w:color="auto"/>
                      <w:lang w:val="en-US" w:eastAsia="zh-CN"/>
                    </w:rPr>
                    <w:t>75</w:t>
                  </w:r>
                </w:p>
              </w:tc>
              <w:tc>
                <w:tcPr>
                  <w:tcW w:w="1712" w:type="pct"/>
                  <w:tcBorders>
                    <w:bottom w:val="single" w:color="auto" w:sz="4" w:space="0"/>
                  </w:tcBorders>
                  <w:noWrap w:val="0"/>
                  <w:vAlign w:val="center"/>
                </w:tcPr>
                <w:p w14:paraId="17888C42">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pacing w:val="4"/>
                      <w:sz w:val="21"/>
                      <w:szCs w:val="21"/>
                      <w:highlight w:val="none"/>
                      <w:u w:val="none" w:color="auto"/>
                      <w:lang w:val="en-US" w:eastAsia="zh-CN"/>
                    </w:rPr>
                  </w:pPr>
                  <w:r>
                    <w:rPr>
                      <w:rFonts w:hint="default" w:ascii="Times New Roman" w:hAnsi="Times New Roman" w:eastAsia="宋体" w:cs="Times New Roman"/>
                      <w:b w:val="0"/>
                      <w:bCs w:val="0"/>
                      <w:color w:val="auto"/>
                      <w:spacing w:val="3"/>
                      <w:sz w:val="21"/>
                      <w:szCs w:val="21"/>
                      <w:highlight w:val="none"/>
                      <w:u w:val="none" w:color="auto"/>
                      <w:lang w:val="en-US" w:eastAsia="zh-CN"/>
                    </w:rPr>
                    <w:t>内径0.2</w:t>
                  </w:r>
                  <w:r>
                    <w:rPr>
                      <w:rFonts w:hint="default" w:ascii="Times New Roman" w:hAnsi="Times New Roman" w:eastAsia="宋体" w:cs="Times New Roman"/>
                      <w:b w:val="0"/>
                      <w:bCs w:val="0"/>
                      <w:color w:val="auto"/>
                      <w:spacing w:val="3"/>
                      <w:sz w:val="21"/>
                      <w:szCs w:val="21"/>
                      <w:highlight w:val="none"/>
                      <w:u w:val="none" w:color="auto"/>
                    </w:rPr>
                    <w:t>m</w:t>
                  </w:r>
                </w:p>
              </w:tc>
            </w:tr>
            <w:tr w14:paraId="09F52B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 w:hRule="atLeast"/>
                <w:jc w:val="center"/>
              </w:trPr>
              <w:tc>
                <w:tcPr>
                  <w:tcW w:w="477" w:type="pct"/>
                  <w:tcBorders>
                    <w:top w:val="single" w:color="auto" w:sz="4" w:space="0"/>
                  </w:tcBorders>
                  <w:noWrap w:val="0"/>
                  <w:vAlign w:val="center"/>
                </w:tcPr>
                <w:p w14:paraId="0EFE323B">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default" w:ascii="Times New Roman" w:hAnsi="Times New Roman" w:eastAsia="宋体" w:cs="Times New Roman"/>
                      <w:b w:val="0"/>
                      <w:bCs w:val="0"/>
                      <w:color w:val="auto"/>
                      <w:sz w:val="21"/>
                      <w:szCs w:val="21"/>
                      <w:highlight w:val="none"/>
                      <w:u w:val="none" w:color="auto"/>
                      <w:lang w:val="en-US" w:eastAsia="zh-CN"/>
                    </w:rPr>
                    <w:t>2</w:t>
                  </w:r>
                </w:p>
              </w:tc>
              <w:tc>
                <w:tcPr>
                  <w:tcW w:w="1112" w:type="pct"/>
                  <w:tcBorders>
                    <w:top w:val="single" w:color="auto" w:sz="4" w:space="0"/>
                  </w:tcBorders>
                  <w:noWrap w:val="0"/>
                  <w:vAlign w:val="center"/>
                </w:tcPr>
                <w:p w14:paraId="10F6186C">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default" w:ascii="Times New Roman" w:hAnsi="Times New Roman" w:eastAsia="宋体" w:cs="Times New Roman"/>
                      <w:b w:val="0"/>
                      <w:bCs w:val="0"/>
                      <w:color w:val="auto"/>
                      <w:sz w:val="21"/>
                      <w:szCs w:val="21"/>
                      <w:highlight w:val="none"/>
                      <w:u w:val="none" w:color="auto"/>
                      <w:lang w:val="en-US" w:eastAsia="zh-CN"/>
                    </w:rPr>
                    <w:t>化学准备室</w:t>
                  </w:r>
                </w:p>
              </w:tc>
              <w:tc>
                <w:tcPr>
                  <w:tcW w:w="1006" w:type="pct"/>
                  <w:tcBorders>
                    <w:top w:val="single" w:color="auto" w:sz="4" w:space="0"/>
                  </w:tcBorders>
                  <w:noWrap w:val="0"/>
                  <w:vAlign w:val="center"/>
                </w:tcPr>
                <w:p w14:paraId="71258AD6">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default" w:ascii="Times New Roman" w:hAnsi="Times New Roman" w:eastAsia="宋体" w:cs="Times New Roman"/>
                      <w:b w:val="0"/>
                      <w:bCs w:val="0"/>
                      <w:color w:val="auto"/>
                      <w:spacing w:val="5"/>
                      <w:sz w:val="21"/>
                      <w:szCs w:val="21"/>
                      <w:highlight w:val="none"/>
                      <w:u w:val="none" w:color="auto"/>
                    </w:rPr>
                    <w:t>通风橱</w:t>
                  </w:r>
                </w:p>
              </w:tc>
              <w:tc>
                <w:tcPr>
                  <w:tcW w:w="691" w:type="pct"/>
                  <w:tcBorders>
                    <w:top w:val="single" w:color="auto" w:sz="4" w:space="0"/>
                  </w:tcBorders>
                  <w:noWrap w:val="0"/>
                  <w:vAlign w:val="center"/>
                </w:tcPr>
                <w:p w14:paraId="32D458D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lang w:val="en-US" w:eastAsia="zh-CN"/>
                    </w:rPr>
                    <w:t>2</w:t>
                  </w:r>
                </w:p>
              </w:tc>
              <w:tc>
                <w:tcPr>
                  <w:tcW w:w="1712" w:type="pct"/>
                  <w:tcBorders>
                    <w:top w:val="single" w:color="auto" w:sz="4" w:space="0"/>
                  </w:tcBorders>
                  <w:noWrap w:val="0"/>
                  <w:vAlign w:val="center"/>
                </w:tcPr>
                <w:p w14:paraId="77EEFF6B">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pacing w:val="3"/>
                      <w:sz w:val="21"/>
                      <w:szCs w:val="21"/>
                      <w:highlight w:val="none"/>
                      <w:u w:val="none" w:color="auto"/>
                      <w:lang w:val="en-US" w:eastAsia="zh-CN"/>
                    </w:rPr>
                  </w:pPr>
                  <w:r>
                    <w:rPr>
                      <w:rFonts w:hint="default" w:ascii="Times New Roman" w:hAnsi="Times New Roman" w:eastAsia="宋体" w:cs="Times New Roman"/>
                      <w:b w:val="0"/>
                      <w:bCs w:val="0"/>
                      <w:color w:val="auto"/>
                      <w:spacing w:val="4"/>
                      <w:sz w:val="21"/>
                      <w:szCs w:val="21"/>
                      <w:highlight w:val="none"/>
                      <w:u w:val="none" w:color="auto"/>
                      <w:lang w:val="en-US" w:eastAsia="zh-CN"/>
                    </w:rPr>
                    <w:t>宽</w:t>
                  </w:r>
                  <w:r>
                    <w:rPr>
                      <w:rFonts w:hint="default" w:ascii="Times New Roman" w:hAnsi="Times New Roman" w:eastAsia="宋体" w:cs="Times New Roman"/>
                      <w:b w:val="0"/>
                      <w:bCs w:val="0"/>
                      <w:color w:val="auto"/>
                      <w:spacing w:val="4"/>
                      <w:sz w:val="21"/>
                      <w:szCs w:val="21"/>
                      <w:highlight w:val="none"/>
                      <w:u w:val="none" w:color="auto"/>
                    </w:rPr>
                    <w:t>1.</w:t>
                  </w:r>
                  <w:r>
                    <w:rPr>
                      <w:rFonts w:hint="default" w:ascii="Times New Roman" w:hAnsi="Times New Roman" w:eastAsia="宋体" w:cs="Times New Roman"/>
                      <w:b w:val="0"/>
                      <w:bCs w:val="0"/>
                      <w:color w:val="auto"/>
                      <w:spacing w:val="4"/>
                      <w:sz w:val="21"/>
                      <w:szCs w:val="21"/>
                      <w:highlight w:val="none"/>
                      <w:u w:val="none" w:color="auto"/>
                      <w:lang w:val="en-US" w:eastAsia="zh-CN"/>
                    </w:rPr>
                    <w:t>2</w:t>
                  </w:r>
                  <w:r>
                    <w:rPr>
                      <w:rFonts w:hint="default" w:ascii="Times New Roman" w:hAnsi="Times New Roman" w:eastAsia="宋体" w:cs="Times New Roman"/>
                      <w:b w:val="0"/>
                      <w:bCs w:val="0"/>
                      <w:color w:val="auto"/>
                      <w:spacing w:val="4"/>
                      <w:sz w:val="21"/>
                      <w:szCs w:val="21"/>
                      <w:highlight w:val="none"/>
                      <w:u w:val="none" w:color="auto"/>
                    </w:rPr>
                    <w:t>m×</w:t>
                  </w:r>
                  <w:r>
                    <w:rPr>
                      <w:rFonts w:hint="default" w:ascii="Times New Roman" w:hAnsi="Times New Roman" w:eastAsia="宋体" w:cs="Times New Roman"/>
                      <w:b w:val="0"/>
                      <w:bCs w:val="0"/>
                      <w:color w:val="auto"/>
                      <w:spacing w:val="4"/>
                      <w:sz w:val="21"/>
                      <w:szCs w:val="21"/>
                      <w:highlight w:val="none"/>
                      <w:u w:val="none" w:color="auto"/>
                      <w:lang w:val="en-US" w:eastAsia="zh-CN"/>
                    </w:rPr>
                    <w:t>深0.</w:t>
                  </w:r>
                  <w:r>
                    <w:rPr>
                      <w:rFonts w:hint="default" w:ascii="Times New Roman" w:hAnsi="Times New Roman" w:cs="Times New Roman"/>
                      <w:b w:val="0"/>
                      <w:bCs w:val="0"/>
                      <w:color w:val="auto"/>
                      <w:spacing w:val="4"/>
                      <w:sz w:val="21"/>
                      <w:szCs w:val="21"/>
                      <w:highlight w:val="none"/>
                      <w:u w:val="none" w:color="auto"/>
                      <w:lang w:val="en-US" w:eastAsia="zh-CN"/>
                    </w:rPr>
                    <w:t>75</w:t>
                  </w:r>
                  <w:r>
                    <w:rPr>
                      <w:rFonts w:hint="default" w:ascii="Times New Roman" w:hAnsi="Times New Roman" w:eastAsia="宋体" w:cs="Times New Roman"/>
                      <w:b w:val="0"/>
                      <w:bCs w:val="0"/>
                      <w:color w:val="auto"/>
                      <w:spacing w:val="4"/>
                      <w:sz w:val="21"/>
                      <w:szCs w:val="21"/>
                      <w:highlight w:val="none"/>
                      <w:u w:val="none" w:color="auto"/>
                    </w:rPr>
                    <w:t>m×</w:t>
                  </w:r>
                  <w:r>
                    <w:rPr>
                      <w:rFonts w:hint="default" w:ascii="Times New Roman" w:hAnsi="Times New Roman" w:eastAsia="宋体" w:cs="Times New Roman"/>
                      <w:b w:val="0"/>
                      <w:bCs w:val="0"/>
                      <w:color w:val="auto"/>
                      <w:spacing w:val="4"/>
                      <w:sz w:val="21"/>
                      <w:szCs w:val="21"/>
                      <w:highlight w:val="none"/>
                      <w:u w:val="none" w:color="auto"/>
                      <w:lang w:val="en-US" w:eastAsia="zh-CN"/>
                    </w:rPr>
                    <w:t>高2m</w:t>
                  </w:r>
                </w:p>
              </w:tc>
            </w:tr>
            <w:tr w14:paraId="74B16E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jc w:val="center"/>
              </w:trPr>
              <w:tc>
                <w:tcPr>
                  <w:tcW w:w="477" w:type="pct"/>
                  <w:noWrap w:val="0"/>
                  <w:vAlign w:val="center"/>
                </w:tcPr>
                <w:p w14:paraId="071CE382">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default" w:ascii="Times New Roman" w:hAnsi="Times New Roman" w:eastAsia="宋体" w:cs="Times New Roman"/>
                      <w:b w:val="0"/>
                      <w:bCs w:val="0"/>
                      <w:color w:val="auto"/>
                      <w:sz w:val="21"/>
                      <w:szCs w:val="21"/>
                      <w:highlight w:val="none"/>
                      <w:u w:val="none" w:color="auto"/>
                      <w:lang w:val="en-US" w:eastAsia="zh-CN"/>
                    </w:rPr>
                    <w:t>3</w:t>
                  </w:r>
                </w:p>
              </w:tc>
              <w:tc>
                <w:tcPr>
                  <w:tcW w:w="1112" w:type="pct"/>
                  <w:noWrap w:val="0"/>
                  <w:vAlign w:val="center"/>
                </w:tcPr>
                <w:p w14:paraId="0ADF8430">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val="0"/>
                      <w:bCs w:val="0"/>
                      <w:color w:val="auto"/>
                      <w:sz w:val="21"/>
                      <w:szCs w:val="21"/>
                      <w:highlight w:val="none"/>
                      <w:u w:val="none" w:color="auto"/>
                    </w:rPr>
                  </w:pPr>
                  <w:r>
                    <w:rPr>
                      <w:rFonts w:hint="default" w:ascii="Times New Roman" w:hAnsi="Times New Roman" w:eastAsia="宋体" w:cs="Times New Roman"/>
                      <w:b w:val="0"/>
                      <w:bCs w:val="0"/>
                      <w:color w:val="auto"/>
                      <w:sz w:val="21"/>
                      <w:szCs w:val="21"/>
                      <w:highlight w:val="none"/>
                      <w:u w:val="none" w:color="auto"/>
                      <w:lang w:val="en-US" w:eastAsia="zh-CN"/>
                    </w:rPr>
                    <w:t>生物实验室</w:t>
                  </w:r>
                </w:p>
              </w:tc>
              <w:tc>
                <w:tcPr>
                  <w:tcW w:w="1006" w:type="pct"/>
                  <w:noWrap w:val="0"/>
                  <w:vAlign w:val="center"/>
                </w:tcPr>
                <w:p w14:paraId="6A9743BC">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pacing w:val="5"/>
                      <w:kern w:val="2"/>
                      <w:sz w:val="21"/>
                      <w:szCs w:val="21"/>
                      <w:highlight w:val="none"/>
                      <w:u w:val="none" w:color="auto"/>
                      <w:lang w:val="en-US" w:eastAsia="zh-CN" w:bidi="ar-SA"/>
                    </w:rPr>
                  </w:pPr>
                  <w:r>
                    <w:rPr>
                      <w:rFonts w:hint="default" w:ascii="Times New Roman" w:hAnsi="Times New Roman" w:eastAsia="宋体" w:cs="Times New Roman"/>
                      <w:b w:val="0"/>
                      <w:bCs w:val="0"/>
                      <w:color w:val="auto"/>
                      <w:spacing w:val="5"/>
                      <w:sz w:val="21"/>
                      <w:szCs w:val="21"/>
                      <w:highlight w:val="none"/>
                      <w:u w:val="none" w:color="auto"/>
                      <w:lang w:val="en-US" w:eastAsia="zh-CN"/>
                    </w:rPr>
                    <w:t>吸风</w:t>
                  </w:r>
                  <w:r>
                    <w:rPr>
                      <w:rFonts w:hint="default" w:ascii="Times New Roman" w:hAnsi="Times New Roman" w:eastAsia="宋体" w:cs="Times New Roman"/>
                      <w:b w:val="0"/>
                      <w:bCs w:val="0"/>
                      <w:color w:val="auto"/>
                      <w:spacing w:val="5"/>
                      <w:sz w:val="21"/>
                      <w:szCs w:val="21"/>
                      <w:highlight w:val="none"/>
                      <w:u w:val="none" w:color="auto"/>
                      <w:lang w:eastAsia="zh-CN"/>
                    </w:rPr>
                    <w:t>罩</w:t>
                  </w:r>
                </w:p>
              </w:tc>
              <w:tc>
                <w:tcPr>
                  <w:tcW w:w="691" w:type="pct"/>
                  <w:noWrap w:val="0"/>
                  <w:vAlign w:val="center"/>
                </w:tcPr>
                <w:p w14:paraId="6B06639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cs="Times New Roman"/>
                      <w:b w:val="0"/>
                      <w:bCs w:val="0"/>
                      <w:color w:val="auto"/>
                      <w:kern w:val="2"/>
                      <w:sz w:val="21"/>
                      <w:szCs w:val="21"/>
                      <w:highlight w:val="none"/>
                      <w:u w:val="none" w:color="auto"/>
                      <w:lang w:val="en-US" w:eastAsia="zh-CN" w:bidi="ar-SA"/>
                    </w:rPr>
                    <w:t>50</w:t>
                  </w:r>
                </w:p>
              </w:tc>
              <w:tc>
                <w:tcPr>
                  <w:tcW w:w="1712" w:type="pct"/>
                  <w:tcBorders>
                    <w:bottom w:val="single" w:color="auto" w:sz="4" w:space="0"/>
                  </w:tcBorders>
                  <w:noWrap w:val="0"/>
                  <w:vAlign w:val="center"/>
                </w:tcPr>
                <w:p w14:paraId="1A4686EC">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pacing w:val="4"/>
                      <w:kern w:val="2"/>
                      <w:sz w:val="21"/>
                      <w:szCs w:val="21"/>
                      <w:highlight w:val="none"/>
                      <w:u w:val="none" w:color="auto"/>
                      <w:lang w:val="en-US" w:eastAsia="zh-CN" w:bidi="ar-SA"/>
                    </w:rPr>
                  </w:pPr>
                  <w:r>
                    <w:rPr>
                      <w:rFonts w:hint="default" w:ascii="Times New Roman" w:hAnsi="Times New Roman" w:eastAsia="宋体" w:cs="Times New Roman"/>
                      <w:b w:val="0"/>
                      <w:bCs w:val="0"/>
                      <w:color w:val="auto"/>
                      <w:spacing w:val="3"/>
                      <w:sz w:val="21"/>
                      <w:szCs w:val="21"/>
                      <w:highlight w:val="none"/>
                      <w:u w:val="none" w:color="auto"/>
                      <w:lang w:val="en-US" w:eastAsia="zh-CN"/>
                    </w:rPr>
                    <w:t>内径0.2</w:t>
                  </w:r>
                  <w:r>
                    <w:rPr>
                      <w:rFonts w:hint="default" w:ascii="Times New Roman" w:hAnsi="Times New Roman" w:eastAsia="宋体" w:cs="Times New Roman"/>
                      <w:b w:val="0"/>
                      <w:bCs w:val="0"/>
                      <w:color w:val="auto"/>
                      <w:spacing w:val="3"/>
                      <w:sz w:val="21"/>
                      <w:szCs w:val="21"/>
                      <w:highlight w:val="none"/>
                      <w:u w:val="none" w:color="auto"/>
                    </w:rPr>
                    <w:t>m</w:t>
                  </w:r>
                </w:p>
              </w:tc>
            </w:tr>
            <w:tr w14:paraId="610B5D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 w:hRule="atLeast"/>
                <w:jc w:val="center"/>
              </w:trPr>
              <w:tc>
                <w:tcPr>
                  <w:tcW w:w="477" w:type="pct"/>
                  <w:tcBorders>
                    <w:top w:val="single" w:color="auto" w:sz="4" w:space="0"/>
                    <w:bottom w:val="single" w:color="auto" w:sz="4" w:space="0"/>
                  </w:tcBorders>
                  <w:noWrap w:val="0"/>
                  <w:vAlign w:val="center"/>
                </w:tcPr>
                <w:p w14:paraId="295DE520">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default" w:ascii="Times New Roman" w:hAnsi="Times New Roman" w:eastAsia="宋体" w:cs="Times New Roman"/>
                      <w:b w:val="0"/>
                      <w:bCs w:val="0"/>
                      <w:color w:val="auto"/>
                      <w:sz w:val="21"/>
                      <w:szCs w:val="21"/>
                      <w:highlight w:val="none"/>
                      <w:u w:val="none" w:color="auto"/>
                      <w:lang w:val="en-US" w:eastAsia="zh-CN"/>
                    </w:rPr>
                    <w:t>4</w:t>
                  </w:r>
                </w:p>
              </w:tc>
              <w:tc>
                <w:tcPr>
                  <w:tcW w:w="1112" w:type="pct"/>
                  <w:tcBorders>
                    <w:top w:val="single" w:color="auto" w:sz="4" w:space="0"/>
                    <w:bottom w:val="single" w:color="auto" w:sz="4" w:space="0"/>
                  </w:tcBorders>
                  <w:noWrap w:val="0"/>
                  <w:vAlign w:val="center"/>
                </w:tcPr>
                <w:p w14:paraId="3623C4AD">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u w:val="none" w:color="auto"/>
                    </w:rPr>
                  </w:pPr>
                  <w:r>
                    <w:rPr>
                      <w:rFonts w:hint="default" w:ascii="Times New Roman" w:hAnsi="Times New Roman" w:eastAsia="宋体" w:cs="Times New Roman"/>
                      <w:b w:val="0"/>
                      <w:bCs w:val="0"/>
                      <w:color w:val="auto"/>
                      <w:sz w:val="21"/>
                      <w:szCs w:val="21"/>
                      <w:highlight w:val="none"/>
                      <w:u w:val="none" w:color="auto"/>
                      <w:lang w:val="en-US" w:eastAsia="zh-CN"/>
                    </w:rPr>
                    <w:t>生物准备室</w:t>
                  </w:r>
                </w:p>
              </w:tc>
              <w:tc>
                <w:tcPr>
                  <w:tcW w:w="1006" w:type="pct"/>
                  <w:tcBorders>
                    <w:top w:val="single" w:color="auto" w:sz="4" w:space="0"/>
                    <w:bottom w:val="single" w:color="auto" w:sz="4" w:space="0"/>
                  </w:tcBorders>
                  <w:noWrap w:val="0"/>
                  <w:vAlign w:val="center"/>
                </w:tcPr>
                <w:p w14:paraId="0AE56953">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pacing w:val="5"/>
                      <w:sz w:val="21"/>
                      <w:szCs w:val="21"/>
                      <w:highlight w:val="none"/>
                      <w:u w:val="none" w:color="auto"/>
                      <w:lang w:val="en-US" w:eastAsia="zh-CN"/>
                    </w:rPr>
                  </w:pPr>
                  <w:r>
                    <w:rPr>
                      <w:rFonts w:hint="default" w:ascii="Times New Roman" w:hAnsi="Times New Roman" w:eastAsia="宋体" w:cs="Times New Roman"/>
                      <w:b w:val="0"/>
                      <w:bCs w:val="0"/>
                      <w:color w:val="auto"/>
                      <w:spacing w:val="5"/>
                      <w:sz w:val="21"/>
                      <w:szCs w:val="21"/>
                      <w:highlight w:val="none"/>
                      <w:u w:val="none" w:color="auto"/>
                    </w:rPr>
                    <w:t>通风橱</w:t>
                  </w:r>
                </w:p>
              </w:tc>
              <w:tc>
                <w:tcPr>
                  <w:tcW w:w="691" w:type="pct"/>
                  <w:tcBorders>
                    <w:top w:val="single" w:color="auto" w:sz="4" w:space="0"/>
                    <w:bottom w:val="single" w:color="auto" w:sz="4" w:space="0"/>
                  </w:tcBorders>
                  <w:noWrap w:val="0"/>
                  <w:vAlign w:val="center"/>
                </w:tcPr>
                <w:p w14:paraId="26E59D0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cs="Times New Roman"/>
                      <w:b w:val="0"/>
                      <w:bCs w:val="0"/>
                      <w:color w:val="auto"/>
                      <w:kern w:val="2"/>
                      <w:sz w:val="21"/>
                      <w:szCs w:val="21"/>
                      <w:highlight w:val="none"/>
                      <w:u w:val="none" w:color="auto"/>
                      <w:lang w:val="en-US" w:eastAsia="zh-CN" w:bidi="ar-SA"/>
                    </w:rPr>
                    <w:t>1</w:t>
                  </w:r>
                </w:p>
              </w:tc>
              <w:tc>
                <w:tcPr>
                  <w:tcW w:w="1712" w:type="pct"/>
                  <w:tcBorders>
                    <w:top w:val="single" w:color="auto" w:sz="4" w:space="0"/>
                    <w:bottom w:val="single" w:color="auto" w:sz="4" w:space="0"/>
                  </w:tcBorders>
                  <w:noWrap w:val="0"/>
                  <w:vAlign w:val="center"/>
                </w:tcPr>
                <w:p w14:paraId="4C4B29FB">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pacing w:val="4"/>
                      <w:kern w:val="2"/>
                      <w:sz w:val="21"/>
                      <w:szCs w:val="21"/>
                      <w:highlight w:val="none"/>
                      <w:u w:val="none" w:color="auto"/>
                      <w:lang w:val="en-US" w:eastAsia="zh-CN" w:bidi="ar-SA"/>
                    </w:rPr>
                  </w:pPr>
                  <w:r>
                    <w:rPr>
                      <w:rFonts w:hint="default" w:ascii="Times New Roman" w:hAnsi="Times New Roman" w:eastAsia="宋体" w:cs="Times New Roman"/>
                      <w:b w:val="0"/>
                      <w:bCs w:val="0"/>
                      <w:color w:val="auto"/>
                      <w:spacing w:val="4"/>
                      <w:sz w:val="21"/>
                      <w:szCs w:val="21"/>
                      <w:highlight w:val="none"/>
                      <w:u w:val="none" w:color="auto"/>
                      <w:lang w:val="en-US" w:eastAsia="zh-CN"/>
                    </w:rPr>
                    <w:t>宽</w:t>
                  </w:r>
                  <w:r>
                    <w:rPr>
                      <w:rFonts w:hint="default" w:ascii="Times New Roman" w:hAnsi="Times New Roman" w:eastAsia="宋体" w:cs="Times New Roman"/>
                      <w:b w:val="0"/>
                      <w:bCs w:val="0"/>
                      <w:color w:val="auto"/>
                      <w:spacing w:val="4"/>
                      <w:sz w:val="21"/>
                      <w:szCs w:val="21"/>
                      <w:highlight w:val="none"/>
                      <w:u w:val="none" w:color="auto"/>
                    </w:rPr>
                    <w:t>1.</w:t>
                  </w:r>
                  <w:r>
                    <w:rPr>
                      <w:rFonts w:hint="default" w:ascii="Times New Roman" w:hAnsi="Times New Roman" w:eastAsia="宋体" w:cs="Times New Roman"/>
                      <w:b w:val="0"/>
                      <w:bCs w:val="0"/>
                      <w:color w:val="auto"/>
                      <w:spacing w:val="4"/>
                      <w:sz w:val="21"/>
                      <w:szCs w:val="21"/>
                      <w:highlight w:val="none"/>
                      <w:u w:val="none" w:color="auto"/>
                      <w:lang w:val="en-US" w:eastAsia="zh-CN"/>
                    </w:rPr>
                    <w:t>2</w:t>
                  </w:r>
                  <w:r>
                    <w:rPr>
                      <w:rFonts w:hint="default" w:ascii="Times New Roman" w:hAnsi="Times New Roman" w:eastAsia="宋体" w:cs="Times New Roman"/>
                      <w:b w:val="0"/>
                      <w:bCs w:val="0"/>
                      <w:color w:val="auto"/>
                      <w:spacing w:val="4"/>
                      <w:sz w:val="21"/>
                      <w:szCs w:val="21"/>
                      <w:highlight w:val="none"/>
                      <w:u w:val="none" w:color="auto"/>
                    </w:rPr>
                    <w:t>m×</w:t>
                  </w:r>
                  <w:r>
                    <w:rPr>
                      <w:rFonts w:hint="default" w:ascii="Times New Roman" w:hAnsi="Times New Roman" w:eastAsia="宋体" w:cs="Times New Roman"/>
                      <w:b w:val="0"/>
                      <w:bCs w:val="0"/>
                      <w:color w:val="auto"/>
                      <w:spacing w:val="4"/>
                      <w:sz w:val="21"/>
                      <w:szCs w:val="21"/>
                      <w:highlight w:val="none"/>
                      <w:u w:val="none" w:color="auto"/>
                      <w:lang w:val="en-US" w:eastAsia="zh-CN"/>
                    </w:rPr>
                    <w:t>深0.</w:t>
                  </w:r>
                  <w:r>
                    <w:rPr>
                      <w:rFonts w:hint="default" w:ascii="Times New Roman" w:hAnsi="Times New Roman" w:cs="Times New Roman"/>
                      <w:b w:val="0"/>
                      <w:bCs w:val="0"/>
                      <w:color w:val="auto"/>
                      <w:spacing w:val="4"/>
                      <w:sz w:val="21"/>
                      <w:szCs w:val="21"/>
                      <w:highlight w:val="none"/>
                      <w:u w:val="none" w:color="auto"/>
                      <w:lang w:val="en-US" w:eastAsia="zh-CN"/>
                    </w:rPr>
                    <w:t>75</w:t>
                  </w:r>
                  <w:r>
                    <w:rPr>
                      <w:rFonts w:hint="default" w:ascii="Times New Roman" w:hAnsi="Times New Roman" w:eastAsia="宋体" w:cs="Times New Roman"/>
                      <w:b w:val="0"/>
                      <w:bCs w:val="0"/>
                      <w:color w:val="auto"/>
                      <w:spacing w:val="4"/>
                      <w:sz w:val="21"/>
                      <w:szCs w:val="21"/>
                      <w:highlight w:val="none"/>
                      <w:u w:val="none" w:color="auto"/>
                    </w:rPr>
                    <w:t>m×</w:t>
                  </w:r>
                  <w:r>
                    <w:rPr>
                      <w:rFonts w:hint="default" w:ascii="Times New Roman" w:hAnsi="Times New Roman" w:eastAsia="宋体" w:cs="Times New Roman"/>
                      <w:b w:val="0"/>
                      <w:bCs w:val="0"/>
                      <w:color w:val="auto"/>
                      <w:spacing w:val="4"/>
                      <w:sz w:val="21"/>
                      <w:szCs w:val="21"/>
                      <w:highlight w:val="none"/>
                      <w:u w:val="none" w:color="auto"/>
                      <w:lang w:val="en-US" w:eastAsia="zh-CN"/>
                    </w:rPr>
                    <w:t>高2m</w:t>
                  </w:r>
                </w:p>
              </w:tc>
            </w:tr>
            <w:tr w14:paraId="3A1200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 w:hRule="atLeast"/>
                <w:jc w:val="center"/>
              </w:trPr>
              <w:tc>
                <w:tcPr>
                  <w:tcW w:w="1590" w:type="pct"/>
                  <w:gridSpan w:val="2"/>
                  <w:vMerge w:val="restart"/>
                  <w:tcBorders>
                    <w:top w:val="single" w:color="auto" w:sz="4" w:space="0"/>
                  </w:tcBorders>
                  <w:noWrap w:val="0"/>
                  <w:vAlign w:val="center"/>
                </w:tcPr>
                <w:p w14:paraId="4868F053">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default" w:ascii="Times New Roman" w:hAnsi="Times New Roman" w:eastAsia="宋体" w:cs="Times New Roman"/>
                      <w:b w:val="0"/>
                      <w:bCs w:val="0"/>
                      <w:color w:val="auto"/>
                      <w:sz w:val="21"/>
                      <w:szCs w:val="21"/>
                      <w:highlight w:val="none"/>
                      <w:u w:val="none" w:color="auto"/>
                      <w:lang w:val="en-US" w:eastAsia="zh-CN"/>
                    </w:rPr>
                    <w:t>合计</w:t>
                  </w:r>
                </w:p>
              </w:tc>
              <w:tc>
                <w:tcPr>
                  <w:tcW w:w="1006" w:type="pct"/>
                  <w:tcBorders>
                    <w:top w:val="single" w:color="auto" w:sz="4" w:space="0"/>
                    <w:bottom w:val="single" w:color="auto" w:sz="4" w:space="0"/>
                  </w:tcBorders>
                  <w:noWrap w:val="0"/>
                  <w:vAlign w:val="center"/>
                </w:tcPr>
                <w:p w14:paraId="0EA49CCF">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pacing w:val="5"/>
                      <w:sz w:val="21"/>
                      <w:szCs w:val="21"/>
                      <w:highlight w:val="none"/>
                      <w:u w:val="none" w:color="auto"/>
                    </w:rPr>
                  </w:pPr>
                  <w:r>
                    <w:rPr>
                      <w:rFonts w:hint="default" w:ascii="Times New Roman" w:hAnsi="Times New Roman" w:eastAsia="宋体" w:cs="Times New Roman"/>
                      <w:b w:val="0"/>
                      <w:bCs w:val="0"/>
                      <w:color w:val="auto"/>
                      <w:spacing w:val="5"/>
                      <w:sz w:val="21"/>
                      <w:szCs w:val="21"/>
                      <w:highlight w:val="none"/>
                      <w:u w:val="none" w:color="auto"/>
                    </w:rPr>
                    <w:t>通风橱</w:t>
                  </w:r>
                </w:p>
              </w:tc>
              <w:tc>
                <w:tcPr>
                  <w:tcW w:w="691" w:type="pct"/>
                  <w:tcBorders>
                    <w:top w:val="single" w:color="auto" w:sz="4" w:space="0"/>
                    <w:bottom w:val="single" w:color="auto" w:sz="4" w:space="0"/>
                  </w:tcBorders>
                  <w:noWrap w:val="0"/>
                  <w:vAlign w:val="center"/>
                </w:tcPr>
                <w:p w14:paraId="02E9921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cs="Times New Roman"/>
                      <w:b w:val="0"/>
                      <w:bCs w:val="0"/>
                      <w:color w:val="auto"/>
                      <w:kern w:val="2"/>
                      <w:sz w:val="21"/>
                      <w:szCs w:val="21"/>
                      <w:highlight w:val="none"/>
                      <w:u w:val="none" w:color="auto"/>
                      <w:lang w:val="en-US" w:eastAsia="zh-CN" w:bidi="ar-SA"/>
                    </w:rPr>
                    <w:t>3</w:t>
                  </w:r>
                </w:p>
              </w:tc>
              <w:tc>
                <w:tcPr>
                  <w:tcW w:w="1712" w:type="pct"/>
                  <w:tcBorders>
                    <w:top w:val="single" w:color="auto" w:sz="4" w:space="0"/>
                    <w:bottom w:val="single" w:color="auto" w:sz="4" w:space="0"/>
                  </w:tcBorders>
                  <w:noWrap w:val="0"/>
                  <w:vAlign w:val="center"/>
                </w:tcPr>
                <w:p w14:paraId="7165615A">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pacing w:val="4"/>
                      <w:sz w:val="21"/>
                      <w:szCs w:val="21"/>
                      <w:highlight w:val="none"/>
                      <w:u w:val="none" w:color="auto"/>
                    </w:rPr>
                  </w:pPr>
                  <w:r>
                    <w:rPr>
                      <w:rFonts w:hint="default" w:ascii="Times New Roman" w:hAnsi="Times New Roman" w:eastAsia="宋体" w:cs="Times New Roman"/>
                      <w:b w:val="0"/>
                      <w:bCs w:val="0"/>
                      <w:color w:val="auto"/>
                      <w:spacing w:val="4"/>
                      <w:sz w:val="21"/>
                      <w:szCs w:val="21"/>
                      <w:highlight w:val="none"/>
                      <w:u w:val="none" w:color="auto"/>
                      <w:lang w:val="en-US" w:eastAsia="zh-CN"/>
                    </w:rPr>
                    <w:t>宽</w:t>
                  </w:r>
                  <w:r>
                    <w:rPr>
                      <w:rFonts w:hint="default" w:ascii="Times New Roman" w:hAnsi="Times New Roman" w:eastAsia="宋体" w:cs="Times New Roman"/>
                      <w:b w:val="0"/>
                      <w:bCs w:val="0"/>
                      <w:color w:val="auto"/>
                      <w:spacing w:val="4"/>
                      <w:sz w:val="21"/>
                      <w:szCs w:val="21"/>
                      <w:highlight w:val="none"/>
                      <w:u w:val="none" w:color="auto"/>
                    </w:rPr>
                    <w:t>1.</w:t>
                  </w:r>
                  <w:r>
                    <w:rPr>
                      <w:rFonts w:hint="default" w:ascii="Times New Roman" w:hAnsi="Times New Roman" w:eastAsia="宋体" w:cs="Times New Roman"/>
                      <w:b w:val="0"/>
                      <w:bCs w:val="0"/>
                      <w:color w:val="auto"/>
                      <w:spacing w:val="4"/>
                      <w:sz w:val="21"/>
                      <w:szCs w:val="21"/>
                      <w:highlight w:val="none"/>
                      <w:u w:val="none" w:color="auto"/>
                      <w:lang w:val="en-US" w:eastAsia="zh-CN"/>
                    </w:rPr>
                    <w:t>2</w:t>
                  </w:r>
                  <w:r>
                    <w:rPr>
                      <w:rFonts w:hint="default" w:ascii="Times New Roman" w:hAnsi="Times New Roman" w:eastAsia="宋体" w:cs="Times New Roman"/>
                      <w:b w:val="0"/>
                      <w:bCs w:val="0"/>
                      <w:color w:val="auto"/>
                      <w:spacing w:val="4"/>
                      <w:sz w:val="21"/>
                      <w:szCs w:val="21"/>
                      <w:highlight w:val="none"/>
                      <w:u w:val="none" w:color="auto"/>
                    </w:rPr>
                    <w:t>m×</w:t>
                  </w:r>
                  <w:r>
                    <w:rPr>
                      <w:rFonts w:hint="default" w:ascii="Times New Roman" w:hAnsi="Times New Roman" w:eastAsia="宋体" w:cs="Times New Roman"/>
                      <w:b w:val="0"/>
                      <w:bCs w:val="0"/>
                      <w:color w:val="auto"/>
                      <w:spacing w:val="4"/>
                      <w:sz w:val="21"/>
                      <w:szCs w:val="21"/>
                      <w:highlight w:val="none"/>
                      <w:u w:val="none" w:color="auto"/>
                      <w:lang w:val="en-US" w:eastAsia="zh-CN"/>
                    </w:rPr>
                    <w:t>深0.</w:t>
                  </w:r>
                  <w:r>
                    <w:rPr>
                      <w:rFonts w:hint="default" w:ascii="Times New Roman" w:hAnsi="Times New Roman" w:cs="Times New Roman"/>
                      <w:b w:val="0"/>
                      <w:bCs w:val="0"/>
                      <w:color w:val="auto"/>
                      <w:spacing w:val="4"/>
                      <w:sz w:val="21"/>
                      <w:szCs w:val="21"/>
                      <w:highlight w:val="none"/>
                      <w:u w:val="none" w:color="auto"/>
                      <w:lang w:val="en-US" w:eastAsia="zh-CN"/>
                    </w:rPr>
                    <w:t>75</w:t>
                  </w:r>
                  <w:r>
                    <w:rPr>
                      <w:rFonts w:hint="default" w:ascii="Times New Roman" w:hAnsi="Times New Roman" w:eastAsia="宋体" w:cs="Times New Roman"/>
                      <w:b w:val="0"/>
                      <w:bCs w:val="0"/>
                      <w:color w:val="auto"/>
                      <w:spacing w:val="4"/>
                      <w:sz w:val="21"/>
                      <w:szCs w:val="21"/>
                      <w:highlight w:val="none"/>
                      <w:u w:val="none" w:color="auto"/>
                    </w:rPr>
                    <w:t>m×</w:t>
                  </w:r>
                  <w:r>
                    <w:rPr>
                      <w:rFonts w:hint="default" w:ascii="Times New Roman" w:hAnsi="Times New Roman" w:eastAsia="宋体" w:cs="Times New Roman"/>
                      <w:b w:val="0"/>
                      <w:bCs w:val="0"/>
                      <w:color w:val="auto"/>
                      <w:spacing w:val="4"/>
                      <w:sz w:val="21"/>
                      <w:szCs w:val="21"/>
                      <w:highlight w:val="none"/>
                      <w:u w:val="none" w:color="auto"/>
                      <w:lang w:val="en-US" w:eastAsia="zh-CN"/>
                    </w:rPr>
                    <w:t>高2m</w:t>
                  </w:r>
                </w:p>
              </w:tc>
            </w:tr>
            <w:tr w14:paraId="5C6CC5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 w:hRule="atLeast"/>
                <w:jc w:val="center"/>
              </w:trPr>
              <w:tc>
                <w:tcPr>
                  <w:tcW w:w="1590" w:type="pct"/>
                  <w:gridSpan w:val="2"/>
                  <w:vMerge w:val="continue"/>
                  <w:tcBorders>
                    <w:bottom w:val="single" w:color="auto" w:sz="4" w:space="0"/>
                  </w:tcBorders>
                  <w:noWrap w:val="0"/>
                  <w:vAlign w:val="center"/>
                </w:tcPr>
                <w:p w14:paraId="010CBEE7">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p>
              </w:tc>
              <w:tc>
                <w:tcPr>
                  <w:tcW w:w="1006" w:type="pct"/>
                  <w:tcBorders>
                    <w:top w:val="single" w:color="auto" w:sz="4" w:space="0"/>
                    <w:bottom w:val="single" w:color="auto" w:sz="4" w:space="0"/>
                  </w:tcBorders>
                  <w:noWrap w:val="0"/>
                  <w:vAlign w:val="center"/>
                </w:tcPr>
                <w:p w14:paraId="22A34D32">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pacing w:val="5"/>
                      <w:sz w:val="21"/>
                      <w:szCs w:val="21"/>
                      <w:highlight w:val="none"/>
                      <w:u w:val="none" w:color="auto"/>
                    </w:rPr>
                  </w:pPr>
                  <w:r>
                    <w:rPr>
                      <w:rFonts w:hint="default" w:ascii="Times New Roman" w:hAnsi="Times New Roman" w:eastAsia="宋体" w:cs="Times New Roman"/>
                      <w:b w:val="0"/>
                      <w:bCs w:val="0"/>
                      <w:color w:val="auto"/>
                      <w:spacing w:val="5"/>
                      <w:sz w:val="21"/>
                      <w:szCs w:val="21"/>
                      <w:highlight w:val="none"/>
                      <w:u w:val="none" w:color="auto"/>
                      <w:lang w:val="en-US" w:eastAsia="zh-CN"/>
                    </w:rPr>
                    <w:t>吸风</w:t>
                  </w:r>
                  <w:r>
                    <w:rPr>
                      <w:rFonts w:hint="default" w:ascii="Times New Roman" w:hAnsi="Times New Roman" w:eastAsia="宋体" w:cs="Times New Roman"/>
                      <w:b w:val="0"/>
                      <w:bCs w:val="0"/>
                      <w:color w:val="auto"/>
                      <w:spacing w:val="5"/>
                      <w:sz w:val="21"/>
                      <w:szCs w:val="21"/>
                      <w:highlight w:val="none"/>
                      <w:u w:val="none" w:color="auto"/>
                      <w:lang w:eastAsia="zh-CN"/>
                    </w:rPr>
                    <w:t>罩</w:t>
                  </w:r>
                </w:p>
              </w:tc>
              <w:tc>
                <w:tcPr>
                  <w:tcW w:w="691" w:type="pct"/>
                  <w:tcBorders>
                    <w:top w:val="single" w:color="auto" w:sz="4" w:space="0"/>
                    <w:bottom w:val="single" w:color="auto" w:sz="4" w:space="0"/>
                  </w:tcBorders>
                  <w:noWrap w:val="0"/>
                  <w:vAlign w:val="center"/>
                </w:tcPr>
                <w:p w14:paraId="60FFF90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cs="Times New Roman"/>
                      <w:b w:val="0"/>
                      <w:bCs w:val="0"/>
                      <w:color w:val="auto"/>
                      <w:kern w:val="2"/>
                      <w:sz w:val="21"/>
                      <w:szCs w:val="21"/>
                      <w:highlight w:val="none"/>
                      <w:u w:val="none" w:color="auto"/>
                      <w:lang w:val="en-US" w:eastAsia="zh-CN" w:bidi="ar-SA"/>
                    </w:rPr>
                    <w:t>125</w:t>
                  </w:r>
                </w:p>
              </w:tc>
              <w:tc>
                <w:tcPr>
                  <w:tcW w:w="1712" w:type="pct"/>
                  <w:tcBorders>
                    <w:top w:val="single" w:color="auto" w:sz="4" w:space="0"/>
                    <w:bottom w:val="single" w:color="auto" w:sz="4" w:space="0"/>
                  </w:tcBorders>
                  <w:noWrap w:val="0"/>
                  <w:vAlign w:val="center"/>
                </w:tcPr>
                <w:p w14:paraId="1E0FD5FA">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spacing w:val="4"/>
                      <w:sz w:val="21"/>
                      <w:szCs w:val="21"/>
                      <w:highlight w:val="none"/>
                      <w:u w:val="none" w:color="auto"/>
                    </w:rPr>
                  </w:pPr>
                  <w:r>
                    <w:rPr>
                      <w:rFonts w:hint="default" w:ascii="Times New Roman" w:hAnsi="Times New Roman" w:eastAsia="宋体" w:cs="Times New Roman"/>
                      <w:b w:val="0"/>
                      <w:bCs w:val="0"/>
                      <w:color w:val="auto"/>
                      <w:spacing w:val="3"/>
                      <w:sz w:val="21"/>
                      <w:szCs w:val="21"/>
                      <w:highlight w:val="none"/>
                      <w:u w:val="none" w:color="auto"/>
                      <w:lang w:val="en-US" w:eastAsia="zh-CN"/>
                    </w:rPr>
                    <w:t>内径0.2</w:t>
                  </w:r>
                  <w:r>
                    <w:rPr>
                      <w:rFonts w:hint="default" w:ascii="Times New Roman" w:hAnsi="Times New Roman" w:eastAsia="宋体" w:cs="Times New Roman"/>
                      <w:b w:val="0"/>
                      <w:bCs w:val="0"/>
                      <w:color w:val="auto"/>
                      <w:spacing w:val="3"/>
                      <w:sz w:val="21"/>
                      <w:szCs w:val="21"/>
                      <w:highlight w:val="none"/>
                      <w:u w:val="none" w:color="auto"/>
                    </w:rPr>
                    <w:t>m</w:t>
                  </w:r>
                </w:p>
              </w:tc>
            </w:tr>
          </w:tbl>
          <w:p w14:paraId="65C84F0F">
            <w:pPr>
              <w:pStyle w:val="52"/>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both"/>
              <w:textAlignment w:val="auto"/>
              <w:rPr>
                <w:rFonts w:hint="default" w:ascii="Times New Roman" w:hAnsi="Times New Roman" w:cs="Times New Roman"/>
                <w:b w:val="0"/>
                <w:bCs w:val="0"/>
                <w:color w:val="auto"/>
                <w:spacing w:val="-2"/>
                <w:sz w:val="24"/>
                <w:szCs w:val="24"/>
                <w:highlight w:val="none"/>
                <w:u w:val="none" w:color="auto"/>
                <w:lang w:val="en-US" w:eastAsia="zh-CN"/>
              </w:rPr>
            </w:pPr>
            <w:r>
              <w:rPr>
                <w:rFonts w:hint="default" w:ascii="Times New Roman" w:hAnsi="Times New Roman" w:eastAsia="宋体" w:cs="Times New Roman"/>
                <w:color w:val="auto"/>
                <w:sz w:val="24"/>
                <w:szCs w:val="28"/>
                <w:highlight w:val="none"/>
                <w:u w:val="none" w:color="auto"/>
                <w:lang w:val="en-US" w:eastAsia="zh-CN"/>
              </w:rPr>
              <w:t>废气收集措施排风量计算如下：</w:t>
            </w:r>
          </w:p>
          <w:p w14:paraId="702652F0">
            <w:pPr>
              <w:keepNext w:val="0"/>
              <w:keepLines w:val="0"/>
              <w:pageBreakBefore w:val="0"/>
              <w:widowControl w:val="0"/>
              <w:kinsoku/>
              <w:wordWrap/>
              <w:overflowPunct/>
              <w:topLinePunct w:val="0"/>
              <w:autoSpaceDE/>
              <w:autoSpaceDN/>
              <w:bidi w:val="0"/>
              <w:adjustRightInd/>
              <w:snapToGrid/>
              <w:spacing w:line="360" w:lineRule="auto"/>
              <w:ind w:firstLine="472" w:firstLineChars="200"/>
              <w:textAlignment w:val="auto"/>
              <w:rPr>
                <w:rFonts w:hint="default" w:ascii="Times New Roman" w:hAnsi="Times New Roman" w:eastAsia="宋体" w:cs="Times New Roman"/>
                <w:color w:val="auto"/>
                <w:sz w:val="24"/>
                <w:szCs w:val="28"/>
                <w:highlight w:val="none"/>
                <w:u w:val="none" w:color="auto"/>
                <w:lang w:eastAsia="zh-CN"/>
              </w:rPr>
            </w:pPr>
            <w:r>
              <w:rPr>
                <w:rFonts w:hint="default" w:ascii="Times New Roman" w:hAnsi="Times New Roman" w:eastAsia="宋体" w:cs="Times New Roman"/>
                <w:b w:val="0"/>
                <w:bCs w:val="0"/>
                <w:color w:val="auto"/>
                <w:spacing w:val="-2"/>
                <w:sz w:val="24"/>
                <w:szCs w:val="24"/>
                <w:highlight w:val="none"/>
                <w:u w:val="none" w:color="auto"/>
                <w:lang w:val="en-US" w:eastAsia="zh-CN"/>
              </w:rPr>
              <w:t>①</w:t>
            </w:r>
            <w:r>
              <w:rPr>
                <w:rFonts w:hint="default" w:ascii="Times New Roman" w:hAnsi="Times New Roman" w:cs="Times New Roman"/>
                <w:b w:val="0"/>
                <w:bCs w:val="0"/>
                <w:color w:val="auto"/>
                <w:spacing w:val="-2"/>
                <w:sz w:val="24"/>
                <w:szCs w:val="24"/>
                <w:highlight w:val="none"/>
                <w:u w:val="none" w:color="auto"/>
                <w:lang w:val="en-US" w:eastAsia="zh-CN"/>
              </w:rPr>
              <w:t>侧向吸风量计算：</w:t>
            </w:r>
            <w:r>
              <w:rPr>
                <w:rFonts w:hint="default" w:ascii="Times New Roman" w:hAnsi="Times New Roman" w:eastAsia="宋体" w:cs="Times New Roman"/>
                <w:color w:val="auto"/>
                <w:sz w:val="24"/>
                <w:szCs w:val="28"/>
                <w:highlight w:val="none"/>
                <w:u w:val="none" w:color="auto"/>
                <w:lang w:eastAsia="zh-CN"/>
              </w:rPr>
              <w:t>根据《三废处理工程技术手册 废气卷》中“表17-8各种排气罩排气量计算公式表”，拟建项目台上排气罩排风量按下式公式进行计算：</w:t>
            </w:r>
          </w:p>
          <w:p w14:paraId="63B7E9D8">
            <w:pPr>
              <w:pStyle w:val="52"/>
              <w:keepNext w:val="0"/>
              <w:keepLines w:val="0"/>
              <w:pageBreakBefore w:val="0"/>
              <w:widowControl w:val="0"/>
              <w:kinsoku/>
              <w:wordWrap/>
              <w:overflowPunct/>
              <w:topLinePunct w:val="0"/>
              <w:autoSpaceDE/>
              <w:autoSpaceDN/>
              <w:bidi w:val="0"/>
              <w:adjustRightInd/>
              <w:snapToGrid/>
              <w:spacing w:line="360" w:lineRule="auto"/>
              <w:ind w:right="0" w:firstLine="472" w:firstLineChars="200"/>
              <w:jc w:val="center"/>
              <w:textAlignment w:val="auto"/>
              <w:rPr>
                <w:rFonts w:hint="default" w:ascii="Times New Roman" w:hAnsi="Times New Roman" w:cs="Times New Roman"/>
                <w:b w:val="0"/>
                <w:bCs w:val="0"/>
                <w:color w:val="auto"/>
                <w:spacing w:val="-2"/>
                <w:sz w:val="24"/>
                <w:szCs w:val="24"/>
                <w:highlight w:val="none"/>
                <w:u w:val="none" w:color="auto"/>
                <w:lang w:val="en-US" w:eastAsia="zh-CN"/>
              </w:rPr>
            </w:pPr>
            <w:r>
              <w:rPr>
                <w:rFonts w:hint="default" w:ascii="Times New Roman" w:hAnsi="Times New Roman" w:cs="Times New Roman"/>
                <w:b w:val="0"/>
                <w:bCs w:val="0"/>
                <w:color w:val="auto"/>
                <w:spacing w:val="-2"/>
                <w:sz w:val="24"/>
                <w:szCs w:val="24"/>
                <w:highlight w:val="none"/>
                <w:u w:val="none" w:color="auto"/>
                <w:lang w:val="en-US" w:eastAsia="zh-CN"/>
              </w:rPr>
              <w:t>L=0.75（10x</w:t>
            </w:r>
            <w:r>
              <w:rPr>
                <w:rFonts w:hint="default" w:ascii="Times New Roman" w:hAnsi="Times New Roman" w:cs="Times New Roman"/>
                <w:b w:val="0"/>
                <w:bCs w:val="0"/>
                <w:color w:val="auto"/>
                <w:spacing w:val="-2"/>
                <w:sz w:val="24"/>
                <w:szCs w:val="24"/>
                <w:highlight w:val="none"/>
                <w:u w:val="none" w:color="auto"/>
                <w:vertAlign w:val="superscript"/>
                <w:lang w:val="en-US" w:eastAsia="zh-CN"/>
              </w:rPr>
              <w:t>2</w:t>
            </w:r>
            <w:r>
              <w:rPr>
                <w:rFonts w:hint="default" w:ascii="Times New Roman" w:hAnsi="Times New Roman" w:cs="Times New Roman"/>
                <w:b w:val="0"/>
                <w:bCs w:val="0"/>
                <w:color w:val="auto"/>
                <w:spacing w:val="-2"/>
                <w:sz w:val="24"/>
                <w:szCs w:val="24"/>
                <w:highlight w:val="none"/>
                <w:u w:val="none" w:color="auto"/>
                <w:lang w:val="en-US" w:eastAsia="zh-CN"/>
              </w:rPr>
              <w:t>+F）v</w:t>
            </w:r>
            <w:r>
              <w:rPr>
                <w:rFonts w:hint="default" w:ascii="Times New Roman" w:hAnsi="Times New Roman" w:cs="Times New Roman"/>
                <w:b w:val="0"/>
                <w:bCs w:val="0"/>
                <w:color w:val="auto"/>
                <w:spacing w:val="-2"/>
                <w:sz w:val="24"/>
                <w:szCs w:val="24"/>
                <w:highlight w:val="none"/>
                <w:u w:val="none" w:color="auto"/>
                <w:vertAlign w:val="subscript"/>
                <w:lang w:val="en-US" w:eastAsia="zh-CN"/>
              </w:rPr>
              <w:t>x</w:t>
            </w:r>
          </w:p>
          <w:p w14:paraId="6B1F524A">
            <w:pPr>
              <w:pStyle w:val="52"/>
              <w:keepNext w:val="0"/>
              <w:keepLines w:val="0"/>
              <w:pageBreakBefore w:val="0"/>
              <w:widowControl w:val="0"/>
              <w:kinsoku/>
              <w:wordWrap/>
              <w:overflowPunct/>
              <w:topLinePunct w:val="0"/>
              <w:autoSpaceDE/>
              <w:autoSpaceDN/>
              <w:bidi w:val="0"/>
              <w:adjustRightInd/>
              <w:snapToGrid/>
              <w:spacing w:line="360" w:lineRule="auto"/>
              <w:ind w:right="0" w:firstLine="472" w:firstLineChars="200"/>
              <w:jc w:val="both"/>
              <w:textAlignment w:val="auto"/>
              <w:rPr>
                <w:rFonts w:hint="default" w:ascii="Times New Roman" w:hAnsi="Times New Roman" w:cs="Times New Roman"/>
                <w:b w:val="0"/>
                <w:bCs w:val="0"/>
                <w:color w:val="auto"/>
                <w:spacing w:val="-2"/>
                <w:sz w:val="24"/>
                <w:szCs w:val="24"/>
                <w:highlight w:val="none"/>
                <w:u w:val="none" w:color="auto"/>
                <w:lang w:val="en-US" w:eastAsia="zh-CN"/>
              </w:rPr>
            </w:pPr>
            <w:r>
              <w:rPr>
                <w:rFonts w:hint="default" w:ascii="Times New Roman" w:hAnsi="Times New Roman" w:cs="Times New Roman"/>
                <w:b w:val="0"/>
                <w:bCs w:val="0"/>
                <w:color w:val="auto"/>
                <w:spacing w:val="-2"/>
                <w:sz w:val="24"/>
                <w:szCs w:val="24"/>
                <w:highlight w:val="none"/>
                <w:u w:val="none" w:color="auto"/>
                <w:lang w:val="en-US" w:eastAsia="zh-CN"/>
              </w:rPr>
              <w:t>式中：L-侧向吸风罩排风量，m</w:t>
            </w:r>
            <w:r>
              <w:rPr>
                <w:rFonts w:hint="default" w:ascii="Times New Roman" w:hAnsi="Times New Roman" w:cs="Times New Roman"/>
                <w:b w:val="0"/>
                <w:bCs w:val="0"/>
                <w:color w:val="auto"/>
                <w:spacing w:val="-2"/>
                <w:sz w:val="24"/>
                <w:szCs w:val="24"/>
                <w:highlight w:val="none"/>
                <w:u w:val="none" w:color="auto"/>
                <w:vertAlign w:val="superscript"/>
                <w:lang w:val="en-US" w:eastAsia="zh-CN"/>
              </w:rPr>
              <w:t>3</w:t>
            </w:r>
            <w:r>
              <w:rPr>
                <w:rFonts w:hint="default" w:ascii="Times New Roman" w:hAnsi="Times New Roman" w:cs="Times New Roman"/>
                <w:b w:val="0"/>
                <w:bCs w:val="0"/>
                <w:color w:val="auto"/>
                <w:spacing w:val="-2"/>
                <w:sz w:val="24"/>
                <w:szCs w:val="24"/>
                <w:highlight w:val="none"/>
                <w:u w:val="none" w:color="auto"/>
                <w:lang w:val="en-US" w:eastAsia="zh-CN"/>
              </w:rPr>
              <w:t>/s；</w:t>
            </w:r>
          </w:p>
          <w:p w14:paraId="3CA10EE9">
            <w:pPr>
              <w:pStyle w:val="52"/>
              <w:keepNext w:val="0"/>
              <w:keepLines w:val="0"/>
              <w:pageBreakBefore w:val="0"/>
              <w:widowControl w:val="0"/>
              <w:kinsoku/>
              <w:wordWrap/>
              <w:overflowPunct/>
              <w:topLinePunct w:val="0"/>
              <w:autoSpaceDE/>
              <w:autoSpaceDN/>
              <w:bidi w:val="0"/>
              <w:adjustRightInd/>
              <w:snapToGrid/>
              <w:spacing w:line="360" w:lineRule="auto"/>
              <w:ind w:right="0" w:firstLine="472" w:firstLineChars="200"/>
              <w:jc w:val="both"/>
              <w:textAlignment w:val="auto"/>
              <w:rPr>
                <w:rFonts w:hint="default" w:ascii="Times New Roman" w:hAnsi="Times New Roman" w:cs="Times New Roman"/>
                <w:b w:val="0"/>
                <w:bCs w:val="0"/>
                <w:color w:val="auto"/>
                <w:spacing w:val="-2"/>
                <w:sz w:val="24"/>
                <w:szCs w:val="24"/>
                <w:highlight w:val="none"/>
                <w:u w:val="none" w:color="auto"/>
                <w:lang w:val="en-US" w:eastAsia="zh-CN"/>
              </w:rPr>
            </w:pPr>
            <w:r>
              <w:rPr>
                <w:rFonts w:hint="default" w:ascii="Times New Roman" w:hAnsi="Times New Roman" w:cs="Times New Roman"/>
                <w:b w:val="0"/>
                <w:bCs w:val="0"/>
                <w:color w:val="auto"/>
                <w:spacing w:val="-2"/>
                <w:sz w:val="24"/>
                <w:szCs w:val="24"/>
                <w:highlight w:val="none"/>
                <w:u w:val="none" w:color="auto"/>
                <w:lang w:val="en-US" w:eastAsia="zh-CN"/>
              </w:rPr>
              <w:t>X--罩口至污染源的距离，m；</w:t>
            </w:r>
          </w:p>
          <w:p w14:paraId="7C61E279">
            <w:pPr>
              <w:pStyle w:val="52"/>
              <w:keepNext w:val="0"/>
              <w:keepLines w:val="0"/>
              <w:pageBreakBefore w:val="0"/>
              <w:widowControl w:val="0"/>
              <w:kinsoku/>
              <w:wordWrap/>
              <w:overflowPunct/>
              <w:topLinePunct w:val="0"/>
              <w:autoSpaceDE/>
              <w:autoSpaceDN/>
              <w:bidi w:val="0"/>
              <w:adjustRightInd/>
              <w:snapToGrid/>
              <w:spacing w:line="360" w:lineRule="auto"/>
              <w:ind w:right="0" w:firstLine="472" w:firstLineChars="200"/>
              <w:jc w:val="both"/>
              <w:textAlignment w:val="auto"/>
              <w:rPr>
                <w:rFonts w:hint="default" w:ascii="Times New Roman" w:hAnsi="Times New Roman" w:cs="Times New Roman"/>
                <w:b w:val="0"/>
                <w:bCs w:val="0"/>
                <w:color w:val="auto"/>
                <w:spacing w:val="-2"/>
                <w:sz w:val="24"/>
                <w:szCs w:val="24"/>
                <w:highlight w:val="none"/>
                <w:u w:val="none" w:color="auto"/>
                <w:lang w:val="en-US" w:eastAsia="zh-CN"/>
              </w:rPr>
            </w:pPr>
            <w:r>
              <w:rPr>
                <w:rFonts w:hint="default" w:ascii="Times New Roman" w:hAnsi="Times New Roman" w:cs="Times New Roman"/>
                <w:b w:val="0"/>
                <w:bCs w:val="0"/>
                <w:color w:val="auto"/>
                <w:spacing w:val="-2"/>
                <w:sz w:val="24"/>
                <w:szCs w:val="24"/>
                <w:highlight w:val="none"/>
                <w:u w:val="none" w:color="auto"/>
                <w:lang w:val="en-US" w:eastAsia="zh-CN"/>
              </w:rPr>
              <w:t>F--实际排风罩口罩口面积，m</w:t>
            </w:r>
            <w:r>
              <w:rPr>
                <w:rFonts w:hint="default" w:ascii="Times New Roman" w:hAnsi="Times New Roman" w:cs="Times New Roman"/>
                <w:b w:val="0"/>
                <w:bCs w:val="0"/>
                <w:color w:val="auto"/>
                <w:spacing w:val="-2"/>
                <w:sz w:val="24"/>
                <w:szCs w:val="24"/>
                <w:highlight w:val="none"/>
                <w:u w:val="none" w:color="auto"/>
                <w:vertAlign w:val="superscript"/>
                <w:lang w:val="en-US" w:eastAsia="zh-CN"/>
              </w:rPr>
              <w:t>2</w:t>
            </w:r>
            <w:r>
              <w:rPr>
                <w:rFonts w:hint="default" w:ascii="Times New Roman" w:hAnsi="Times New Roman" w:cs="Times New Roman"/>
                <w:b w:val="0"/>
                <w:bCs w:val="0"/>
                <w:color w:val="auto"/>
                <w:spacing w:val="-2"/>
                <w:sz w:val="24"/>
                <w:szCs w:val="24"/>
                <w:highlight w:val="none"/>
                <w:u w:val="none" w:color="auto"/>
                <w:lang w:val="en-US" w:eastAsia="zh-CN"/>
              </w:rPr>
              <w:t>；</w:t>
            </w:r>
          </w:p>
          <w:p w14:paraId="67DAA246">
            <w:pPr>
              <w:pStyle w:val="52"/>
              <w:keepNext w:val="0"/>
              <w:keepLines w:val="0"/>
              <w:pageBreakBefore w:val="0"/>
              <w:widowControl w:val="0"/>
              <w:kinsoku/>
              <w:wordWrap/>
              <w:overflowPunct/>
              <w:topLinePunct w:val="0"/>
              <w:autoSpaceDE/>
              <w:autoSpaceDN/>
              <w:bidi w:val="0"/>
              <w:adjustRightInd/>
              <w:snapToGrid/>
              <w:spacing w:line="360" w:lineRule="auto"/>
              <w:ind w:right="0" w:firstLine="472" w:firstLineChars="200"/>
              <w:jc w:val="both"/>
              <w:textAlignment w:val="auto"/>
              <w:rPr>
                <w:rFonts w:hint="default" w:ascii="Times New Roman" w:hAnsi="Times New Roman" w:cs="Times New Roman"/>
                <w:b w:val="0"/>
                <w:bCs w:val="0"/>
                <w:color w:val="auto"/>
                <w:spacing w:val="-2"/>
                <w:sz w:val="24"/>
                <w:szCs w:val="24"/>
                <w:highlight w:val="none"/>
                <w:u w:val="none" w:color="auto"/>
                <w:lang w:val="en-US" w:eastAsia="zh-CN"/>
              </w:rPr>
            </w:pPr>
            <w:r>
              <w:rPr>
                <w:rFonts w:hint="default" w:ascii="Times New Roman" w:hAnsi="Times New Roman" w:cs="Times New Roman"/>
                <w:b w:val="0"/>
                <w:bCs w:val="0"/>
                <w:color w:val="auto"/>
                <w:spacing w:val="-2"/>
                <w:sz w:val="24"/>
                <w:szCs w:val="24"/>
                <w:highlight w:val="none"/>
                <w:u w:val="none" w:color="auto"/>
                <w:lang w:val="en-US" w:eastAsia="zh-CN"/>
              </w:rPr>
              <w:t>v</w:t>
            </w:r>
            <w:r>
              <w:rPr>
                <w:rFonts w:hint="default" w:ascii="Times New Roman" w:hAnsi="Times New Roman" w:cs="Times New Roman"/>
                <w:b w:val="0"/>
                <w:bCs w:val="0"/>
                <w:color w:val="auto"/>
                <w:spacing w:val="-2"/>
                <w:sz w:val="24"/>
                <w:szCs w:val="24"/>
                <w:highlight w:val="none"/>
                <w:u w:val="none" w:color="auto"/>
                <w:vertAlign w:val="subscript"/>
                <w:lang w:val="en-US" w:eastAsia="zh-CN"/>
              </w:rPr>
              <w:t>x</w:t>
            </w:r>
            <w:r>
              <w:rPr>
                <w:rFonts w:hint="default" w:ascii="Times New Roman" w:hAnsi="Times New Roman" w:cs="Times New Roman"/>
                <w:b w:val="0"/>
                <w:bCs w:val="0"/>
                <w:color w:val="auto"/>
                <w:spacing w:val="-2"/>
                <w:sz w:val="24"/>
                <w:szCs w:val="24"/>
                <w:highlight w:val="none"/>
                <w:u w:val="none" w:color="auto"/>
                <w:lang w:val="en-US" w:eastAsia="zh-CN"/>
              </w:rPr>
              <w:t>--污染源边缘控制风速，m/s，风速参考本规范表17-7圆形罩一面开口且危害性大，取0.38m/s。</w:t>
            </w:r>
          </w:p>
          <w:p w14:paraId="260B45C5">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kern w:val="2"/>
                <w:sz w:val="21"/>
                <w:szCs w:val="21"/>
                <w:highlight w:val="none"/>
                <w:lang w:val="en-US" w:eastAsia="zh-CN" w:bidi="ar"/>
              </w:rPr>
              <w:t>表</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STYLEREF 1 \s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4</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default" w:ascii="Times New Roman" w:hAnsi="Times New Roman" w:eastAsia="宋体" w:cs="Times New Roman"/>
                <w:b/>
                <w:bCs/>
                <w:color w:val="auto"/>
                <w:kern w:val="2"/>
                <w:sz w:val="21"/>
                <w:szCs w:val="21"/>
                <w:highlight w:val="none"/>
                <w:lang w:val="en-US" w:eastAsia="zh-CN" w:bidi="ar"/>
              </w:rPr>
              <w:t>-</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SEQ 表 \* ARABIC \s 1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5</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eastAsia" w:ascii="Times New Roman" w:hAnsi="Times New Roman" w:eastAsia="宋体" w:cs="Times New Roman"/>
                <w:b/>
                <w:bCs/>
                <w:color w:val="auto"/>
                <w:kern w:val="2"/>
                <w:sz w:val="21"/>
                <w:szCs w:val="21"/>
                <w:highlight w:val="none"/>
                <w:lang w:val="en-US" w:eastAsia="zh-CN" w:bidi="ar"/>
              </w:rPr>
              <w:t xml:space="preserve"> </w:t>
            </w:r>
            <w:r>
              <w:rPr>
                <w:rFonts w:hint="default" w:ascii="Times New Roman" w:hAnsi="Times New Roman" w:eastAsia="宋体" w:cs="Times New Roman"/>
                <w:color w:val="auto"/>
                <w:sz w:val="21"/>
                <w:szCs w:val="21"/>
                <w:highlight w:val="none"/>
                <w:lang w:val="en-US" w:eastAsia="zh-CN"/>
              </w:rPr>
              <w:t>吸风罩排风量计算一览表</w:t>
            </w:r>
          </w:p>
          <w:tbl>
            <w:tblPr>
              <w:tblStyle w:val="3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
              <w:gridCol w:w="1185"/>
              <w:gridCol w:w="630"/>
              <w:gridCol w:w="1223"/>
              <w:gridCol w:w="1202"/>
              <w:gridCol w:w="1075"/>
              <w:gridCol w:w="1190"/>
              <w:gridCol w:w="1190"/>
            </w:tblGrid>
            <w:tr w14:paraId="7BA79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526" w:type="pct"/>
                  <w:noWrap w:val="0"/>
                  <w:vAlign w:val="center"/>
                </w:tcPr>
                <w:p w14:paraId="79200B5F">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bCs/>
                      <w:color w:val="auto"/>
                      <w:spacing w:val="-2"/>
                      <w:sz w:val="21"/>
                      <w:szCs w:val="21"/>
                      <w:highlight w:val="none"/>
                      <w:u w:val="none" w:color="auto"/>
                      <w:vertAlign w:val="baseline"/>
                      <w:lang w:val="en-US" w:eastAsia="zh-CN"/>
                    </w:rPr>
                  </w:pPr>
                  <w:r>
                    <w:rPr>
                      <w:rFonts w:hint="default" w:ascii="Times New Roman" w:hAnsi="Times New Roman" w:cs="Times New Roman"/>
                      <w:b/>
                      <w:bCs/>
                      <w:color w:val="auto"/>
                      <w:spacing w:val="-2"/>
                      <w:sz w:val="21"/>
                      <w:szCs w:val="21"/>
                      <w:highlight w:val="none"/>
                      <w:u w:val="none" w:color="auto"/>
                      <w:vertAlign w:val="baseline"/>
                      <w:lang w:val="en-US" w:eastAsia="zh-CN"/>
                    </w:rPr>
                    <w:t>收集</w:t>
                  </w:r>
                </w:p>
                <w:p w14:paraId="3ABCEC40">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bCs/>
                      <w:color w:val="auto"/>
                      <w:spacing w:val="-2"/>
                      <w:sz w:val="21"/>
                      <w:szCs w:val="21"/>
                      <w:highlight w:val="none"/>
                      <w:u w:val="none" w:color="auto"/>
                      <w:vertAlign w:val="baseline"/>
                      <w:lang w:val="en-US" w:eastAsia="zh-CN"/>
                    </w:rPr>
                  </w:pPr>
                  <w:r>
                    <w:rPr>
                      <w:rFonts w:hint="default" w:ascii="Times New Roman" w:hAnsi="Times New Roman" w:cs="Times New Roman"/>
                      <w:b/>
                      <w:bCs/>
                      <w:color w:val="auto"/>
                      <w:spacing w:val="-2"/>
                      <w:sz w:val="21"/>
                      <w:szCs w:val="21"/>
                      <w:highlight w:val="none"/>
                      <w:u w:val="none" w:color="auto"/>
                      <w:vertAlign w:val="baseline"/>
                      <w:lang w:val="en-US" w:eastAsia="zh-CN"/>
                    </w:rPr>
                    <w:t>方式</w:t>
                  </w:r>
                </w:p>
              </w:tc>
              <w:tc>
                <w:tcPr>
                  <w:tcW w:w="688" w:type="pct"/>
                  <w:noWrap w:val="0"/>
                  <w:vAlign w:val="center"/>
                </w:tcPr>
                <w:p w14:paraId="3F3E60CB">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bCs/>
                      <w:color w:val="auto"/>
                      <w:spacing w:val="-2"/>
                      <w:sz w:val="21"/>
                      <w:szCs w:val="21"/>
                      <w:highlight w:val="none"/>
                      <w:u w:val="none" w:color="auto"/>
                      <w:vertAlign w:val="baseline"/>
                      <w:lang w:val="en-US" w:eastAsia="zh-CN"/>
                    </w:rPr>
                  </w:pPr>
                  <w:r>
                    <w:rPr>
                      <w:rFonts w:hint="default" w:ascii="Times New Roman" w:hAnsi="Times New Roman" w:cs="Times New Roman"/>
                      <w:b/>
                      <w:bCs/>
                      <w:color w:val="auto"/>
                      <w:spacing w:val="-2"/>
                      <w:sz w:val="21"/>
                      <w:szCs w:val="21"/>
                      <w:highlight w:val="none"/>
                      <w:u w:val="none" w:color="auto"/>
                      <w:vertAlign w:val="baseline"/>
                      <w:lang w:val="en-US" w:eastAsia="zh-CN"/>
                    </w:rPr>
                    <w:t>规格尺寸</w:t>
                  </w:r>
                </w:p>
              </w:tc>
              <w:tc>
                <w:tcPr>
                  <w:tcW w:w="366" w:type="pct"/>
                  <w:noWrap w:val="0"/>
                  <w:vAlign w:val="center"/>
                </w:tcPr>
                <w:p w14:paraId="4CC88DC7">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bCs/>
                      <w:color w:val="auto"/>
                      <w:spacing w:val="-2"/>
                      <w:sz w:val="21"/>
                      <w:szCs w:val="21"/>
                      <w:highlight w:val="none"/>
                      <w:u w:val="none" w:color="auto"/>
                      <w:vertAlign w:val="baseline"/>
                      <w:lang w:val="en-US" w:eastAsia="zh-CN"/>
                    </w:rPr>
                  </w:pPr>
                  <w:r>
                    <w:rPr>
                      <w:rFonts w:hint="default" w:ascii="Times New Roman" w:hAnsi="Times New Roman" w:cs="Times New Roman"/>
                      <w:b/>
                      <w:bCs/>
                      <w:color w:val="auto"/>
                      <w:spacing w:val="-2"/>
                      <w:sz w:val="21"/>
                      <w:szCs w:val="21"/>
                      <w:highlight w:val="none"/>
                      <w:u w:val="none" w:color="auto"/>
                      <w:vertAlign w:val="baseline"/>
                      <w:lang w:val="en-US" w:eastAsia="zh-CN"/>
                    </w:rPr>
                    <w:t>数量</w:t>
                  </w:r>
                </w:p>
              </w:tc>
              <w:tc>
                <w:tcPr>
                  <w:tcW w:w="710" w:type="pct"/>
                  <w:noWrap w:val="0"/>
                  <w:vAlign w:val="center"/>
                </w:tcPr>
                <w:p w14:paraId="35F58076">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bCs/>
                      <w:color w:val="auto"/>
                      <w:spacing w:val="-2"/>
                      <w:sz w:val="21"/>
                      <w:szCs w:val="21"/>
                      <w:highlight w:val="none"/>
                      <w:u w:val="none" w:color="auto"/>
                      <w:vertAlign w:val="baseline"/>
                      <w:lang w:val="en-US" w:eastAsia="zh-CN"/>
                    </w:rPr>
                  </w:pPr>
                  <w:r>
                    <w:rPr>
                      <w:rFonts w:hint="default" w:ascii="Times New Roman" w:hAnsi="Times New Roman" w:cs="Times New Roman"/>
                      <w:b/>
                      <w:bCs/>
                      <w:color w:val="auto"/>
                      <w:spacing w:val="-2"/>
                      <w:sz w:val="21"/>
                      <w:szCs w:val="21"/>
                      <w:highlight w:val="none"/>
                      <w:u w:val="none" w:color="auto"/>
                      <w:vertAlign w:val="baseline"/>
                      <w:lang w:val="en-US" w:eastAsia="zh-CN"/>
                    </w:rPr>
                    <w:t>罩口敞开面的面积（m</w:t>
                  </w:r>
                  <w:r>
                    <w:rPr>
                      <w:rFonts w:hint="default" w:ascii="Times New Roman" w:hAnsi="Times New Roman" w:cs="Times New Roman"/>
                      <w:b/>
                      <w:bCs/>
                      <w:color w:val="auto"/>
                      <w:spacing w:val="-2"/>
                      <w:sz w:val="21"/>
                      <w:szCs w:val="21"/>
                      <w:highlight w:val="none"/>
                      <w:u w:val="none" w:color="auto"/>
                      <w:vertAlign w:val="superscript"/>
                      <w:lang w:val="en-US" w:eastAsia="zh-CN"/>
                    </w:rPr>
                    <w:t>2</w:t>
                  </w:r>
                  <w:r>
                    <w:rPr>
                      <w:rFonts w:hint="default" w:ascii="Times New Roman" w:hAnsi="Times New Roman" w:cs="Times New Roman"/>
                      <w:b/>
                      <w:bCs/>
                      <w:color w:val="auto"/>
                      <w:spacing w:val="-2"/>
                      <w:sz w:val="21"/>
                      <w:szCs w:val="21"/>
                      <w:highlight w:val="none"/>
                      <w:u w:val="none" w:color="auto"/>
                      <w:vertAlign w:val="baseline"/>
                      <w:lang w:val="en-US" w:eastAsia="zh-CN"/>
                    </w:rPr>
                    <w:t>）</w:t>
                  </w:r>
                </w:p>
              </w:tc>
              <w:tc>
                <w:tcPr>
                  <w:tcW w:w="698" w:type="pct"/>
                  <w:noWrap w:val="0"/>
                  <w:vAlign w:val="center"/>
                </w:tcPr>
                <w:p w14:paraId="457888BF">
                  <w:pPr>
                    <w:pStyle w:val="52"/>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cs="Times New Roman"/>
                      <w:b/>
                      <w:bCs/>
                      <w:color w:val="auto"/>
                      <w:spacing w:val="-2"/>
                      <w:sz w:val="21"/>
                      <w:szCs w:val="21"/>
                      <w:highlight w:val="none"/>
                      <w:u w:val="none" w:color="auto"/>
                      <w:vertAlign w:val="baseline"/>
                      <w:lang w:val="en-US" w:eastAsia="zh-CN"/>
                    </w:rPr>
                  </w:pPr>
                  <w:r>
                    <w:rPr>
                      <w:rFonts w:hint="default" w:ascii="Times New Roman" w:hAnsi="Times New Roman" w:cs="Times New Roman"/>
                      <w:b/>
                      <w:bCs/>
                      <w:color w:val="auto"/>
                      <w:spacing w:val="-2"/>
                      <w:sz w:val="21"/>
                      <w:szCs w:val="21"/>
                      <w:highlight w:val="none"/>
                      <w:u w:val="none" w:color="auto"/>
                      <w:vertAlign w:val="baseline"/>
                      <w:lang w:val="en-US" w:eastAsia="zh-CN"/>
                    </w:rPr>
                    <w:t>罩口至污染源的距离（m）</w:t>
                  </w:r>
                </w:p>
              </w:tc>
              <w:tc>
                <w:tcPr>
                  <w:tcW w:w="624" w:type="pct"/>
                  <w:noWrap w:val="0"/>
                  <w:vAlign w:val="center"/>
                </w:tcPr>
                <w:p w14:paraId="7E238F47">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bCs/>
                      <w:color w:val="auto"/>
                      <w:spacing w:val="-2"/>
                      <w:sz w:val="21"/>
                      <w:szCs w:val="21"/>
                      <w:highlight w:val="none"/>
                      <w:u w:val="none" w:color="auto"/>
                      <w:vertAlign w:val="baseline"/>
                      <w:lang w:val="en-US" w:eastAsia="zh-CN"/>
                    </w:rPr>
                  </w:pPr>
                  <w:r>
                    <w:rPr>
                      <w:rFonts w:hint="default" w:ascii="Times New Roman" w:hAnsi="Times New Roman" w:cs="Times New Roman"/>
                      <w:b/>
                      <w:bCs/>
                      <w:color w:val="auto"/>
                      <w:spacing w:val="-2"/>
                      <w:sz w:val="21"/>
                      <w:szCs w:val="21"/>
                      <w:highlight w:val="none"/>
                      <w:u w:val="none" w:color="auto"/>
                      <w:lang w:val="en-US" w:eastAsia="zh-CN"/>
                    </w:rPr>
                    <w:t>控制风速（m/s）</w:t>
                  </w:r>
                </w:p>
              </w:tc>
              <w:tc>
                <w:tcPr>
                  <w:tcW w:w="691" w:type="pct"/>
                  <w:noWrap w:val="0"/>
                  <w:vAlign w:val="center"/>
                </w:tcPr>
                <w:p w14:paraId="6E4EAD22">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bCs/>
                      <w:color w:val="auto"/>
                      <w:spacing w:val="-2"/>
                      <w:sz w:val="21"/>
                      <w:szCs w:val="21"/>
                      <w:highlight w:val="none"/>
                      <w:u w:val="none" w:color="auto"/>
                      <w:vertAlign w:val="baseline"/>
                      <w:lang w:val="en-US" w:eastAsia="zh-CN"/>
                    </w:rPr>
                  </w:pPr>
                  <w:r>
                    <w:rPr>
                      <w:rFonts w:hint="default" w:ascii="Times New Roman" w:hAnsi="Times New Roman" w:cs="Times New Roman"/>
                      <w:b/>
                      <w:bCs/>
                      <w:color w:val="auto"/>
                      <w:spacing w:val="-2"/>
                      <w:sz w:val="21"/>
                      <w:szCs w:val="21"/>
                      <w:highlight w:val="none"/>
                      <w:u w:val="none" w:color="auto"/>
                      <w:vertAlign w:val="baseline"/>
                      <w:lang w:val="en-US" w:eastAsia="zh-CN"/>
                    </w:rPr>
                    <w:t>单个风量（</w:t>
                  </w:r>
                  <w:r>
                    <w:rPr>
                      <w:rFonts w:hint="default" w:ascii="Times New Roman" w:hAnsi="Times New Roman" w:cs="Times New Roman"/>
                      <w:b/>
                      <w:bCs/>
                      <w:color w:val="auto"/>
                      <w:spacing w:val="-2"/>
                      <w:sz w:val="21"/>
                      <w:szCs w:val="21"/>
                      <w:highlight w:val="none"/>
                      <w:u w:val="none" w:color="auto"/>
                      <w:lang w:val="en-US" w:eastAsia="zh-CN"/>
                    </w:rPr>
                    <w:t>m</w:t>
                  </w:r>
                  <w:r>
                    <w:rPr>
                      <w:rFonts w:hint="default" w:ascii="Times New Roman" w:hAnsi="Times New Roman" w:cs="Times New Roman"/>
                      <w:b/>
                      <w:bCs/>
                      <w:color w:val="auto"/>
                      <w:spacing w:val="-2"/>
                      <w:sz w:val="21"/>
                      <w:szCs w:val="21"/>
                      <w:highlight w:val="none"/>
                      <w:u w:val="none" w:color="auto"/>
                      <w:vertAlign w:val="superscript"/>
                      <w:lang w:val="en-US" w:eastAsia="zh-CN"/>
                    </w:rPr>
                    <w:t>3</w:t>
                  </w:r>
                  <w:r>
                    <w:rPr>
                      <w:rFonts w:hint="default" w:ascii="Times New Roman" w:hAnsi="Times New Roman" w:cs="Times New Roman"/>
                      <w:b/>
                      <w:bCs/>
                      <w:color w:val="auto"/>
                      <w:spacing w:val="-2"/>
                      <w:sz w:val="21"/>
                      <w:szCs w:val="21"/>
                      <w:highlight w:val="none"/>
                      <w:u w:val="none" w:color="auto"/>
                      <w:lang w:val="en-US" w:eastAsia="zh-CN"/>
                    </w:rPr>
                    <w:t>/h</w:t>
                  </w:r>
                  <w:r>
                    <w:rPr>
                      <w:rFonts w:hint="default" w:ascii="Times New Roman" w:hAnsi="Times New Roman" w:cs="Times New Roman"/>
                      <w:b/>
                      <w:bCs/>
                      <w:color w:val="auto"/>
                      <w:spacing w:val="-2"/>
                      <w:sz w:val="21"/>
                      <w:szCs w:val="21"/>
                      <w:highlight w:val="none"/>
                      <w:u w:val="none" w:color="auto"/>
                      <w:vertAlign w:val="baseline"/>
                      <w:lang w:val="en-US" w:eastAsia="zh-CN"/>
                    </w:rPr>
                    <w:t>）</w:t>
                  </w:r>
                </w:p>
              </w:tc>
              <w:tc>
                <w:tcPr>
                  <w:tcW w:w="691" w:type="pct"/>
                  <w:noWrap w:val="0"/>
                  <w:vAlign w:val="center"/>
                </w:tcPr>
                <w:p w14:paraId="34E0657D">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bCs/>
                      <w:color w:val="auto"/>
                      <w:spacing w:val="-2"/>
                      <w:sz w:val="21"/>
                      <w:szCs w:val="21"/>
                      <w:highlight w:val="none"/>
                      <w:u w:val="none" w:color="auto"/>
                      <w:vertAlign w:val="baseline"/>
                      <w:lang w:val="en-US" w:eastAsia="zh-CN"/>
                    </w:rPr>
                  </w:pPr>
                  <w:r>
                    <w:rPr>
                      <w:rFonts w:hint="default" w:ascii="Times New Roman" w:hAnsi="Times New Roman" w:cs="Times New Roman"/>
                      <w:b/>
                      <w:bCs/>
                      <w:color w:val="auto"/>
                      <w:spacing w:val="-2"/>
                      <w:sz w:val="21"/>
                      <w:szCs w:val="21"/>
                      <w:highlight w:val="none"/>
                      <w:u w:val="none" w:color="auto"/>
                      <w:vertAlign w:val="baseline"/>
                      <w:lang w:val="en-US" w:eastAsia="zh-CN"/>
                    </w:rPr>
                    <w:t>总风量（</w:t>
                  </w:r>
                  <w:r>
                    <w:rPr>
                      <w:rFonts w:hint="default" w:ascii="Times New Roman" w:hAnsi="Times New Roman" w:cs="Times New Roman"/>
                      <w:b/>
                      <w:bCs/>
                      <w:color w:val="auto"/>
                      <w:spacing w:val="-2"/>
                      <w:sz w:val="21"/>
                      <w:szCs w:val="21"/>
                      <w:highlight w:val="none"/>
                      <w:u w:val="none" w:color="auto"/>
                      <w:lang w:val="en-US" w:eastAsia="zh-CN"/>
                    </w:rPr>
                    <w:t>m</w:t>
                  </w:r>
                  <w:r>
                    <w:rPr>
                      <w:rFonts w:hint="default" w:ascii="Times New Roman" w:hAnsi="Times New Roman" w:cs="Times New Roman"/>
                      <w:b/>
                      <w:bCs/>
                      <w:color w:val="auto"/>
                      <w:spacing w:val="-2"/>
                      <w:sz w:val="21"/>
                      <w:szCs w:val="21"/>
                      <w:highlight w:val="none"/>
                      <w:u w:val="none" w:color="auto"/>
                      <w:vertAlign w:val="superscript"/>
                      <w:lang w:val="en-US" w:eastAsia="zh-CN"/>
                    </w:rPr>
                    <w:t>3</w:t>
                  </w:r>
                  <w:r>
                    <w:rPr>
                      <w:rFonts w:hint="default" w:ascii="Times New Roman" w:hAnsi="Times New Roman" w:cs="Times New Roman"/>
                      <w:b/>
                      <w:bCs/>
                      <w:color w:val="auto"/>
                      <w:spacing w:val="-2"/>
                      <w:sz w:val="21"/>
                      <w:szCs w:val="21"/>
                      <w:highlight w:val="none"/>
                      <w:u w:val="none" w:color="auto"/>
                      <w:lang w:val="en-US" w:eastAsia="zh-CN"/>
                    </w:rPr>
                    <w:t>/h</w:t>
                  </w:r>
                  <w:r>
                    <w:rPr>
                      <w:rFonts w:hint="default" w:ascii="Times New Roman" w:hAnsi="Times New Roman" w:cs="Times New Roman"/>
                      <w:b/>
                      <w:bCs/>
                      <w:color w:val="auto"/>
                      <w:spacing w:val="-2"/>
                      <w:sz w:val="21"/>
                      <w:szCs w:val="21"/>
                      <w:highlight w:val="none"/>
                      <w:u w:val="none" w:color="auto"/>
                      <w:vertAlign w:val="baseline"/>
                      <w:lang w:val="en-US" w:eastAsia="zh-CN"/>
                    </w:rPr>
                    <w:t>）</w:t>
                  </w:r>
                </w:p>
              </w:tc>
            </w:tr>
            <w:tr w14:paraId="450C3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26" w:type="pct"/>
                  <w:noWrap w:val="0"/>
                  <w:vAlign w:val="center"/>
                </w:tcPr>
                <w:p w14:paraId="5C66A6C0">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bCs w:val="0"/>
                      <w:color w:val="auto"/>
                      <w:spacing w:val="-2"/>
                      <w:sz w:val="21"/>
                      <w:szCs w:val="21"/>
                      <w:highlight w:val="none"/>
                      <w:u w:val="none" w:color="auto"/>
                      <w:vertAlign w:val="baseline"/>
                      <w:lang w:val="en-US" w:eastAsia="zh-CN"/>
                    </w:rPr>
                  </w:pPr>
                  <w:r>
                    <w:rPr>
                      <w:rFonts w:hint="default" w:ascii="Times New Roman" w:hAnsi="Times New Roman" w:cs="Times New Roman"/>
                      <w:b w:val="0"/>
                      <w:bCs w:val="0"/>
                      <w:color w:val="auto"/>
                      <w:spacing w:val="-2"/>
                      <w:sz w:val="21"/>
                      <w:szCs w:val="21"/>
                      <w:highlight w:val="none"/>
                      <w:u w:val="none" w:color="auto"/>
                      <w:vertAlign w:val="baseline"/>
                      <w:lang w:val="en-US" w:eastAsia="zh-CN"/>
                    </w:rPr>
                    <w:t>吸风罩</w:t>
                  </w:r>
                </w:p>
              </w:tc>
              <w:tc>
                <w:tcPr>
                  <w:tcW w:w="688" w:type="pct"/>
                  <w:noWrap w:val="0"/>
                  <w:vAlign w:val="center"/>
                </w:tcPr>
                <w:p w14:paraId="7784ACEE">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bCs w:val="0"/>
                      <w:color w:val="auto"/>
                      <w:spacing w:val="-2"/>
                      <w:sz w:val="21"/>
                      <w:szCs w:val="21"/>
                      <w:highlight w:val="none"/>
                      <w:u w:val="none" w:color="auto"/>
                      <w:vertAlign w:val="baseline"/>
                      <w:lang w:val="en-US" w:eastAsia="zh-CN"/>
                    </w:rPr>
                  </w:pPr>
                  <w:r>
                    <w:rPr>
                      <w:rFonts w:hint="default" w:ascii="Times New Roman" w:hAnsi="Times New Roman" w:eastAsia="宋体" w:cs="Times New Roman"/>
                      <w:b w:val="0"/>
                      <w:bCs w:val="0"/>
                      <w:color w:val="auto"/>
                      <w:sz w:val="21"/>
                      <w:szCs w:val="21"/>
                      <w:highlight w:val="none"/>
                      <w:u w:val="none" w:color="auto"/>
                    </w:rPr>
                    <w:t>Ф</w:t>
                  </w:r>
                  <w:r>
                    <w:rPr>
                      <w:rFonts w:hint="default" w:ascii="Times New Roman" w:hAnsi="Times New Roman" w:eastAsia="宋体" w:cs="Times New Roman"/>
                      <w:b w:val="0"/>
                      <w:bCs w:val="0"/>
                      <w:color w:val="auto"/>
                      <w:sz w:val="21"/>
                      <w:szCs w:val="21"/>
                      <w:highlight w:val="none"/>
                      <w:u w:val="none" w:color="auto"/>
                      <w:lang w:val="en-US" w:eastAsia="zh-CN"/>
                    </w:rPr>
                    <w:t>2</w:t>
                  </w:r>
                  <w:r>
                    <w:rPr>
                      <w:rFonts w:hint="default" w:ascii="Times New Roman" w:hAnsi="Times New Roman" w:eastAsia="宋体" w:cs="Times New Roman"/>
                      <w:b w:val="0"/>
                      <w:bCs w:val="0"/>
                      <w:color w:val="auto"/>
                      <w:sz w:val="21"/>
                      <w:szCs w:val="21"/>
                      <w:highlight w:val="none"/>
                      <w:u w:val="none" w:color="auto"/>
                    </w:rPr>
                    <w:t>00mm</w:t>
                  </w:r>
                </w:p>
              </w:tc>
              <w:tc>
                <w:tcPr>
                  <w:tcW w:w="366" w:type="pct"/>
                  <w:noWrap w:val="0"/>
                  <w:vAlign w:val="center"/>
                </w:tcPr>
                <w:p w14:paraId="50C45DA7">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bCs w:val="0"/>
                      <w:color w:val="auto"/>
                      <w:spacing w:val="-2"/>
                      <w:sz w:val="21"/>
                      <w:szCs w:val="21"/>
                      <w:highlight w:val="none"/>
                      <w:u w:val="none" w:color="auto"/>
                      <w:vertAlign w:val="baseline"/>
                      <w:lang w:val="en-US" w:eastAsia="zh-CN"/>
                    </w:rPr>
                  </w:pPr>
                  <w:r>
                    <w:rPr>
                      <w:rFonts w:hint="default" w:ascii="Times New Roman" w:hAnsi="Times New Roman" w:cs="Times New Roman"/>
                      <w:b w:val="0"/>
                      <w:bCs w:val="0"/>
                      <w:color w:val="auto"/>
                      <w:spacing w:val="-2"/>
                      <w:sz w:val="21"/>
                      <w:szCs w:val="21"/>
                      <w:highlight w:val="none"/>
                      <w:u w:val="none" w:color="auto"/>
                      <w:vertAlign w:val="baseline"/>
                      <w:lang w:val="en-US" w:eastAsia="zh-CN"/>
                    </w:rPr>
                    <w:t>1</w:t>
                  </w:r>
                  <w:r>
                    <w:rPr>
                      <w:rFonts w:hint="eastAsia" w:ascii="Times New Roman" w:hAnsi="Times New Roman" w:cs="Times New Roman"/>
                      <w:b w:val="0"/>
                      <w:bCs w:val="0"/>
                      <w:color w:val="auto"/>
                      <w:spacing w:val="-2"/>
                      <w:sz w:val="21"/>
                      <w:szCs w:val="21"/>
                      <w:highlight w:val="none"/>
                      <w:u w:val="none" w:color="auto"/>
                      <w:vertAlign w:val="baseline"/>
                      <w:lang w:val="en-US" w:eastAsia="zh-CN"/>
                    </w:rPr>
                    <w:t>25</w:t>
                  </w:r>
                </w:p>
              </w:tc>
              <w:tc>
                <w:tcPr>
                  <w:tcW w:w="710" w:type="pct"/>
                  <w:noWrap w:val="0"/>
                  <w:vAlign w:val="center"/>
                </w:tcPr>
                <w:p w14:paraId="5733C422">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bCs w:val="0"/>
                      <w:color w:val="auto"/>
                      <w:spacing w:val="-2"/>
                      <w:sz w:val="21"/>
                      <w:szCs w:val="21"/>
                      <w:highlight w:val="none"/>
                      <w:u w:val="none" w:color="auto"/>
                      <w:vertAlign w:val="baseline"/>
                      <w:lang w:val="en-US" w:eastAsia="zh-CN"/>
                    </w:rPr>
                  </w:pPr>
                  <w:r>
                    <w:rPr>
                      <w:rFonts w:hint="default" w:ascii="Times New Roman" w:hAnsi="Times New Roman" w:cs="Times New Roman"/>
                      <w:b w:val="0"/>
                      <w:bCs w:val="0"/>
                      <w:color w:val="auto"/>
                      <w:spacing w:val="-2"/>
                      <w:sz w:val="21"/>
                      <w:szCs w:val="21"/>
                      <w:highlight w:val="none"/>
                      <w:u w:val="none" w:color="auto"/>
                      <w:vertAlign w:val="baseline"/>
                      <w:lang w:val="en-US" w:eastAsia="zh-CN"/>
                    </w:rPr>
                    <w:t>0.0314</w:t>
                  </w:r>
                </w:p>
              </w:tc>
              <w:tc>
                <w:tcPr>
                  <w:tcW w:w="698" w:type="pct"/>
                  <w:noWrap w:val="0"/>
                  <w:vAlign w:val="center"/>
                </w:tcPr>
                <w:p w14:paraId="347E6802">
                  <w:pPr>
                    <w:pStyle w:val="52"/>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cs="Times New Roman"/>
                      <w:b w:val="0"/>
                      <w:bCs w:val="0"/>
                      <w:color w:val="auto"/>
                      <w:spacing w:val="-2"/>
                      <w:sz w:val="21"/>
                      <w:szCs w:val="21"/>
                      <w:highlight w:val="none"/>
                      <w:u w:val="none" w:color="auto"/>
                      <w:vertAlign w:val="baseline"/>
                      <w:lang w:val="en-US" w:eastAsia="zh-CN"/>
                    </w:rPr>
                  </w:pPr>
                  <w:r>
                    <w:rPr>
                      <w:rFonts w:hint="default" w:ascii="Times New Roman" w:hAnsi="Times New Roman" w:cs="Times New Roman"/>
                      <w:b w:val="0"/>
                      <w:bCs w:val="0"/>
                      <w:color w:val="auto"/>
                      <w:spacing w:val="-2"/>
                      <w:sz w:val="21"/>
                      <w:szCs w:val="21"/>
                      <w:highlight w:val="none"/>
                      <w:u w:val="none" w:color="auto"/>
                      <w:vertAlign w:val="baseline"/>
                      <w:lang w:val="en-US" w:eastAsia="zh-CN"/>
                    </w:rPr>
                    <w:t>0.15</w:t>
                  </w:r>
                </w:p>
              </w:tc>
              <w:tc>
                <w:tcPr>
                  <w:tcW w:w="624" w:type="pct"/>
                  <w:noWrap w:val="0"/>
                  <w:vAlign w:val="center"/>
                </w:tcPr>
                <w:p w14:paraId="33AF40A2">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bCs w:val="0"/>
                      <w:color w:val="auto"/>
                      <w:spacing w:val="-2"/>
                      <w:sz w:val="21"/>
                      <w:szCs w:val="21"/>
                      <w:highlight w:val="none"/>
                      <w:u w:val="none" w:color="auto"/>
                      <w:vertAlign w:val="baseline"/>
                      <w:lang w:val="en-US" w:eastAsia="zh-CN"/>
                    </w:rPr>
                  </w:pPr>
                  <w:r>
                    <w:rPr>
                      <w:rFonts w:hint="default" w:ascii="Times New Roman" w:hAnsi="Times New Roman" w:cs="Times New Roman"/>
                      <w:b w:val="0"/>
                      <w:bCs w:val="0"/>
                      <w:color w:val="auto"/>
                      <w:spacing w:val="-2"/>
                      <w:sz w:val="21"/>
                      <w:szCs w:val="21"/>
                      <w:highlight w:val="none"/>
                      <w:u w:val="none" w:color="auto"/>
                      <w:vertAlign w:val="baseline"/>
                      <w:lang w:val="en-US" w:eastAsia="zh-CN"/>
                    </w:rPr>
                    <w:t>0.38</w:t>
                  </w:r>
                </w:p>
              </w:tc>
              <w:tc>
                <w:tcPr>
                  <w:tcW w:w="691" w:type="pct"/>
                  <w:noWrap w:val="0"/>
                  <w:vAlign w:val="center"/>
                </w:tcPr>
                <w:p w14:paraId="643AA1E4">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bCs w:val="0"/>
                      <w:color w:val="auto"/>
                      <w:spacing w:val="-2"/>
                      <w:sz w:val="21"/>
                      <w:szCs w:val="21"/>
                      <w:highlight w:val="none"/>
                      <w:u w:val="none" w:color="auto"/>
                      <w:vertAlign w:val="baseline"/>
                      <w:lang w:val="en-US" w:eastAsia="zh-CN"/>
                    </w:rPr>
                  </w:pPr>
                  <w:r>
                    <w:rPr>
                      <w:rFonts w:hint="default" w:ascii="Times New Roman" w:hAnsi="Times New Roman" w:cs="Times New Roman"/>
                      <w:b w:val="0"/>
                      <w:bCs w:val="0"/>
                      <w:color w:val="auto"/>
                      <w:spacing w:val="-2"/>
                      <w:sz w:val="21"/>
                      <w:szCs w:val="21"/>
                      <w:highlight w:val="none"/>
                      <w:u w:val="none" w:color="auto"/>
                      <w:vertAlign w:val="baseline"/>
                      <w:lang w:val="en-US" w:eastAsia="zh-CN"/>
                    </w:rPr>
                    <w:t>263</w:t>
                  </w:r>
                </w:p>
              </w:tc>
              <w:tc>
                <w:tcPr>
                  <w:tcW w:w="691" w:type="pct"/>
                  <w:noWrap w:val="0"/>
                  <w:vAlign w:val="center"/>
                </w:tcPr>
                <w:p w14:paraId="413D1747">
                  <w:pPr>
                    <w:pStyle w:val="52"/>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b w:val="0"/>
                      <w:bCs w:val="0"/>
                      <w:color w:val="auto"/>
                      <w:spacing w:val="-2"/>
                      <w:sz w:val="21"/>
                      <w:szCs w:val="21"/>
                      <w:highlight w:val="none"/>
                      <w:u w:val="none" w:color="auto"/>
                      <w:vertAlign w:val="baseline"/>
                      <w:lang w:val="en-US" w:eastAsia="zh-CN"/>
                    </w:rPr>
                  </w:pPr>
                  <w:r>
                    <w:rPr>
                      <w:rFonts w:hint="eastAsia" w:ascii="Times New Roman" w:hAnsi="Times New Roman" w:cs="Times New Roman"/>
                      <w:b w:val="0"/>
                      <w:bCs w:val="0"/>
                      <w:color w:val="auto"/>
                      <w:spacing w:val="-2"/>
                      <w:sz w:val="21"/>
                      <w:szCs w:val="21"/>
                      <w:highlight w:val="none"/>
                      <w:u w:val="none" w:color="auto"/>
                      <w:vertAlign w:val="baseline"/>
                      <w:lang w:val="en-US" w:eastAsia="zh-CN"/>
                    </w:rPr>
                    <w:t>32875</w:t>
                  </w:r>
                </w:p>
              </w:tc>
            </w:tr>
          </w:tbl>
          <w:p w14:paraId="2B798261">
            <w:pPr>
              <w:keepNext w:val="0"/>
              <w:keepLines w:val="0"/>
              <w:pageBreakBefore w:val="0"/>
              <w:widowControl w:val="0"/>
              <w:kinsoku/>
              <w:wordWrap/>
              <w:overflowPunct/>
              <w:topLinePunct w:val="0"/>
              <w:autoSpaceDE/>
              <w:autoSpaceDN/>
              <w:bidi w:val="0"/>
              <w:adjustRightInd/>
              <w:snapToGrid/>
              <w:spacing w:line="360" w:lineRule="auto"/>
              <w:ind w:firstLine="472" w:firstLineChars="200"/>
              <w:textAlignment w:val="auto"/>
              <w:rPr>
                <w:rFonts w:hint="default" w:ascii="Times New Roman" w:hAnsi="Times New Roman" w:eastAsia="宋体" w:cs="Times New Roman"/>
                <w:color w:val="auto"/>
                <w:sz w:val="24"/>
                <w:szCs w:val="28"/>
                <w:highlight w:val="none"/>
                <w:u w:val="none" w:color="auto"/>
                <w:lang w:eastAsia="zh-CN"/>
              </w:rPr>
            </w:pPr>
            <w:r>
              <w:rPr>
                <w:rFonts w:hint="default" w:ascii="Times New Roman" w:hAnsi="Times New Roman" w:eastAsia="宋体" w:cs="Times New Roman"/>
                <w:b w:val="0"/>
                <w:bCs w:val="0"/>
                <w:color w:val="auto"/>
                <w:spacing w:val="-2"/>
                <w:sz w:val="24"/>
                <w:szCs w:val="24"/>
                <w:highlight w:val="none"/>
                <w:u w:val="none" w:color="auto"/>
                <w:lang w:val="en-US" w:eastAsia="zh-CN"/>
              </w:rPr>
              <w:t>②</w:t>
            </w:r>
            <w:r>
              <w:rPr>
                <w:rFonts w:hint="default" w:ascii="Times New Roman" w:hAnsi="Times New Roman" w:eastAsia="宋体" w:cs="Times New Roman"/>
                <w:color w:val="auto"/>
                <w:sz w:val="24"/>
                <w:szCs w:val="28"/>
                <w:highlight w:val="none"/>
                <w:u w:val="none" w:color="auto"/>
                <w:lang w:eastAsia="zh-CN"/>
              </w:rPr>
              <w:t>通风橱排风量计算</w:t>
            </w:r>
          </w:p>
          <w:p w14:paraId="060F607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8"/>
                <w:highlight w:val="none"/>
                <w:u w:val="none" w:color="auto"/>
                <w:lang w:eastAsia="zh-CN"/>
              </w:rPr>
            </w:pPr>
            <w:r>
              <w:rPr>
                <w:rFonts w:hint="default" w:ascii="Times New Roman" w:hAnsi="Times New Roman" w:eastAsia="宋体" w:cs="Times New Roman"/>
                <w:color w:val="auto"/>
                <w:sz w:val="24"/>
                <w:szCs w:val="28"/>
                <w:highlight w:val="none"/>
                <w:u w:val="none" w:color="auto"/>
                <w:lang w:eastAsia="zh-CN"/>
              </w:rPr>
              <w:t>根据《三废处理工程技术手册 废气卷》中“表17-8各种排气罩排气量计算公式表”，拟建项目通风橱排风量按下述公式进行计算：</w:t>
            </w:r>
          </w:p>
          <w:p w14:paraId="3BAFEF3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eastAsia="宋体" w:cs="Times New Roman"/>
                <w:color w:val="auto"/>
                <w:sz w:val="24"/>
                <w:szCs w:val="28"/>
                <w:highlight w:val="none"/>
                <w:u w:val="none" w:color="auto"/>
                <w:lang w:eastAsia="zh-CN"/>
              </w:rPr>
            </w:pPr>
            <w:r>
              <w:rPr>
                <w:rFonts w:hint="default" w:ascii="Times New Roman" w:hAnsi="Times New Roman" w:eastAsia="宋体" w:cs="Times New Roman"/>
                <w:color w:val="auto"/>
                <w:sz w:val="24"/>
                <w:szCs w:val="28"/>
                <w:highlight w:val="none"/>
                <w:u w:val="none" w:color="auto"/>
                <w:lang w:val="en-US" w:eastAsia="zh-CN"/>
              </w:rPr>
              <w:t>Q</w:t>
            </w:r>
            <w:r>
              <w:rPr>
                <w:rFonts w:hint="default" w:ascii="Times New Roman" w:hAnsi="Times New Roman" w:eastAsia="宋体" w:cs="Times New Roman"/>
                <w:color w:val="auto"/>
                <w:sz w:val="24"/>
                <w:szCs w:val="28"/>
                <w:highlight w:val="none"/>
                <w:u w:val="none" w:color="auto"/>
                <w:lang w:eastAsia="zh-CN"/>
              </w:rPr>
              <w:t>=Fv</w:t>
            </w:r>
          </w:p>
          <w:p w14:paraId="6AE5CEC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8"/>
                <w:highlight w:val="none"/>
                <w:u w:val="none" w:color="auto"/>
                <w:lang w:eastAsia="zh-CN"/>
              </w:rPr>
            </w:pPr>
            <w:r>
              <w:rPr>
                <w:rFonts w:hint="default" w:ascii="Times New Roman" w:hAnsi="Times New Roman" w:eastAsia="宋体" w:cs="Times New Roman"/>
                <w:color w:val="auto"/>
                <w:sz w:val="24"/>
                <w:szCs w:val="28"/>
                <w:highlight w:val="none"/>
                <w:u w:val="none" w:color="auto"/>
                <w:lang w:eastAsia="zh-CN"/>
              </w:rPr>
              <w:t>式中：Q—排气量，m</w:t>
            </w:r>
            <w:r>
              <w:rPr>
                <w:rFonts w:hint="default" w:ascii="Times New Roman" w:hAnsi="Times New Roman" w:eastAsia="宋体" w:cs="Times New Roman"/>
                <w:color w:val="auto"/>
                <w:sz w:val="24"/>
                <w:szCs w:val="28"/>
                <w:highlight w:val="none"/>
                <w:u w:val="none" w:color="auto"/>
                <w:vertAlign w:val="superscript"/>
                <w:lang w:val="en-US" w:eastAsia="zh-CN"/>
              </w:rPr>
              <w:t>3</w:t>
            </w:r>
            <w:r>
              <w:rPr>
                <w:rFonts w:hint="default" w:ascii="Times New Roman" w:hAnsi="Times New Roman" w:eastAsia="宋体" w:cs="Times New Roman"/>
                <w:color w:val="auto"/>
                <w:sz w:val="24"/>
                <w:szCs w:val="28"/>
                <w:highlight w:val="none"/>
                <w:u w:val="none" w:color="auto"/>
                <w:lang w:eastAsia="zh-CN"/>
              </w:rPr>
              <w:t>/s</w:t>
            </w:r>
            <w:r>
              <w:rPr>
                <w:rFonts w:hint="default" w:ascii="Times New Roman" w:hAnsi="Times New Roman" w:eastAsia="宋体" w:cs="Times New Roman"/>
                <w:color w:val="auto"/>
                <w:sz w:val="24"/>
                <w:szCs w:val="28"/>
                <w:highlight w:val="none"/>
                <w:u w:val="none" w:color="auto"/>
                <w:lang w:val="en-US" w:eastAsia="zh-CN"/>
              </w:rPr>
              <w:t>；</w:t>
            </w:r>
          </w:p>
          <w:p w14:paraId="2CAF35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8"/>
                <w:highlight w:val="none"/>
                <w:u w:val="none" w:color="auto"/>
                <w:lang w:eastAsia="zh-CN"/>
              </w:rPr>
            </w:pPr>
            <w:r>
              <w:rPr>
                <w:rFonts w:hint="default" w:ascii="Times New Roman" w:hAnsi="Times New Roman" w:eastAsia="宋体" w:cs="Times New Roman"/>
                <w:color w:val="auto"/>
                <w:sz w:val="24"/>
                <w:szCs w:val="28"/>
                <w:highlight w:val="none"/>
                <w:u w:val="none" w:color="auto"/>
                <w:lang w:eastAsia="zh-CN"/>
              </w:rPr>
              <w:t>F—操作口面积，m</w:t>
            </w:r>
            <w:r>
              <w:rPr>
                <w:rFonts w:hint="default" w:ascii="Times New Roman" w:hAnsi="Times New Roman" w:eastAsia="宋体" w:cs="Times New Roman"/>
                <w:color w:val="auto"/>
                <w:sz w:val="24"/>
                <w:szCs w:val="28"/>
                <w:highlight w:val="none"/>
                <w:u w:val="none" w:color="auto"/>
                <w:vertAlign w:val="superscript"/>
                <w:lang w:val="en-US" w:eastAsia="zh-CN"/>
              </w:rPr>
              <w:t>2</w:t>
            </w:r>
            <w:r>
              <w:rPr>
                <w:rFonts w:hint="default" w:ascii="Times New Roman" w:hAnsi="Times New Roman" w:eastAsia="宋体" w:cs="Times New Roman"/>
                <w:color w:val="auto"/>
                <w:sz w:val="24"/>
                <w:szCs w:val="28"/>
                <w:highlight w:val="none"/>
                <w:u w:val="none" w:color="auto"/>
                <w:lang w:eastAsia="zh-CN"/>
              </w:rPr>
              <w:t>；</w:t>
            </w:r>
          </w:p>
          <w:p w14:paraId="494F00B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8"/>
                <w:highlight w:val="none"/>
                <w:u w:val="none" w:color="auto"/>
                <w:lang w:eastAsia="zh-CN"/>
              </w:rPr>
            </w:pPr>
            <w:r>
              <w:rPr>
                <w:rFonts w:hint="default" w:ascii="Times New Roman" w:hAnsi="Times New Roman" w:eastAsia="宋体" w:cs="Times New Roman"/>
                <w:color w:val="auto"/>
                <w:sz w:val="24"/>
                <w:szCs w:val="28"/>
                <w:highlight w:val="none"/>
                <w:u w:val="none" w:color="auto"/>
                <w:lang w:val="en-US" w:eastAsia="zh-CN"/>
              </w:rPr>
              <w:t>v</w:t>
            </w:r>
            <w:r>
              <w:rPr>
                <w:rFonts w:hint="default" w:ascii="Times New Roman" w:hAnsi="Times New Roman" w:eastAsia="宋体" w:cs="Times New Roman"/>
                <w:color w:val="auto"/>
                <w:sz w:val="24"/>
                <w:szCs w:val="28"/>
                <w:highlight w:val="none"/>
                <w:u w:val="none" w:color="auto"/>
                <w:lang w:eastAsia="zh-CN"/>
              </w:rPr>
              <w:t>—操作口平均速度，0.5~1.5m/s。</w:t>
            </w:r>
          </w:p>
          <w:p w14:paraId="09D9598B">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kern w:val="2"/>
                <w:sz w:val="21"/>
                <w:szCs w:val="21"/>
                <w:highlight w:val="none"/>
                <w:lang w:val="en-US" w:eastAsia="zh-CN" w:bidi="ar"/>
              </w:rPr>
              <w:t>表</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STYLEREF 1 \s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4</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default" w:ascii="Times New Roman" w:hAnsi="Times New Roman" w:eastAsia="宋体" w:cs="Times New Roman"/>
                <w:b/>
                <w:bCs/>
                <w:color w:val="auto"/>
                <w:kern w:val="2"/>
                <w:sz w:val="21"/>
                <w:szCs w:val="21"/>
                <w:highlight w:val="none"/>
                <w:lang w:val="en-US" w:eastAsia="zh-CN" w:bidi="ar"/>
              </w:rPr>
              <w:t>-</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SEQ 表 \* ARABIC \s 1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6</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eastAsia" w:ascii="Times New Roman" w:hAnsi="Times New Roman" w:eastAsia="宋体" w:cs="Times New Roman"/>
                <w:b/>
                <w:bCs/>
                <w:color w:val="auto"/>
                <w:kern w:val="2"/>
                <w:sz w:val="21"/>
                <w:szCs w:val="21"/>
                <w:highlight w:val="none"/>
                <w:lang w:val="en-US" w:eastAsia="zh-CN" w:bidi="ar"/>
              </w:rPr>
              <w:t xml:space="preserve"> </w:t>
            </w:r>
            <w:r>
              <w:rPr>
                <w:rFonts w:hint="default" w:ascii="Times New Roman" w:hAnsi="Times New Roman" w:eastAsia="宋体" w:cs="Times New Roman"/>
                <w:color w:val="auto"/>
                <w:sz w:val="21"/>
                <w:szCs w:val="21"/>
                <w:highlight w:val="none"/>
                <w:lang w:val="en-US" w:eastAsia="zh-CN"/>
              </w:rPr>
              <w:t>本项目通风橱排风量计算一览表</w:t>
            </w:r>
          </w:p>
          <w:tbl>
            <w:tblPr>
              <w:tblStyle w:val="47"/>
              <w:tblW w:w="4994"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022"/>
              <w:gridCol w:w="1882"/>
              <w:gridCol w:w="881"/>
              <w:gridCol w:w="710"/>
              <w:gridCol w:w="864"/>
              <w:gridCol w:w="999"/>
              <w:gridCol w:w="1042"/>
              <w:gridCol w:w="1201"/>
            </w:tblGrid>
            <w:tr w14:paraId="14C69D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jc w:val="center"/>
              </w:trPr>
              <w:tc>
                <w:tcPr>
                  <w:tcW w:w="594" w:type="pct"/>
                  <w:noWrap w:val="0"/>
                  <w:vAlign w:val="center"/>
                </w:tcPr>
                <w:p w14:paraId="4E9FD13A">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auto"/>
                      <w:sz w:val="21"/>
                      <w:szCs w:val="21"/>
                      <w:highlight w:val="none"/>
                      <w:u w:val="none" w:color="auto"/>
                      <w:lang w:eastAsia="zh-CN"/>
                    </w:rPr>
                  </w:pPr>
                  <w:r>
                    <w:rPr>
                      <w:rFonts w:hint="default" w:ascii="Times New Roman" w:hAnsi="Times New Roman" w:eastAsia="宋体" w:cs="Times New Roman"/>
                      <w:b/>
                      <w:bCs/>
                      <w:color w:val="auto"/>
                      <w:sz w:val="21"/>
                      <w:szCs w:val="21"/>
                      <w:highlight w:val="none"/>
                      <w:u w:val="none" w:color="auto"/>
                      <w:lang w:eastAsia="zh-CN"/>
                    </w:rPr>
                    <w:t>收集方式</w:t>
                  </w:r>
                </w:p>
              </w:tc>
              <w:tc>
                <w:tcPr>
                  <w:tcW w:w="1094" w:type="pct"/>
                  <w:noWrap w:val="0"/>
                  <w:vAlign w:val="center"/>
                </w:tcPr>
                <w:p w14:paraId="08303EEA">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auto"/>
                      <w:sz w:val="21"/>
                      <w:szCs w:val="21"/>
                      <w:highlight w:val="none"/>
                      <w:u w:val="none" w:color="auto"/>
                      <w:lang w:eastAsia="zh-CN"/>
                    </w:rPr>
                  </w:pPr>
                  <w:r>
                    <w:rPr>
                      <w:rFonts w:hint="default" w:ascii="Times New Roman" w:hAnsi="Times New Roman" w:eastAsia="宋体" w:cs="Times New Roman"/>
                      <w:b/>
                      <w:bCs/>
                      <w:color w:val="auto"/>
                      <w:sz w:val="21"/>
                      <w:szCs w:val="21"/>
                      <w:highlight w:val="none"/>
                      <w:u w:val="none" w:color="auto"/>
                      <w:lang w:eastAsia="zh-CN"/>
                    </w:rPr>
                    <w:t>规格尺寸</w:t>
                  </w:r>
                </w:p>
              </w:tc>
              <w:tc>
                <w:tcPr>
                  <w:tcW w:w="512" w:type="pct"/>
                  <w:noWrap w:val="0"/>
                  <w:vAlign w:val="center"/>
                </w:tcPr>
                <w:p w14:paraId="24A665AC">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auto"/>
                      <w:sz w:val="21"/>
                      <w:szCs w:val="21"/>
                      <w:highlight w:val="none"/>
                      <w:u w:val="none" w:color="auto"/>
                      <w:lang w:eastAsia="zh-CN"/>
                    </w:rPr>
                  </w:pPr>
                  <w:r>
                    <w:rPr>
                      <w:rFonts w:hint="default" w:ascii="Times New Roman" w:hAnsi="Times New Roman" w:eastAsia="宋体" w:cs="Times New Roman"/>
                      <w:b/>
                      <w:bCs/>
                      <w:color w:val="auto"/>
                      <w:sz w:val="21"/>
                      <w:szCs w:val="21"/>
                      <w:highlight w:val="none"/>
                      <w:u w:val="none" w:color="auto"/>
                      <w:lang w:eastAsia="zh-CN"/>
                    </w:rPr>
                    <w:t>数量</w:t>
                  </w:r>
                </w:p>
              </w:tc>
              <w:tc>
                <w:tcPr>
                  <w:tcW w:w="413" w:type="pct"/>
                  <w:noWrap w:val="0"/>
                  <w:vAlign w:val="center"/>
                </w:tcPr>
                <w:p w14:paraId="5AACDEA1">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eastAsia="宋体" w:cs="Times New Roman"/>
                      <w:b/>
                      <w:bCs/>
                      <w:color w:val="auto"/>
                      <w:sz w:val="21"/>
                      <w:szCs w:val="21"/>
                      <w:highlight w:val="none"/>
                      <w:u w:val="none" w:color="auto"/>
                      <w:lang w:eastAsia="zh-CN"/>
                    </w:rPr>
                    <w:t>操作口</w:t>
                  </w:r>
                  <w:r>
                    <w:rPr>
                      <w:rFonts w:hint="default" w:ascii="Times New Roman" w:hAnsi="Times New Roman" w:eastAsia="宋体" w:cs="Times New Roman"/>
                      <w:b/>
                      <w:bCs/>
                      <w:color w:val="auto"/>
                      <w:sz w:val="21"/>
                      <w:szCs w:val="21"/>
                      <w:highlight w:val="none"/>
                      <w:u w:val="none" w:color="auto"/>
                      <w:lang w:val="en-US" w:eastAsia="zh-CN"/>
                    </w:rPr>
                    <w:t>高度</w:t>
                  </w:r>
                </w:p>
              </w:tc>
              <w:tc>
                <w:tcPr>
                  <w:tcW w:w="502" w:type="pct"/>
                  <w:noWrap w:val="0"/>
                  <w:vAlign w:val="center"/>
                </w:tcPr>
                <w:p w14:paraId="366F6488">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auto"/>
                      <w:sz w:val="21"/>
                      <w:szCs w:val="21"/>
                      <w:highlight w:val="none"/>
                      <w:u w:val="none" w:color="auto"/>
                      <w:lang w:eastAsia="zh-CN"/>
                    </w:rPr>
                  </w:pPr>
                  <w:r>
                    <w:rPr>
                      <w:rFonts w:hint="default" w:ascii="Times New Roman" w:hAnsi="Times New Roman" w:eastAsia="宋体" w:cs="Times New Roman"/>
                      <w:b/>
                      <w:bCs/>
                      <w:color w:val="auto"/>
                      <w:sz w:val="21"/>
                      <w:szCs w:val="21"/>
                      <w:highlight w:val="none"/>
                      <w:u w:val="none" w:color="auto"/>
                      <w:lang w:eastAsia="zh-CN"/>
                    </w:rPr>
                    <w:t>操作口面积</w:t>
                  </w:r>
                </w:p>
              </w:tc>
              <w:tc>
                <w:tcPr>
                  <w:tcW w:w="581" w:type="pct"/>
                  <w:noWrap w:val="0"/>
                  <w:vAlign w:val="center"/>
                </w:tcPr>
                <w:p w14:paraId="629A3BCB">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auto"/>
                      <w:sz w:val="21"/>
                      <w:szCs w:val="21"/>
                      <w:highlight w:val="none"/>
                      <w:u w:val="none" w:color="auto"/>
                      <w:lang w:eastAsia="zh-CN"/>
                    </w:rPr>
                  </w:pPr>
                  <w:r>
                    <w:rPr>
                      <w:rFonts w:hint="default" w:ascii="Times New Roman" w:hAnsi="Times New Roman" w:eastAsia="宋体" w:cs="Times New Roman"/>
                      <w:b/>
                      <w:bCs/>
                      <w:color w:val="auto"/>
                      <w:sz w:val="21"/>
                      <w:szCs w:val="21"/>
                      <w:highlight w:val="none"/>
                      <w:u w:val="none" w:color="auto"/>
                      <w:lang w:eastAsia="zh-CN"/>
                    </w:rPr>
                    <w:t>操作口平均风速</w:t>
                  </w:r>
                </w:p>
              </w:tc>
              <w:tc>
                <w:tcPr>
                  <w:tcW w:w="606" w:type="pct"/>
                  <w:noWrap w:val="0"/>
                  <w:vAlign w:val="center"/>
                </w:tcPr>
                <w:p w14:paraId="307486F7">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eastAsia="宋体" w:cs="Times New Roman"/>
                      <w:b/>
                      <w:bCs/>
                      <w:color w:val="auto"/>
                      <w:sz w:val="21"/>
                      <w:szCs w:val="21"/>
                      <w:highlight w:val="none"/>
                      <w:u w:val="none" w:color="auto"/>
                      <w:lang w:val="en-US" w:eastAsia="zh-CN"/>
                    </w:rPr>
                    <w:t>单个通风橱排气量</w:t>
                  </w:r>
                </w:p>
              </w:tc>
              <w:tc>
                <w:tcPr>
                  <w:tcW w:w="694" w:type="pct"/>
                  <w:noWrap w:val="0"/>
                  <w:vAlign w:val="center"/>
                </w:tcPr>
                <w:p w14:paraId="5B6665FE">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u w:val="none" w:color="auto"/>
                      <w:lang w:val="en-US" w:eastAsia="zh-CN" w:bidi="ar-SA"/>
                    </w:rPr>
                  </w:pPr>
                  <w:r>
                    <w:rPr>
                      <w:rFonts w:hint="default" w:ascii="Times New Roman" w:hAnsi="Times New Roman" w:eastAsia="宋体" w:cs="Times New Roman"/>
                      <w:b/>
                      <w:bCs/>
                      <w:color w:val="auto"/>
                      <w:kern w:val="2"/>
                      <w:sz w:val="21"/>
                      <w:szCs w:val="21"/>
                      <w:highlight w:val="none"/>
                      <w:u w:val="none" w:color="auto"/>
                      <w:lang w:val="en-US" w:eastAsia="zh-CN" w:bidi="ar-SA"/>
                    </w:rPr>
                    <w:t>通风橱总风量</w:t>
                  </w:r>
                </w:p>
              </w:tc>
            </w:tr>
            <w:tr w14:paraId="52F46A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jc w:val="center"/>
              </w:trPr>
              <w:tc>
                <w:tcPr>
                  <w:tcW w:w="594" w:type="pct"/>
                  <w:noWrap w:val="0"/>
                  <w:vAlign w:val="center"/>
                </w:tcPr>
                <w:p w14:paraId="04BCE90F">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highlight w:val="none"/>
                      <w:u w:val="none" w:color="auto"/>
                      <w:lang w:eastAsia="zh-CN"/>
                    </w:rPr>
                  </w:pPr>
                  <w:r>
                    <w:rPr>
                      <w:rFonts w:hint="default" w:ascii="Times New Roman" w:hAnsi="Times New Roman" w:eastAsia="宋体" w:cs="Times New Roman"/>
                      <w:color w:val="auto"/>
                      <w:sz w:val="21"/>
                      <w:szCs w:val="21"/>
                      <w:highlight w:val="none"/>
                      <w:u w:val="none" w:color="auto"/>
                      <w:lang w:eastAsia="zh-CN"/>
                    </w:rPr>
                    <w:t>通风橱</w:t>
                  </w:r>
                </w:p>
              </w:tc>
              <w:tc>
                <w:tcPr>
                  <w:tcW w:w="1094" w:type="pct"/>
                  <w:noWrap w:val="0"/>
                  <w:vAlign w:val="center"/>
                </w:tcPr>
                <w:p w14:paraId="054F7E8C">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b w:val="0"/>
                      <w:bCs w:val="0"/>
                      <w:color w:val="auto"/>
                      <w:spacing w:val="4"/>
                      <w:sz w:val="21"/>
                      <w:szCs w:val="21"/>
                      <w:highlight w:val="none"/>
                      <w:u w:val="none" w:color="auto"/>
                      <w:lang w:val="en-US" w:eastAsia="zh-CN"/>
                    </w:rPr>
                    <w:t>宽</w:t>
                  </w:r>
                  <w:r>
                    <w:rPr>
                      <w:rFonts w:hint="default" w:ascii="Times New Roman" w:hAnsi="Times New Roman" w:eastAsia="宋体" w:cs="Times New Roman"/>
                      <w:b w:val="0"/>
                      <w:bCs w:val="0"/>
                      <w:color w:val="auto"/>
                      <w:spacing w:val="4"/>
                      <w:sz w:val="21"/>
                      <w:szCs w:val="21"/>
                      <w:highlight w:val="none"/>
                      <w:u w:val="none" w:color="auto"/>
                    </w:rPr>
                    <w:t>1.</w:t>
                  </w:r>
                  <w:r>
                    <w:rPr>
                      <w:rFonts w:hint="default" w:ascii="Times New Roman" w:hAnsi="Times New Roman" w:eastAsia="宋体" w:cs="Times New Roman"/>
                      <w:b w:val="0"/>
                      <w:bCs w:val="0"/>
                      <w:color w:val="auto"/>
                      <w:spacing w:val="4"/>
                      <w:sz w:val="21"/>
                      <w:szCs w:val="21"/>
                      <w:highlight w:val="none"/>
                      <w:u w:val="none" w:color="auto"/>
                      <w:lang w:val="en-US" w:eastAsia="zh-CN"/>
                    </w:rPr>
                    <w:t>2</w:t>
                  </w:r>
                  <w:r>
                    <w:rPr>
                      <w:rFonts w:hint="default" w:ascii="Times New Roman" w:hAnsi="Times New Roman" w:eastAsia="宋体" w:cs="Times New Roman"/>
                      <w:b w:val="0"/>
                      <w:bCs w:val="0"/>
                      <w:color w:val="auto"/>
                      <w:spacing w:val="4"/>
                      <w:sz w:val="21"/>
                      <w:szCs w:val="21"/>
                      <w:highlight w:val="none"/>
                      <w:u w:val="none" w:color="auto"/>
                    </w:rPr>
                    <w:t>m×</w:t>
                  </w:r>
                  <w:r>
                    <w:rPr>
                      <w:rFonts w:hint="default" w:ascii="Times New Roman" w:hAnsi="Times New Roman" w:eastAsia="宋体" w:cs="Times New Roman"/>
                      <w:b w:val="0"/>
                      <w:bCs w:val="0"/>
                      <w:color w:val="auto"/>
                      <w:spacing w:val="4"/>
                      <w:sz w:val="21"/>
                      <w:szCs w:val="21"/>
                      <w:highlight w:val="none"/>
                      <w:u w:val="none" w:color="auto"/>
                      <w:lang w:val="en-US" w:eastAsia="zh-CN"/>
                    </w:rPr>
                    <w:t>深0.</w:t>
                  </w:r>
                  <w:r>
                    <w:rPr>
                      <w:rFonts w:hint="default" w:ascii="Times New Roman" w:hAnsi="Times New Roman" w:cs="Times New Roman"/>
                      <w:b w:val="0"/>
                      <w:bCs w:val="0"/>
                      <w:color w:val="auto"/>
                      <w:spacing w:val="4"/>
                      <w:sz w:val="21"/>
                      <w:szCs w:val="21"/>
                      <w:highlight w:val="none"/>
                      <w:u w:val="none" w:color="auto"/>
                      <w:lang w:val="en-US" w:eastAsia="zh-CN"/>
                    </w:rPr>
                    <w:t>75</w:t>
                  </w:r>
                  <w:r>
                    <w:rPr>
                      <w:rFonts w:hint="default" w:ascii="Times New Roman" w:hAnsi="Times New Roman" w:eastAsia="宋体" w:cs="Times New Roman"/>
                      <w:b w:val="0"/>
                      <w:bCs w:val="0"/>
                      <w:color w:val="auto"/>
                      <w:spacing w:val="4"/>
                      <w:sz w:val="21"/>
                      <w:szCs w:val="21"/>
                      <w:highlight w:val="none"/>
                      <w:u w:val="none" w:color="auto"/>
                    </w:rPr>
                    <w:t>m×</w:t>
                  </w:r>
                  <w:r>
                    <w:rPr>
                      <w:rFonts w:hint="default" w:ascii="Times New Roman" w:hAnsi="Times New Roman" w:eastAsia="宋体" w:cs="Times New Roman"/>
                      <w:b w:val="0"/>
                      <w:bCs w:val="0"/>
                      <w:color w:val="auto"/>
                      <w:spacing w:val="4"/>
                      <w:sz w:val="21"/>
                      <w:szCs w:val="21"/>
                      <w:highlight w:val="none"/>
                      <w:u w:val="none" w:color="auto"/>
                      <w:lang w:val="en-US" w:eastAsia="zh-CN"/>
                    </w:rPr>
                    <w:t>高2m</w:t>
                  </w:r>
                </w:p>
              </w:tc>
              <w:tc>
                <w:tcPr>
                  <w:tcW w:w="512" w:type="pct"/>
                  <w:noWrap w:val="0"/>
                  <w:vAlign w:val="center"/>
                </w:tcPr>
                <w:p w14:paraId="576B7B85">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3</w:t>
                  </w:r>
                </w:p>
              </w:tc>
              <w:tc>
                <w:tcPr>
                  <w:tcW w:w="413" w:type="pct"/>
                  <w:noWrap w:val="0"/>
                  <w:vAlign w:val="center"/>
                </w:tcPr>
                <w:p w14:paraId="40BFF17D">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0.5m</w:t>
                  </w:r>
                </w:p>
              </w:tc>
              <w:tc>
                <w:tcPr>
                  <w:tcW w:w="502" w:type="pct"/>
                  <w:noWrap w:val="0"/>
                  <w:vAlign w:val="center"/>
                </w:tcPr>
                <w:p w14:paraId="57A7C801">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0.62</w:t>
                  </w:r>
                  <w:r>
                    <w:rPr>
                      <w:rFonts w:hint="default" w:ascii="Times New Roman" w:hAnsi="Times New Roman" w:eastAsia="宋体" w:cs="Times New Roman"/>
                      <w:color w:val="auto"/>
                      <w:sz w:val="21"/>
                      <w:szCs w:val="21"/>
                      <w:highlight w:val="none"/>
                      <w:u w:val="none" w:color="auto"/>
                      <w:lang w:eastAsia="zh-CN"/>
                    </w:rPr>
                    <w:t>m</w:t>
                  </w:r>
                  <w:r>
                    <w:rPr>
                      <w:rFonts w:hint="default" w:ascii="Times New Roman" w:hAnsi="Times New Roman" w:eastAsia="宋体" w:cs="Times New Roman"/>
                      <w:color w:val="auto"/>
                      <w:sz w:val="21"/>
                      <w:szCs w:val="21"/>
                      <w:highlight w:val="none"/>
                      <w:u w:val="none" w:color="auto"/>
                      <w:vertAlign w:val="superscript"/>
                      <w:lang w:val="en-US" w:eastAsia="zh-CN"/>
                    </w:rPr>
                    <w:t>2</w:t>
                  </w:r>
                </w:p>
              </w:tc>
              <w:tc>
                <w:tcPr>
                  <w:tcW w:w="581" w:type="pct"/>
                  <w:noWrap w:val="0"/>
                  <w:vAlign w:val="center"/>
                </w:tcPr>
                <w:p w14:paraId="6719514D">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0.5</w:t>
                  </w:r>
                  <w:r>
                    <w:rPr>
                      <w:rFonts w:hint="default" w:ascii="Times New Roman" w:hAnsi="Times New Roman" w:eastAsia="宋体" w:cs="Times New Roman"/>
                      <w:color w:val="auto"/>
                      <w:sz w:val="21"/>
                      <w:szCs w:val="21"/>
                      <w:highlight w:val="none"/>
                      <w:u w:val="none" w:color="auto"/>
                      <w:lang w:eastAsia="zh-CN"/>
                    </w:rPr>
                    <w:t>m/s</w:t>
                  </w:r>
                </w:p>
              </w:tc>
              <w:tc>
                <w:tcPr>
                  <w:tcW w:w="606" w:type="pct"/>
                  <w:noWrap w:val="0"/>
                  <w:vAlign w:val="center"/>
                </w:tcPr>
                <w:p w14:paraId="76724948">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0.31</w:t>
                  </w:r>
                  <w:r>
                    <w:rPr>
                      <w:rFonts w:hint="default" w:ascii="Times New Roman" w:hAnsi="Times New Roman" w:eastAsia="宋体" w:cs="Times New Roman"/>
                      <w:color w:val="auto"/>
                      <w:sz w:val="21"/>
                      <w:szCs w:val="21"/>
                      <w:highlight w:val="none"/>
                      <w:u w:val="none" w:color="auto"/>
                      <w:lang w:eastAsia="zh-CN"/>
                    </w:rPr>
                    <w:t>m</w:t>
                  </w:r>
                  <w:r>
                    <w:rPr>
                      <w:rFonts w:hint="default" w:ascii="Times New Roman" w:hAnsi="Times New Roman" w:eastAsia="宋体" w:cs="Times New Roman"/>
                      <w:color w:val="auto"/>
                      <w:sz w:val="21"/>
                      <w:szCs w:val="21"/>
                      <w:highlight w:val="none"/>
                      <w:u w:val="none" w:color="auto"/>
                      <w:vertAlign w:val="superscript"/>
                      <w:lang w:val="en-US" w:eastAsia="zh-CN"/>
                    </w:rPr>
                    <w:t>3</w:t>
                  </w:r>
                  <w:r>
                    <w:rPr>
                      <w:rFonts w:hint="default" w:ascii="Times New Roman" w:hAnsi="Times New Roman" w:eastAsia="宋体" w:cs="Times New Roman"/>
                      <w:color w:val="auto"/>
                      <w:sz w:val="21"/>
                      <w:szCs w:val="21"/>
                      <w:highlight w:val="none"/>
                      <w:u w:val="none" w:color="auto"/>
                      <w:lang w:eastAsia="zh-CN"/>
                    </w:rPr>
                    <w:t>/</w:t>
                  </w:r>
                  <w:r>
                    <w:rPr>
                      <w:rFonts w:hint="default" w:ascii="Times New Roman" w:hAnsi="Times New Roman" w:eastAsia="宋体" w:cs="Times New Roman"/>
                      <w:color w:val="auto"/>
                      <w:sz w:val="21"/>
                      <w:szCs w:val="21"/>
                      <w:highlight w:val="none"/>
                      <w:u w:val="none" w:color="auto"/>
                      <w:lang w:val="en-US" w:eastAsia="zh-CN"/>
                    </w:rPr>
                    <w:t>s</w:t>
                  </w:r>
                </w:p>
              </w:tc>
              <w:tc>
                <w:tcPr>
                  <w:tcW w:w="694" w:type="pct"/>
                  <w:noWrap w:val="0"/>
                  <w:vAlign w:val="center"/>
                </w:tcPr>
                <w:p w14:paraId="41F097B9">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u w:val="none" w:color="auto"/>
                      <w:lang w:val="en-US" w:eastAsia="zh-CN" w:bidi="ar-SA"/>
                    </w:rPr>
                  </w:pPr>
                  <w:r>
                    <w:rPr>
                      <w:rFonts w:hint="eastAsia" w:ascii="Times New Roman" w:hAnsi="Times New Roman" w:cs="Times New Roman"/>
                      <w:color w:val="auto"/>
                      <w:sz w:val="21"/>
                      <w:szCs w:val="21"/>
                      <w:highlight w:val="none"/>
                      <w:u w:val="none" w:color="auto"/>
                      <w:lang w:val="en-US" w:eastAsia="zh-CN"/>
                    </w:rPr>
                    <w:t>3348</w:t>
                  </w:r>
                  <w:r>
                    <w:rPr>
                      <w:rFonts w:hint="default" w:ascii="Times New Roman" w:hAnsi="Times New Roman" w:eastAsia="宋体" w:cs="Times New Roman"/>
                      <w:color w:val="auto"/>
                      <w:sz w:val="21"/>
                      <w:szCs w:val="21"/>
                      <w:highlight w:val="none"/>
                      <w:u w:val="none" w:color="auto"/>
                      <w:lang w:eastAsia="zh-CN"/>
                    </w:rPr>
                    <w:t>m</w:t>
                  </w:r>
                  <w:r>
                    <w:rPr>
                      <w:rFonts w:hint="default" w:ascii="Times New Roman" w:hAnsi="Times New Roman" w:eastAsia="宋体" w:cs="Times New Roman"/>
                      <w:color w:val="auto"/>
                      <w:sz w:val="21"/>
                      <w:szCs w:val="21"/>
                      <w:highlight w:val="none"/>
                      <w:u w:val="none" w:color="auto"/>
                      <w:vertAlign w:val="superscript"/>
                      <w:lang w:val="en-US" w:eastAsia="zh-CN"/>
                    </w:rPr>
                    <w:t>3</w:t>
                  </w:r>
                  <w:r>
                    <w:rPr>
                      <w:rFonts w:hint="default" w:ascii="Times New Roman" w:hAnsi="Times New Roman" w:eastAsia="宋体" w:cs="Times New Roman"/>
                      <w:color w:val="auto"/>
                      <w:sz w:val="21"/>
                      <w:szCs w:val="21"/>
                      <w:highlight w:val="none"/>
                      <w:u w:val="none" w:color="auto"/>
                      <w:lang w:eastAsia="zh-CN"/>
                    </w:rPr>
                    <w:t>/</w:t>
                  </w:r>
                  <w:r>
                    <w:rPr>
                      <w:rFonts w:hint="default" w:ascii="Times New Roman" w:hAnsi="Times New Roman" w:eastAsia="宋体" w:cs="Times New Roman"/>
                      <w:color w:val="auto"/>
                      <w:sz w:val="21"/>
                      <w:szCs w:val="21"/>
                      <w:highlight w:val="none"/>
                      <w:u w:val="none" w:color="auto"/>
                      <w:lang w:val="en-US" w:eastAsia="zh-CN"/>
                    </w:rPr>
                    <w:t>h</w:t>
                  </w:r>
                </w:p>
              </w:tc>
            </w:tr>
            <w:tr w14:paraId="4F157A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jc w:val="center"/>
              </w:trPr>
              <w:tc>
                <w:tcPr>
                  <w:tcW w:w="5000" w:type="pct"/>
                  <w:gridSpan w:val="8"/>
                  <w:noWrap w:val="0"/>
                  <w:vAlign w:val="center"/>
                </w:tcPr>
                <w:p w14:paraId="79B217D3">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kern w:val="2"/>
                      <w:sz w:val="21"/>
                      <w:szCs w:val="21"/>
                      <w:highlight w:val="none"/>
                      <w:u w:val="none" w:color="auto"/>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备注：</w:t>
                  </w:r>
                </w:p>
                <w:p w14:paraId="4CE7C6F7">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kern w:val="2"/>
                      <w:sz w:val="21"/>
                      <w:szCs w:val="21"/>
                      <w:highlight w:val="none"/>
                      <w:u w:val="none" w:color="auto"/>
                      <w:vertAlign w:val="superscript"/>
                      <w:lang w:val="en-US" w:eastAsia="zh-CN" w:bidi="ar-SA"/>
                    </w:rPr>
                  </w:pPr>
                  <w:r>
                    <w:rPr>
                      <w:rFonts w:hint="default" w:ascii="Times New Roman" w:hAnsi="Times New Roman" w:eastAsia="宋体" w:cs="Times New Roman"/>
                      <w:color w:val="auto"/>
                      <w:kern w:val="2"/>
                      <w:sz w:val="21"/>
                      <w:szCs w:val="21"/>
                      <w:highlight w:val="none"/>
                      <w:u w:val="none" w:color="auto"/>
                      <w:lang w:val="en-US" w:eastAsia="zh-CN" w:bidi="ar-SA"/>
                    </w:rPr>
                    <w:t>[1]根据建设单位提供资料，通风橱操作口面积：1m</w:t>
                  </w:r>
                  <w:r>
                    <w:rPr>
                      <w:rFonts w:hint="default" w:ascii="Times New Roman" w:hAnsi="Times New Roman" w:eastAsia="宋体" w:cs="Times New Roman"/>
                      <w:b w:val="0"/>
                      <w:bCs w:val="0"/>
                      <w:color w:val="auto"/>
                      <w:spacing w:val="4"/>
                      <w:sz w:val="21"/>
                      <w:szCs w:val="21"/>
                      <w:highlight w:val="none"/>
                      <w:u w:val="none" w:color="auto"/>
                    </w:rPr>
                    <w:t>×</w:t>
                  </w:r>
                  <w:r>
                    <w:rPr>
                      <w:rFonts w:hint="default" w:ascii="Times New Roman" w:hAnsi="Times New Roman" w:eastAsia="宋体" w:cs="Times New Roman"/>
                      <w:color w:val="auto"/>
                      <w:kern w:val="2"/>
                      <w:sz w:val="21"/>
                      <w:szCs w:val="21"/>
                      <w:highlight w:val="none"/>
                      <w:u w:val="none" w:color="auto"/>
                      <w:lang w:val="en-US" w:eastAsia="zh-CN" w:bidi="ar-SA"/>
                    </w:rPr>
                    <w:t>0.62m=0.62m</w:t>
                  </w:r>
                  <w:r>
                    <w:rPr>
                      <w:rFonts w:hint="default" w:ascii="Times New Roman" w:hAnsi="Times New Roman" w:eastAsia="宋体" w:cs="Times New Roman"/>
                      <w:color w:val="auto"/>
                      <w:kern w:val="2"/>
                      <w:sz w:val="21"/>
                      <w:szCs w:val="21"/>
                      <w:highlight w:val="none"/>
                      <w:u w:val="none" w:color="auto"/>
                      <w:vertAlign w:val="superscript"/>
                      <w:lang w:val="en-US" w:eastAsia="zh-CN" w:bidi="ar-SA"/>
                    </w:rPr>
                    <w:t>2</w:t>
                  </w:r>
                  <w:r>
                    <w:rPr>
                      <w:rFonts w:hint="default" w:ascii="Times New Roman" w:hAnsi="Times New Roman" w:eastAsia="宋体" w:cs="Times New Roman"/>
                      <w:color w:val="auto"/>
                      <w:kern w:val="2"/>
                      <w:sz w:val="21"/>
                      <w:szCs w:val="21"/>
                      <w:highlight w:val="none"/>
                      <w:u w:val="none" w:color="auto"/>
                      <w:vertAlign w:val="baseline"/>
                      <w:lang w:val="en-US" w:eastAsia="zh-CN" w:bidi="ar-SA"/>
                    </w:rPr>
                    <w:t>；</w:t>
                  </w:r>
                </w:p>
                <w:p w14:paraId="551AF5A1">
                  <w:pPr>
                    <w:pStyle w:val="5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kern w:val="2"/>
                      <w:sz w:val="21"/>
                      <w:szCs w:val="21"/>
                      <w:highlight w:val="none"/>
                      <w:u w:val="none" w:color="auto"/>
                      <w:vertAlign w:val="superscript"/>
                      <w:lang w:val="en-US" w:eastAsia="zh-CN" w:bidi="ar-SA"/>
                    </w:rPr>
                  </w:pPr>
                  <w:r>
                    <w:rPr>
                      <w:rFonts w:hint="default" w:ascii="Times New Roman" w:hAnsi="Times New Roman" w:eastAsia="宋体" w:cs="Times New Roman"/>
                      <w:color w:val="auto"/>
                      <w:kern w:val="2"/>
                      <w:sz w:val="21"/>
                      <w:szCs w:val="21"/>
                      <w:highlight w:val="none"/>
                      <w:u w:val="none" w:color="auto"/>
                      <w:vertAlign w:val="baseline"/>
                      <w:lang w:val="en-US" w:eastAsia="zh-CN" w:bidi="ar-SA"/>
                    </w:rPr>
                    <w:t>[2]为保证通风橱气流的抑制性，操作口评价速度取值0.5m/s。</w:t>
                  </w:r>
                </w:p>
              </w:tc>
            </w:tr>
          </w:tbl>
          <w:p w14:paraId="5B1C9AF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w w:val="100"/>
                <w:kern w:val="2"/>
                <w:position w:val="0"/>
                <w:sz w:val="24"/>
                <w:szCs w:val="24"/>
                <w:highlight w:val="none"/>
                <w:lang w:val="en-US" w:eastAsia="zh-CN" w:bidi="ar-SA"/>
              </w:rPr>
            </w:pPr>
            <w:r>
              <w:rPr>
                <w:rFonts w:hint="eastAsia" w:ascii="Times New Roman" w:hAnsi="Times New Roman" w:eastAsia="宋体" w:cs="Times New Roman"/>
                <w:color w:val="auto"/>
                <w:sz w:val="24"/>
                <w:szCs w:val="28"/>
                <w:highlight w:val="none"/>
                <w:u w:val="none" w:color="auto"/>
                <w:lang w:val="en-US" w:eastAsia="zh-CN"/>
              </w:rPr>
              <w:t>综上，</w:t>
            </w:r>
            <w:r>
              <w:rPr>
                <w:rFonts w:hint="eastAsia" w:ascii="Times New Roman" w:hAnsi="Times New Roman" w:eastAsia="宋体" w:cs="Times New Roman"/>
                <w:color w:val="auto"/>
                <w:sz w:val="24"/>
                <w:szCs w:val="28"/>
                <w:highlight w:val="none"/>
                <w:u w:val="none" w:color="auto"/>
                <w:lang w:eastAsia="zh-CN"/>
              </w:rPr>
              <w:t>考虑管道风量损耗，本评价</w:t>
            </w:r>
            <w:r>
              <w:rPr>
                <w:rFonts w:hint="eastAsia" w:ascii="Times New Roman" w:hAnsi="Times New Roman" w:eastAsia="宋体" w:cs="Times New Roman"/>
                <w:color w:val="auto"/>
                <w:sz w:val="24"/>
                <w:szCs w:val="28"/>
                <w:highlight w:val="none"/>
                <w:u w:val="none" w:color="auto"/>
                <w:lang w:val="en-US" w:eastAsia="zh-CN"/>
              </w:rPr>
              <w:t>实验室废气风机总</w:t>
            </w:r>
            <w:r>
              <w:rPr>
                <w:rFonts w:hint="eastAsia" w:ascii="Times New Roman" w:hAnsi="Times New Roman" w:eastAsia="宋体" w:cs="Times New Roman"/>
                <w:color w:val="auto"/>
                <w:sz w:val="24"/>
                <w:szCs w:val="28"/>
                <w:highlight w:val="none"/>
                <w:u w:val="none" w:color="auto"/>
                <w:lang w:eastAsia="zh-CN"/>
              </w:rPr>
              <w:t>风量取</w:t>
            </w:r>
            <w:r>
              <w:rPr>
                <w:rFonts w:hint="eastAsia" w:ascii="Times New Roman" w:hAnsi="Times New Roman" w:eastAsia="宋体" w:cs="Times New Roman"/>
                <w:color w:val="auto"/>
                <w:sz w:val="24"/>
                <w:szCs w:val="28"/>
                <w:highlight w:val="none"/>
                <w:u w:val="none" w:color="auto"/>
                <w:lang w:val="en-US" w:eastAsia="zh-CN"/>
              </w:rPr>
              <w:t>3</w:t>
            </w:r>
            <w:r>
              <w:rPr>
                <w:rFonts w:hint="eastAsia" w:cs="Times New Roman"/>
                <w:color w:val="auto"/>
                <w:sz w:val="24"/>
                <w:szCs w:val="28"/>
                <w:highlight w:val="none"/>
                <w:u w:val="none" w:color="auto"/>
                <w:lang w:val="en-US" w:eastAsia="zh-CN"/>
              </w:rPr>
              <w:t>8</w:t>
            </w:r>
            <w:r>
              <w:rPr>
                <w:rFonts w:hint="eastAsia" w:ascii="Times New Roman" w:hAnsi="Times New Roman" w:eastAsia="宋体" w:cs="Times New Roman"/>
                <w:color w:val="auto"/>
                <w:sz w:val="24"/>
                <w:szCs w:val="28"/>
                <w:highlight w:val="none"/>
                <w:u w:val="none" w:color="auto"/>
                <w:lang w:val="en-US" w:eastAsia="zh-CN"/>
              </w:rPr>
              <w:t>000</w:t>
            </w:r>
            <w:r>
              <w:rPr>
                <w:rFonts w:hint="eastAsia" w:ascii="Times New Roman" w:hAnsi="Times New Roman" w:eastAsia="宋体" w:cs="Times New Roman"/>
                <w:color w:val="auto"/>
                <w:sz w:val="24"/>
                <w:szCs w:val="28"/>
                <w:highlight w:val="none"/>
                <w:u w:val="none" w:color="auto"/>
                <w:lang w:eastAsia="zh-CN"/>
              </w:rPr>
              <w:t>m</w:t>
            </w:r>
            <w:r>
              <w:rPr>
                <w:rFonts w:hint="eastAsia" w:ascii="Times New Roman" w:hAnsi="Times New Roman" w:eastAsia="宋体" w:cs="Times New Roman"/>
                <w:color w:val="auto"/>
                <w:sz w:val="24"/>
                <w:szCs w:val="28"/>
                <w:highlight w:val="none"/>
                <w:u w:val="none" w:color="auto"/>
                <w:vertAlign w:val="superscript"/>
                <w:lang w:eastAsia="zh-CN"/>
              </w:rPr>
              <w:t>3</w:t>
            </w:r>
            <w:r>
              <w:rPr>
                <w:rFonts w:hint="eastAsia" w:ascii="Times New Roman" w:hAnsi="Times New Roman" w:eastAsia="宋体" w:cs="Times New Roman"/>
                <w:color w:val="auto"/>
                <w:sz w:val="24"/>
                <w:szCs w:val="28"/>
                <w:highlight w:val="none"/>
                <w:u w:val="none" w:color="auto"/>
                <w:lang w:eastAsia="zh-CN"/>
              </w:rPr>
              <w:t>/h。</w:t>
            </w:r>
            <w:r>
              <w:rPr>
                <w:rFonts w:hint="default" w:ascii="Times New Roman" w:hAnsi="Times New Roman" w:eastAsia="宋体" w:cs="Times New Roman"/>
                <w:bCs/>
                <w:color w:val="auto"/>
                <w:spacing w:val="0"/>
                <w:w w:val="100"/>
                <w:kern w:val="2"/>
                <w:position w:val="0"/>
                <w:sz w:val="24"/>
                <w:szCs w:val="24"/>
                <w:highlight w:val="none"/>
                <w:lang w:val="en-US" w:eastAsia="zh-CN" w:bidi="ar-SA"/>
              </w:rPr>
              <w:t>本项目试剂调配在通风橱内进行，学生实验时废气经过桌面吸风罩进行收集。实验室设置强制通风通道，通风橱/吸风罩连接通风通道，实验过程中排放的废气通过通风系统收集后，采用引风机输送到楼顶经“碱喷淋（配套脱水）+二级活性炭吸附”装置处理后通过1根高出楼顶1m排气筒（DA00</w:t>
            </w:r>
            <w:r>
              <w:rPr>
                <w:rFonts w:hint="eastAsia" w:cs="Times New Roman"/>
                <w:bCs/>
                <w:color w:val="auto"/>
                <w:spacing w:val="0"/>
                <w:w w:val="100"/>
                <w:kern w:val="2"/>
                <w:position w:val="0"/>
                <w:sz w:val="24"/>
                <w:szCs w:val="24"/>
                <w:highlight w:val="none"/>
                <w:lang w:val="en-US" w:eastAsia="zh-CN" w:bidi="ar-SA"/>
              </w:rPr>
              <w:t>2</w:t>
            </w:r>
            <w:r>
              <w:rPr>
                <w:rFonts w:hint="default" w:ascii="Times New Roman" w:hAnsi="Times New Roman" w:eastAsia="宋体" w:cs="Times New Roman"/>
                <w:bCs/>
                <w:color w:val="auto"/>
                <w:spacing w:val="0"/>
                <w:w w:val="100"/>
                <w:kern w:val="2"/>
                <w:position w:val="0"/>
                <w:sz w:val="24"/>
                <w:szCs w:val="24"/>
                <w:highlight w:val="none"/>
                <w:lang w:val="en-US" w:eastAsia="zh-CN" w:bidi="ar-SA"/>
              </w:rPr>
              <w:t>，距地面高度</w:t>
            </w:r>
            <w:r>
              <w:rPr>
                <w:rFonts w:hint="eastAsia" w:cs="Times New Roman"/>
                <w:bCs/>
                <w:color w:val="auto"/>
                <w:spacing w:val="0"/>
                <w:w w:val="100"/>
                <w:kern w:val="2"/>
                <w:position w:val="0"/>
                <w:sz w:val="24"/>
                <w:szCs w:val="24"/>
                <w:highlight w:val="none"/>
                <w:lang w:val="en-US" w:eastAsia="zh-CN" w:bidi="ar-SA"/>
              </w:rPr>
              <w:t>23</w:t>
            </w:r>
            <w:r>
              <w:rPr>
                <w:rFonts w:hint="default" w:ascii="Times New Roman" w:hAnsi="Times New Roman" w:eastAsia="宋体" w:cs="Times New Roman"/>
                <w:bCs/>
                <w:color w:val="auto"/>
                <w:spacing w:val="0"/>
                <w:w w:val="100"/>
                <w:kern w:val="2"/>
                <w:position w:val="0"/>
                <w:sz w:val="24"/>
                <w:szCs w:val="24"/>
                <w:highlight w:val="none"/>
                <w:lang w:val="en-US" w:eastAsia="zh-CN" w:bidi="ar-SA"/>
              </w:rPr>
              <w:t>m）（建筑高度</w:t>
            </w:r>
            <w:r>
              <w:rPr>
                <w:rFonts w:hint="eastAsia" w:cs="Times New Roman"/>
                <w:bCs/>
                <w:color w:val="auto"/>
                <w:spacing w:val="0"/>
                <w:w w:val="100"/>
                <w:kern w:val="2"/>
                <w:position w:val="0"/>
                <w:sz w:val="24"/>
                <w:szCs w:val="24"/>
                <w:highlight w:val="none"/>
                <w:lang w:val="en-US" w:eastAsia="zh-CN" w:bidi="ar-SA"/>
              </w:rPr>
              <w:t>22</w:t>
            </w:r>
            <w:r>
              <w:rPr>
                <w:rFonts w:hint="default" w:ascii="Times New Roman" w:hAnsi="Times New Roman" w:eastAsia="宋体" w:cs="Times New Roman"/>
                <w:bCs/>
                <w:color w:val="auto"/>
                <w:spacing w:val="0"/>
                <w:w w:val="100"/>
                <w:kern w:val="2"/>
                <w:position w:val="0"/>
                <w:sz w:val="24"/>
                <w:szCs w:val="24"/>
                <w:highlight w:val="none"/>
                <w:lang w:val="en-US" w:eastAsia="zh-CN" w:bidi="ar-SA"/>
              </w:rPr>
              <w:t>m）排放，收集效率按90%计。参考《大气污染物综合排放标准详解》，碱液喷淋对硫酸雾治理效率一般可达90%左右，本项目实验废气碱喷淋对</w:t>
            </w:r>
            <w:r>
              <w:rPr>
                <w:rFonts w:hint="default" w:ascii="Times New Roman" w:hAnsi="Times New Roman" w:eastAsia="宋体" w:cs="Times New Roman"/>
                <w:color w:val="auto"/>
                <w:sz w:val="24"/>
                <w:szCs w:val="28"/>
                <w:highlight w:val="none"/>
                <w:u w:val="none"/>
                <w:lang w:val="en-US" w:eastAsia="zh-CN"/>
              </w:rPr>
              <w:t>氯化氢、硫酸雾、硝酸雾的去除率按90%计；</w:t>
            </w:r>
            <w:r>
              <w:rPr>
                <w:rFonts w:hint="default" w:ascii="Times New Roman" w:hAnsi="Times New Roman" w:eastAsia="宋体" w:cs="Times New Roman"/>
                <w:bCs/>
                <w:color w:val="auto"/>
                <w:spacing w:val="0"/>
                <w:w w:val="100"/>
                <w:position w:val="0"/>
                <w:sz w:val="24"/>
                <w:szCs w:val="24"/>
                <w:highlight w:val="none"/>
                <w:u w:val="none" w:color="auto"/>
                <w:lang w:val="en-US" w:eastAsia="zh-CN"/>
              </w:rPr>
              <w:t>参考《关于印发&lt;主要污染物总量减排核算技术指南（2022年修订）&gt;的通知》（环办综合函〔2022〕350号），一</w:t>
            </w:r>
            <w:r>
              <w:rPr>
                <w:rFonts w:hint="eastAsia" w:cs="Times New Roman"/>
                <w:bCs/>
                <w:color w:val="auto"/>
                <w:spacing w:val="0"/>
                <w:w w:val="100"/>
                <w:position w:val="0"/>
                <w:sz w:val="24"/>
                <w:szCs w:val="24"/>
                <w:highlight w:val="none"/>
                <w:u w:val="none" w:color="auto"/>
                <w:lang w:val="en-US" w:eastAsia="zh-CN"/>
              </w:rPr>
              <w:t>级</w:t>
            </w:r>
            <w:r>
              <w:rPr>
                <w:rFonts w:hint="default" w:ascii="Times New Roman" w:hAnsi="Times New Roman" w:eastAsia="宋体" w:cs="Times New Roman"/>
                <w:bCs/>
                <w:color w:val="auto"/>
                <w:spacing w:val="0"/>
                <w:w w:val="100"/>
                <w:position w:val="0"/>
                <w:sz w:val="24"/>
                <w:szCs w:val="24"/>
                <w:highlight w:val="none"/>
                <w:u w:val="none" w:color="auto"/>
                <w:lang w:val="en-US" w:eastAsia="zh-CN"/>
              </w:rPr>
              <w:t>性活性炭吸附率取50%，那么二</w:t>
            </w:r>
            <w:r>
              <w:rPr>
                <w:rFonts w:hint="eastAsia" w:cs="Times New Roman"/>
                <w:bCs/>
                <w:color w:val="auto"/>
                <w:spacing w:val="0"/>
                <w:w w:val="100"/>
                <w:position w:val="0"/>
                <w:sz w:val="24"/>
                <w:szCs w:val="24"/>
                <w:highlight w:val="none"/>
                <w:u w:val="none" w:color="auto"/>
                <w:lang w:val="en-US" w:eastAsia="zh-CN"/>
              </w:rPr>
              <w:t>级</w:t>
            </w:r>
            <w:r>
              <w:rPr>
                <w:rFonts w:hint="default" w:ascii="Times New Roman" w:hAnsi="Times New Roman" w:eastAsia="宋体" w:cs="Times New Roman"/>
                <w:bCs/>
                <w:color w:val="auto"/>
                <w:spacing w:val="0"/>
                <w:w w:val="100"/>
                <w:position w:val="0"/>
                <w:sz w:val="24"/>
                <w:szCs w:val="24"/>
                <w:highlight w:val="none"/>
                <w:u w:val="none" w:color="auto"/>
                <w:lang w:val="en-US" w:eastAsia="zh-CN"/>
              </w:rPr>
              <w:t>活性炭吸附VOCs去除率可以取1-（1-50%）*（1-50%）=75%，本项目二级活性炭对</w:t>
            </w:r>
            <w:r>
              <w:rPr>
                <w:rFonts w:hint="default" w:ascii="Times New Roman" w:hAnsi="Times New Roman" w:eastAsia="宋体" w:cs="Times New Roman"/>
                <w:color w:val="auto"/>
                <w:sz w:val="24"/>
                <w:szCs w:val="28"/>
                <w:highlight w:val="none"/>
                <w:u w:val="none"/>
                <w:lang w:val="en-US" w:eastAsia="zh-CN"/>
              </w:rPr>
              <w:t>有机废气去除效率按75%计。本项目未收集的废气以无组织方式排放</w:t>
            </w:r>
            <w:r>
              <w:rPr>
                <w:rFonts w:hint="default" w:ascii="Times New Roman" w:hAnsi="Times New Roman" w:eastAsia="宋体" w:cs="Times New Roman"/>
                <w:bCs/>
                <w:color w:val="auto"/>
                <w:spacing w:val="0"/>
                <w:w w:val="100"/>
                <w:kern w:val="2"/>
                <w:position w:val="0"/>
                <w:sz w:val="24"/>
                <w:szCs w:val="24"/>
                <w:highlight w:val="none"/>
                <w:lang w:val="en-US" w:eastAsia="zh-CN" w:bidi="ar-SA"/>
              </w:rPr>
              <w:t>，拟建总风机风量为3</w:t>
            </w:r>
            <w:r>
              <w:rPr>
                <w:rFonts w:hint="eastAsia" w:cs="Times New Roman"/>
                <w:bCs/>
                <w:color w:val="auto"/>
                <w:spacing w:val="0"/>
                <w:w w:val="100"/>
                <w:kern w:val="2"/>
                <w:position w:val="0"/>
                <w:sz w:val="24"/>
                <w:szCs w:val="24"/>
                <w:highlight w:val="none"/>
                <w:lang w:val="en-US" w:eastAsia="zh-CN" w:bidi="ar-SA"/>
              </w:rPr>
              <w:t>8</w:t>
            </w:r>
            <w:r>
              <w:rPr>
                <w:rFonts w:hint="default" w:ascii="Times New Roman" w:hAnsi="Times New Roman" w:eastAsia="宋体" w:cs="Times New Roman"/>
                <w:bCs/>
                <w:color w:val="auto"/>
                <w:spacing w:val="0"/>
                <w:w w:val="100"/>
                <w:kern w:val="2"/>
                <w:position w:val="0"/>
                <w:sz w:val="24"/>
                <w:szCs w:val="24"/>
                <w:highlight w:val="none"/>
                <w:lang w:val="en-US" w:eastAsia="zh-CN" w:bidi="ar-SA"/>
              </w:rPr>
              <w:t>000m</w:t>
            </w:r>
            <w:r>
              <w:rPr>
                <w:rFonts w:hint="default" w:ascii="Times New Roman" w:hAnsi="Times New Roman" w:eastAsia="宋体" w:cs="Times New Roman"/>
                <w:bCs/>
                <w:color w:val="auto"/>
                <w:spacing w:val="0"/>
                <w:w w:val="100"/>
                <w:kern w:val="2"/>
                <w:position w:val="0"/>
                <w:sz w:val="24"/>
                <w:szCs w:val="24"/>
                <w:highlight w:val="none"/>
                <w:vertAlign w:val="superscript"/>
                <w:lang w:val="en-US" w:eastAsia="zh-CN" w:bidi="ar-SA"/>
              </w:rPr>
              <w:t>3</w:t>
            </w:r>
            <w:r>
              <w:rPr>
                <w:rFonts w:hint="default" w:ascii="Times New Roman" w:hAnsi="Times New Roman" w:eastAsia="宋体" w:cs="Times New Roman"/>
                <w:bCs/>
                <w:color w:val="auto"/>
                <w:spacing w:val="0"/>
                <w:w w:val="100"/>
                <w:kern w:val="2"/>
                <w:position w:val="0"/>
                <w:sz w:val="24"/>
                <w:szCs w:val="24"/>
                <w:highlight w:val="none"/>
                <w:lang w:val="en-US" w:eastAsia="zh-CN" w:bidi="ar-SA"/>
              </w:rPr>
              <w:t>/h。</w:t>
            </w:r>
          </w:p>
          <w:p w14:paraId="5E24564A">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kern w:val="2"/>
                <w:sz w:val="21"/>
                <w:szCs w:val="21"/>
                <w:highlight w:val="none"/>
                <w:lang w:val="en-US" w:eastAsia="zh-CN" w:bidi="ar"/>
              </w:rPr>
              <w:t>表</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STYLEREF 1 \s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4</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default" w:ascii="Times New Roman" w:hAnsi="Times New Roman" w:eastAsia="宋体" w:cs="Times New Roman"/>
                <w:b/>
                <w:bCs/>
                <w:color w:val="auto"/>
                <w:kern w:val="2"/>
                <w:sz w:val="21"/>
                <w:szCs w:val="21"/>
                <w:highlight w:val="none"/>
                <w:lang w:val="en-US" w:eastAsia="zh-CN" w:bidi="ar"/>
              </w:rPr>
              <w:t>-</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SEQ 表 \* ARABIC \s 1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7</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eastAsia" w:ascii="Times New Roman" w:hAnsi="Times New Roman" w:eastAsia="宋体" w:cs="Times New Roman"/>
                <w:b/>
                <w:bCs/>
                <w:color w:val="auto"/>
                <w:kern w:val="2"/>
                <w:sz w:val="21"/>
                <w:szCs w:val="21"/>
                <w:highlight w:val="none"/>
                <w:lang w:val="en-US" w:eastAsia="zh-CN" w:bidi="ar"/>
              </w:rPr>
              <w:t xml:space="preserve"> </w:t>
            </w:r>
            <w:r>
              <w:rPr>
                <w:rFonts w:hint="default" w:ascii="Times New Roman" w:hAnsi="Times New Roman" w:eastAsia="宋体" w:cs="Times New Roman"/>
                <w:color w:val="auto"/>
                <w:sz w:val="21"/>
                <w:szCs w:val="21"/>
                <w:highlight w:val="none"/>
                <w:lang w:val="en-US" w:eastAsia="zh-CN"/>
              </w:rPr>
              <w:t>本项目实验室有组织废气产排情况一览表</w:t>
            </w:r>
          </w:p>
          <w:tbl>
            <w:tblPr>
              <w:tblStyle w:val="47"/>
              <w:tblW w:w="4991"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31"/>
              <w:gridCol w:w="951"/>
              <w:gridCol w:w="891"/>
              <w:gridCol w:w="1070"/>
              <w:gridCol w:w="1061"/>
              <w:gridCol w:w="1356"/>
              <w:gridCol w:w="819"/>
              <w:gridCol w:w="917"/>
              <w:gridCol w:w="1000"/>
            </w:tblGrid>
            <w:tr w14:paraId="1CF984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jc w:val="center"/>
              </w:trPr>
              <w:tc>
                <w:tcPr>
                  <w:tcW w:w="309" w:type="pct"/>
                  <w:tcBorders>
                    <w:tl2br w:val="nil"/>
                    <w:tr2bl w:val="nil"/>
                  </w:tcBorders>
                  <w:noWrap w:val="0"/>
                  <w:vAlign w:val="center"/>
                </w:tcPr>
                <w:p w14:paraId="0F2B8542">
                  <w:pPr>
                    <w:pStyle w:val="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highlight w:val="none"/>
                      <w:u w:val="none"/>
                    </w:rPr>
                  </w:pPr>
                  <w:r>
                    <w:rPr>
                      <w:rFonts w:hint="default" w:ascii="Times New Roman" w:hAnsi="Times New Roman" w:cs="Times New Roman"/>
                      <w:b/>
                      <w:bCs/>
                      <w:color w:val="auto"/>
                      <w:spacing w:val="-4"/>
                      <w:sz w:val="21"/>
                      <w:szCs w:val="21"/>
                      <w:highlight w:val="none"/>
                      <w:u w:val="none"/>
                    </w:rPr>
                    <w:t>排放源</w:t>
                  </w:r>
                </w:p>
              </w:tc>
              <w:tc>
                <w:tcPr>
                  <w:tcW w:w="553" w:type="pct"/>
                  <w:tcBorders>
                    <w:tl2br w:val="nil"/>
                    <w:tr2bl w:val="nil"/>
                  </w:tcBorders>
                  <w:noWrap w:val="0"/>
                  <w:vAlign w:val="center"/>
                </w:tcPr>
                <w:p w14:paraId="6E7C0ED8">
                  <w:pPr>
                    <w:pStyle w:val="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highlight w:val="none"/>
                      <w:u w:val="none"/>
                    </w:rPr>
                  </w:pPr>
                  <w:r>
                    <w:rPr>
                      <w:rFonts w:hint="default" w:ascii="Times New Roman" w:hAnsi="Times New Roman" w:cs="Times New Roman"/>
                      <w:b/>
                      <w:bCs/>
                      <w:color w:val="auto"/>
                      <w:spacing w:val="-4"/>
                      <w:sz w:val="21"/>
                      <w:szCs w:val="21"/>
                      <w:highlight w:val="none"/>
                      <w:u w:val="none"/>
                    </w:rPr>
                    <w:t>污染物</w:t>
                  </w:r>
                </w:p>
              </w:tc>
              <w:tc>
                <w:tcPr>
                  <w:tcW w:w="518" w:type="pct"/>
                  <w:tcBorders>
                    <w:tl2br w:val="nil"/>
                    <w:tr2bl w:val="nil"/>
                  </w:tcBorders>
                  <w:noWrap w:val="0"/>
                  <w:vAlign w:val="center"/>
                </w:tcPr>
                <w:p w14:paraId="72E3FBC1">
                  <w:pPr>
                    <w:pStyle w:val="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u w:val="none"/>
                      <w:lang w:eastAsia="zh-CN"/>
                    </w:rPr>
                  </w:pPr>
                  <w:r>
                    <w:rPr>
                      <w:rFonts w:hint="default" w:ascii="Times New Roman" w:hAnsi="Times New Roman" w:cs="Times New Roman"/>
                      <w:b/>
                      <w:bCs/>
                      <w:color w:val="auto"/>
                      <w:spacing w:val="-10"/>
                      <w:sz w:val="21"/>
                      <w:szCs w:val="21"/>
                      <w:highlight w:val="none"/>
                      <w:u w:val="none"/>
                    </w:rPr>
                    <w:t>产生量</w:t>
                  </w:r>
                  <w:r>
                    <w:rPr>
                      <w:rFonts w:hint="default" w:ascii="Times New Roman" w:hAnsi="Times New Roman" w:eastAsia="宋体" w:cs="Times New Roman"/>
                      <w:b/>
                      <w:bCs/>
                      <w:color w:val="auto"/>
                      <w:spacing w:val="-2"/>
                      <w:sz w:val="21"/>
                      <w:szCs w:val="21"/>
                      <w:highlight w:val="none"/>
                      <w:u w:val="none"/>
                      <w:lang w:eastAsia="zh-CN"/>
                    </w:rPr>
                    <w:t>（</w:t>
                  </w:r>
                  <w:r>
                    <w:rPr>
                      <w:rFonts w:hint="default" w:ascii="Times New Roman" w:hAnsi="Times New Roman" w:eastAsia="Times New Roman" w:cs="Times New Roman"/>
                      <w:b/>
                      <w:bCs/>
                      <w:color w:val="auto"/>
                      <w:spacing w:val="-2"/>
                      <w:sz w:val="21"/>
                      <w:szCs w:val="21"/>
                      <w:highlight w:val="none"/>
                      <w:u w:val="none"/>
                    </w:rPr>
                    <w:t>kg/a</w:t>
                  </w:r>
                  <w:r>
                    <w:rPr>
                      <w:rFonts w:hint="default" w:ascii="Times New Roman" w:hAnsi="Times New Roman" w:eastAsia="宋体" w:cs="Times New Roman"/>
                      <w:b/>
                      <w:bCs/>
                      <w:color w:val="auto"/>
                      <w:spacing w:val="-2"/>
                      <w:sz w:val="21"/>
                      <w:szCs w:val="21"/>
                      <w:highlight w:val="none"/>
                      <w:u w:val="none"/>
                      <w:lang w:eastAsia="zh-CN"/>
                    </w:rPr>
                    <w:t>）</w:t>
                  </w:r>
                </w:p>
              </w:tc>
              <w:tc>
                <w:tcPr>
                  <w:tcW w:w="622" w:type="pct"/>
                  <w:tcBorders>
                    <w:tl2br w:val="nil"/>
                    <w:tr2bl w:val="nil"/>
                  </w:tcBorders>
                  <w:noWrap w:val="0"/>
                  <w:vAlign w:val="center"/>
                </w:tcPr>
                <w:p w14:paraId="0D56CF21">
                  <w:pPr>
                    <w:pStyle w:val="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u w:val="none"/>
                      <w:lang w:eastAsia="zh-CN"/>
                    </w:rPr>
                  </w:pPr>
                  <w:r>
                    <w:rPr>
                      <w:rFonts w:hint="default" w:ascii="Times New Roman" w:hAnsi="Times New Roman" w:cs="Times New Roman"/>
                      <w:b/>
                      <w:bCs/>
                      <w:color w:val="auto"/>
                      <w:spacing w:val="5"/>
                      <w:sz w:val="21"/>
                      <w:szCs w:val="21"/>
                      <w:highlight w:val="none"/>
                      <w:u w:val="none"/>
                    </w:rPr>
                    <w:t>产生速率</w:t>
                  </w:r>
                  <w:r>
                    <w:rPr>
                      <w:rFonts w:hint="default" w:ascii="Times New Roman" w:hAnsi="Times New Roman" w:eastAsia="宋体" w:cs="Times New Roman"/>
                      <w:b/>
                      <w:bCs/>
                      <w:color w:val="auto"/>
                      <w:spacing w:val="-2"/>
                      <w:sz w:val="21"/>
                      <w:szCs w:val="21"/>
                      <w:highlight w:val="none"/>
                      <w:u w:val="none"/>
                      <w:lang w:eastAsia="zh-CN"/>
                    </w:rPr>
                    <w:t>（</w:t>
                  </w:r>
                  <w:r>
                    <w:rPr>
                      <w:rFonts w:hint="default" w:ascii="Times New Roman" w:hAnsi="Times New Roman" w:eastAsia="Times New Roman" w:cs="Times New Roman"/>
                      <w:b/>
                      <w:bCs/>
                      <w:color w:val="auto"/>
                      <w:spacing w:val="-2"/>
                      <w:sz w:val="21"/>
                      <w:szCs w:val="21"/>
                      <w:highlight w:val="none"/>
                      <w:u w:val="none"/>
                    </w:rPr>
                    <w:t>kg/h</w:t>
                  </w:r>
                  <w:r>
                    <w:rPr>
                      <w:rFonts w:hint="default" w:ascii="Times New Roman" w:hAnsi="Times New Roman" w:eastAsia="宋体" w:cs="Times New Roman"/>
                      <w:b/>
                      <w:bCs/>
                      <w:color w:val="auto"/>
                      <w:spacing w:val="-2"/>
                      <w:sz w:val="21"/>
                      <w:szCs w:val="21"/>
                      <w:highlight w:val="none"/>
                      <w:u w:val="none"/>
                      <w:lang w:eastAsia="zh-CN"/>
                    </w:rPr>
                    <w:t>）</w:t>
                  </w:r>
                </w:p>
              </w:tc>
              <w:tc>
                <w:tcPr>
                  <w:tcW w:w="617" w:type="pct"/>
                  <w:tcBorders>
                    <w:tl2br w:val="nil"/>
                    <w:tr2bl w:val="nil"/>
                  </w:tcBorders>
                  <w:noWrap w:val="0"/>
                  <w:vAlign w:val="center"/>
                </w:tcPr>
                <w:p w14:paraId="796D327D">
                  <w:pPr>
                    <w:pStyle w:val="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u w:val="none"/>
                      <w:lang w:eastAsia="zh-CN"/>
                    </w:rPr>
                  </w:pPr>
                  <w:r>
                    <w:rPr>
                      <w:rFonts w:hint="default" w:ascii="Times New Roman" w:hAnsi="Times New Roman" w:cs="Times New Roman"/>
                      <w:b/>
                      <w:bCs/>
                      <w:color w:val="auto"/>
                      <w:spacing w:val="-10"/>
                      <w:sz w:val="21"/>
                      <w:szCs w:val="21"/>
                      <w:highlight w:val="none"/>
                      <w:u w:val="none"/>
                    </w:rPr>
                    <w:t>产生浓度</w:t>
                  </w:r>
                  <w:r>
                    <w:rPr>
                      <w:rFonts w:hint="default" w:ascii="Times New Roman" w:hAnsi="Times New Roman" w:eastAsia="宋体" w:cs="Times New Roman"/>
                      <w:b/>
                      <w:bCs/>
                      <w:color w:val="auto"/>
                      <w:spacing w:val="-1"/>
                      <w:sz w:val="21"/>
                      <w:szCs w:val="21"/>
                      <w:highlight w:val="none"/>
                      <w:u w:val="none"/>
                      <w:lang w:eastAsia="zh-CN"/>
                    </w:rPr>
                    <w:t>（</w:t>
                  </w:r>
                  <w:r>
                    <w:rPr>
                      <w:rFonts w:hint="default" w:ascii="Times New Roman" w:hAnsi="Times New Roman" w:eastAsia="Times New Roman" w:cs="Times New Roman"/>
                      <w:b/>
                      <w:bCs/>
                      <w:color w:val="auto"/>
                      <w:spacing w:val="-1"/>
                      <w:sz w:val="21"/>
                      <w:szCs w:val="21"/>
                      <w:highlight w:val="none"/>
                      <w:u w:val="none"/>
                    </w:rPr>
                    <w:t>mg/m</w:t>
                  </w:r>
                  <w:r>
                    <w:rPr>
                      <w:rFonts w:hint="default" w:ascii="Times New Roman" w:hAnsi="Times New Roman" w:eastAsia="宋体" w:cs="Times New Roman"/>
                      <w:b/>
                      <w:bCs/>
                      <w:color w:val="auto"/>
                      <w:spacing w:val="-1"/>
                      <w:sz w:val="21"/>
                      <w:szCs w:val="21"/>
                      <w:highlight w:val="none"/>
                      <w:u w:val="none"/>
                      <w:vertAlign w:val="superscript"/>
                      <w:lang w:val="en-US" w:eastAsia="zh-CN"/>
                    </w:rPr>
                    <w:t>3</w:t>
                  </w:r>
                  <w:r>
                    <w:rPr>
                      <w:rFonts w:hint="default" w:ascii="Times New Roman" w:hAnsi="Times New Roman" w:eastAsia="宋体" w:cs="Times New Roman"/>
                      <w:b/>
                      <w:bCs/>
                      <w:color w:val="auto"/>
                      <w:spacing w:val="-1"/>
                      <w:sz w:val="21"/>
                      <w:szCs w:val="21"/>
                      <w:highlight w:val="none"/>
                      <w:u w:val="none"/>
                      <w:lang w:eastAsia="zh-CN"/>
                    </w:rPr>
                    <w:t>）</w:t>
                  </w:r>
                </w:p>
              </w:tc>
              <w:tc>
                <w:tcPr>
                  <w:tcW w:w="788" w:type="pct"/>
                  <w:tcBorders>
                    <w:tl2br w:val="nil"/>
                    <w:tr2bl w:val="nil"/>
                  </w:tcBorders>
                  <w:noWrap w:val="0"/>
                  <w:vAlign w:val="center"/>
                </w:tcPr>
                <w:p w14:paraId="660CB2BA">
                  <w:pPr>
                    <w:pStyle w:val="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highlight w:val="none"/>
                      <w:u w:val="none"/>
                    </w:rPr>
                  </w:pPr>
                  <w:r>
                    <w:rPr>
                      <w:rFonts w:hint="default" w:ascii="Times New Roman" w:hAnsi="Times New Roman" w:cs="Times New Roman"/>
                      <w:b/>
                      <w:bCs/>
                      <w:color w:val="auto"/>
                      <w:spacing w:val="12"/>
                      <w:sz w:val="21"/>
                      <w:szCs w:val="21"/>
                      <w:highlight w:val="none"/>
                      <w:u w:val="none"/>
                    </w:rPr>
                    <w:t>治理措</w:t>
                  </w:r>
                  <w:r>
                    <w:rPr>
                      <w:rFonts w:hint="default" w:ascii="Times New Roman" w:hAnsi="Times New Roman" w:cs="Times New Roman"/>
                      <w:b/>
                      <w:bCs/>
                      <w:color w:val="auto"/>
                      <w:spacing w:val="-2"/>
                      <w:sz w:val="21"/>
                      <w:szCs w:val="21"/>
                      <w:highlight w:val="none"/>
                      <w:u w:val="none"/>
                    </w:rPr>
                    <w:t>施</w:t>
                  </w:r>
                </w:p>
              </w:tc>
              <w:tc>
                <w:tcPr>
                  <w:tcW w:w="476" w:type="pct"/>
                  <w:tcBorders>
                    <w:tl2br w:val="nil"/>
                    <w:tr2bl w:val="nil"/>
                  </w:tcBorders>
                  <w:noWrap w:val="0"/>
                  <w:vAlign w:val="center"/>
                </w:tcPr>
                <w:p w14:paraId="2B5BB51C">
                  <w:pPr>
                    <w:pStyle w:val="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highlight w:val="none"/>
                      <w:u w:val="none"/>
                    </w:rPr>
                  </w:pPr>
                  <w:r>
                    <w:rPr>
                      <w:rFonts w:hint="default" w:ascii="Times New Roman" w:hAnsi="Times New Roman" w:cs="Times New Roman"/>
                      <w:b/>
                      <w:bCs/>
                      <w:color w:val="auto"/>
                      <w:spacing w:val="-9"/>
                      <w:sz w:val="21"/>
                      <w:szCs w:val="21"/>
                      <w:highlight w:val="none"/>
                      <w:u w:val="none"/>
                    </w:rPr>
                    <w:t>排放量</w:t>
                  </w:r>
                  <w:r>
                    <w:rPr>
                      <w:rFonts w:hint="default" w:ascii="Times New Roman" w:hAnsi="Times New Roman" w:cs="Times New Roman"/>
                      <w:b/>
                      <w:bCs/>
                      <w:color w:val="auto"/>
                      <w:spacing w:val="-4"/>
                      <w:sz w:val="21"/>
                      <w:szCs w:val="21"/>
                      <w:highlight w:val="none"/>
                      <w:u w:val="none"/>
                    </w:rPr>
                    <w:t>（</w:t>
                  </w:r>
                  <w:r>
                    <w:rPr>
                      <w:rFonts w:hint="default" w:ascii="Times New Roman" w:hAnsi="Times New Roman" w:eastAsia="Times New Roman" w:cs="Times New Roman"/>
                      <w:b/>
                      <w:bCs/>
                      <w:color w:val="auto"/>
                      <w:spacing w:val="-4"/>
                      <w:sz w:val="21"/>
                      <w:szCs w:val="21"/>
                      <w:highlight w:val="none"/>
                      <w:u w:val="none"/>
                    </w:rPr>
                    <w:t>kg/a</w:t>
                  </w:r>
                  <w:r>
                    <w:rPr>
                      <w:rFonts w:hint="default" w:ascii="Times New Roman" w:hAnsi="Times New Roman" w:cs="Times New Roman"/>
                      <w:b/>
                      <w:bCs/>
                      <w:color w:val="auto"/>
                      <w:spacing w:val="-4"/>
                      <w:sz w:val="21"/>
                      <w:szCs w:val="21"/>
                      <w:highlight w:val="none"/>
                      <w:u w:val="none"/>
                    </w:rPr>
                    <w:t>）</w:t>
                  </w:r>
                </w:p>
              </w:tc>
              <w:tc>
                <w:tcPr>
                  <w:tcW w:w="533" w:type="pct"/>
                  <w:tcBorders>
                    <w:tl2br w:val="nil"/>
                    <w:tr2bl w:val="nil"/>
                  </w:tcBorders>
                  <w:noWrap w:val="0"/>
                  <w:vAlign w:val="center"/>
                </w:tcPr>
                <w:p w14:paraId="5549FD91">
                  <w:pPr>
                    <w:pStyle w:val="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u w:val="none"/>
                      <w:lang w:eastAsia="zh-CN"/>
                    </w:rPr>
                  </w:pPr>
                  <w:r>
                    <w:rPr>
                      <w:rFonts w:hint="default" w:ascii="Times New Roman" w:hAnsi="Times New Roman" w:cs="Times New Roman"/>
                      <w:b/>
                      <w:bCs/>
                      <w:color w:val="auto"/>
                      <w:spacing w:val="24"/>
                      <w:sz w:val="21"/>
                      <w:szCs w:val="21"/>
                      <w:highlight w:val="none"/>
                      <w:u w:val="none"/>
                    </w:rPr>
                    <w:t>排放速率</w:t>
                  </w:r>
                  <w:r>
                    <w:rPr>
                      <w:rFonts w:hint="default" w:ascii="Times New Roman" w:hAnsi="Times New Roman" w:eastAsia="宋体" w:cs="Times New Roman"/>
                      <w:b/>
                      <w:bCs/>
                      <w:color w:val="auto"/>
                      <w:spacing w:val="-2"/>
                      <w:sz w:val="21"/>
                      <w:szCs w:val="21"/>
                      <w:highlight w:val="none"/>
                      <w:u w:val="none"/>
                      <w:lang w:eastAsia="zh-CN"/>
                    </w:rPr>
                    <w:t>（</w:t>
                  </w:r>
                  <w:r>
                    <w:rPr>
                      <w:rFonts w:hint="default" w:ascii="Times New Roman" w:hAnsi="Times New Roman" w:eastAsia="Times New Roman" w:cs="Times New Roman"/>
                      <w:b/>
                      <w:bCs/>
                      <w:color w:val="auto"/>
                      <w:spacing w:val="-2"/>
                      <w:sz w:val="21"/>
                      <w:szCs w:val="21"/>
                      <w:highlight w:val="none"/>
                      <w:u w:val="none"/>
                    </w:rPr>
                    <w:t>kg/h</w:t>
                  </w:r>
                  <w:r>
                    <w:rPr>
                      <w:rFonts w:hint="default" w:ascii="Times New Roman" w:hAnsi="Times New Roman" w:eastAsia="宋体" w:cs="Times New Roman"/>
                      <w:b/>
                      <w:bCs/>
                      <w:color w:val="auto"/>
                      <w:spacing w:val="-2"/>
                      <w:sz w:val="21"/>
                      <w:szCs w:val="21"/>
                      <w:highlight w:val="none"/>
                      <w:u w:val="none"/>
                      <w:lang w:eastAsia="zh-CN"/>
                    </w:rPr>
                    <w:t>）</w:t>
                  </w:r>
                </w:p>
              </w:tc>
              <w:tc>
                <w:tcPr>
                  <w:tcW w:w="581" w:type="pct"/>
                  <w:tcBorders>
                    <w:tl2br w:val="nil"/>
                    <w:tr2bl w:val="nil"/>
                  </w:tcBorders>
                  <w:noWrap w:val="0"/>
                  <w:vAlign w:val="center"/>
                </w:tcPr>
                <w:p w14:paraId="08410965">
                  <w:pPr>
                    <w:pStyle w:val="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highlight w:val="none"/>
                      <w:u w:val="none"/>
                      <w:lang w:val="en-US"/>
                    </w:rPr>
                  </w:pPr>
                  <w:r>
                    <w:rPr>
                      <w:rFonts w:hint="default" w:ascii="Times New Roman" w:hAnsi="Times New Roman" w:cs="Times New Roman"/>
                      <w:b/>
                      <w:bCs/>
                      <w:color w:val="auto"/>
                      <w:spacing w:val="-1"/>
                      <w:sz w:val="21"/>
                      <w:szCs w:val="21"/>
                      <w:highlight w:val="none"/>
                      <w:u w:val="none"/>
                    </w:rPr>
                    <w:t>排放浓度</w:t>
                  </w:r>
                  <w:r>
                    <w:rPr>
                      <w:rFonts w:hint="default" w:ascii="Times New Roman" w:hAnsi="Times New Roman" w:eastAsia="宋体" w:cs="Times New Roman"/>
                      <w:b/>
                      <w:bCs/>
                      <w:color w:val="auto"/>
                      <w:spacing w:val="-1"/>
                      <w:sz w:val="21"/>
                      <w:szCs w:val="21"/>
                      <w:highlight w:val="none"/>
                      <w:u w:val="none"/>
                      <w:vertAlign w:val="baseline"/>
                      <w:lang w:val="en-US" w:eastAsia="zh-CN"/>
                    </w:rPr>
                    <w:t>（</w:t>
                  </w:r>
                  <w:r>
                    <w:rPr>
                      <w:rFonts w:hint="default" w:ascii="Times New Roman" w:hAnsi="Times New Roman" w:eastAsia="Times New Roman" w:cs="Times New Roman"/>
                      <w:b/>
                      <w:bCs/>
                      <w:color w:val="auto"/>
                      <w:spacing w:val="-1"/>
                      <w:sz w:val="21"/>
                      <w:szCs w:val="21"/>
                      <w:highlight w:val="none"/>
                      <w:u w:val="none"/>
                    </w:rPr>
                    <w:t>mg/m</w:t>
                  </w:r>
                  <w:r>
                    <w:rPr>
                      <w:rFonts w:hint="default" w:ascii="Times New Roman" w:hAnsi="Times New Roman" w:eastAsia="宋体" w:cs="Times New Roman"/>
                      <w:b/>
                      <w:bCs/>
                      <w:color w:val="auto"/>
                      <w:spacing w:val="-1"/>
                      <w:sz w:val="21"/>
                      <w:szCs w:val="21"/>
                      <w:highlight w:val="none"/>
                      <w:u w:val="none"/>
                      <w:vertAlign w:val="superscript"/>
                      <w:lang w:val="en-US" w:eastAsia="zh-CN"/>
                    </w:rPr>
                    <w:t>3</w:t>
                  </w:r>
                  <w:r>
                    <w:rPr>
                      <w:rFonts w:hint="default" w:ascii="Times New Roman" w:hAnsi="Times New Roman" w:eastAsia="宋体" w:cs="Times New Roman"/>
                      <w:b/>
                      <w:bCs/>
                      <w:color w:val="auto"/>
                      <w:spacing w:val="-1"/>
                      <w:sz w:val="21"/>
                      <w:szCs w:val="21"/>
                      <w:highlight w:val="none"/>
                      <w:u w:val="none"/>
                      <w:vertAlign w:val="baseline"/>
                      <w:lang w:val="en-US" w:eastAsia="zh-CN"/>
                    </w:rPr>
                    <w:t>）</w:t>
                  </w:r>
                </w:p>
              </w:tc>
            </w:tr>
            <w:tr w14:paraId="07D4F2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0" w:hRule="atLeast"/>
                <w:jc w:val="center"/>
              </w:trPr>
              <w:tc>
                <w:tcPr>
                  <w:tcW w:w="309" w:type="pct"/>
                  <w:vMerge w:val="restart"/>
                  <w:tcBorders>
                    <w:tl2br w:val="nil"/>
                    <w:tr2bl w:val="nil"/>
                  </w:tcBorders>
                  <w:noWrap w:val="0"/>
                  <w:vAlign w:val="center"/>
                </w:tcPr>
                <w:p w14:paraId="243B3D42">
                  <w:pPr>
                    <w:pStyle w:val="52"/>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highlight w:val="none"/>
                      <w:u w:val="none"/>
                    </w:rPr>
                  </w:pPr>
                  <w:r>
                    <w:rPr>
                      <w:rFonts w:hint="default" w:ascii="Times New Roman" w:hAnsi="Times New Roman" w:cs="Times New Roman"/>
                      <w:color w:val="auto"/>
                      <w:spacing w:val="-3"/>
                      <w:sz w:val="21"/>
                      <w:szCs w:val="21"/>
                      <w:highlight w:val="none"/>
                      <w:u w:val="none"/>
                    </w:rPr>
                    <w:t>有组织</w:t>
                  </w:r>
                </w:p>
              </w:tc>
              <w:tc>
                <w:tcPr>
                  <w:tcW w:w="553" w:type="pct"/>
                  <w:tcBorders>
                    <w:tl2br w:val="nil"/>
                    <w:tr2bl w:val="nil"/>
                  </w:tcBorders>
                  <w:noWrap w:val="0"/>
                  <w:vAlign w:val="center"/>
                </w:tcPr>
                <w:p w14:paraId="69BC622C">
                  <w:pPr>
                    <w:pStyle w:val="52"/>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eastAsia="宋体" w:cs="Times New Roman"/>
                      <w:color w:val="auto"/>
                      <w:kern w:val="2"/>
                      <w:sz w:val="21"/>
                      <w:szCs w:val="21"/>
                      <w:highlight w:val="none"/>
                      <w:u w:val="none"/>
                      <w:lang w:val="en-US" w:eastAsia="en-US" w:bidi="ar-SA"/>
                    </w:rPr>
                  </w:pPr>
                  <w:r>
                    <w:rPr>
                      <w:rFonts w:hint="default" w:ascii="Times New Roman" w:hAnsi="Times New Roman" w:cs="Times New Roman"/>
                      <w:color w:val="auto"/>
                      <w:spacing w:val="-4"/>
                      <w:sz w:val="21"/>
                      <w:szCs w:val="21"/>
                      <w:highlight w:val="none"/>
                      <w:u w:val="none"/>
                    </w:rPr>
                    <w:t>氯化氢</w:t>
                  </w:r>
                </w:p>
              </w:tc>
              <w:tc>
                <w:tcPr>
                  <w:tcW w:w="518" w:type="pct"/>
                  <w:tcBorders>
                    <w:tl2br w:val="nil"/>
                    <w:tr2bl w:val="nil"/>
                  </w:tcBorders>
                  <w:noWrap w:val="0"/>
                  <w:vAlign w:val="center"/>
                </w:tcPr>
                <w:p w14:paraId="0CA1DB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2.116</w:t>
                  </w:r>
                </w:p>
              </w:tc>
              <w:tc>
                <w:tcPr>
                  <w:tcW w:w="622" w:type="pct"/>
                  <w:tcBorders>
                    <w:tl2br w:val="nil"/>
                    <w:tr2bl w:val="nil"/>
                  </w:tcBorders>
                  <w:noWrap w:val="0"/>
                  <w:vAlign w:val="center"/>
                </w:tcPr>
                <w:p w14:paraId="439431D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0.005</w:t>
                  </w:r>
                </w:p>
              </w:tc>
              <w:tc>
                <w:tcPr>
                  <w:tcW w:w="617" w:type="pct"/>
                  <w:tcBorders>
                    <w:tl2br w:val="nil"/>
                    <w:tr2bl w:val="nil"/>
                  </w:tcBorders>
                  <w:noWrap w:val="0"/>
                  <w:vAlign w:val="center"/>
                </w:tcPr>
                <w:p w14:paraId="3B3639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0.143</w:t>
                  </w:r>
                </w:p>
              </w:tc>
              <w:tc>
                <w:tcPr>
                  <w:tcW w:w="788" w:type="pct"/>
                  <w:vMerge w:val="restart"/>
                  <w:tcBorders>
                    <w:tl2br w:val="nil"/>
                    <w:tr2bl w:val="nil"/>
                  </w:tcBorders>
                  <w:noWrap w:val="0"/>
                  <w:vAlign w:val="center"/>
                </w:tcPr>
                <w:p w14:paraId="44D8CDC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highlight w:val="none"/>
                      <w:u w:val="none"/>
                      <w:lang w:val="en-US"/>
                    </w:rPr>
                  </w:pPr>
                  <w:r>
                    <w:rPr>
                      <w:rFonts w:hint="default" w:ascii="Times New Roman" w:hAnsi="Times New Roman" w:cs="Times New Roman"/>
                      <w:b w:val="0"/>
                      <w:bCs/>
                      <w:color w:val="auto"/>
                      <w:sz w:val="21"/>
                      <w:szCs w:val="21"/>
                      <w:highlight w:val="none"/>
                      <w:u w:val="none"/>
                      <w:lang w:val="en-US" w:eastAsia="zh-CN"/>
                    </w:rPr>
                    <w:t>通风橱/吸风罩+碱喷淋（配套脱水）+二级活性炭吸附+1根</w:t>
                  </w:r>
                  <w:r>
                    <w:rPr>
                      <w:rFonts w:hint="eastAsia" w:cs="Times New Roman"/>
                      <w:b w:val="0"/>
                      <w:bCs/>
                      <w:color w:val="auto"/>
                      <w:sz w:val="21"/>
                      <w:szCs w:val="21"/>
                      <w:highlight w:val="none"/>
                      <w:u w:val="none"/>
                      <w:lang w:val="en-US" w:eastAsia="zh-CN"/>
                    </w:rPr>
                    <w:t>23</w:t>
                  </w:r>
                  <w:r>
                    <w:rPr>
                      <w:rFonts w:hint="default" w:ascii="Times New Roman" w:hAnsi="Times New Roman" w:cs="Times New Roman"/>
                      <w:b w:val="0"/>
                      <w:bCs/>
                      <w:color w:val="auto"/>
                      <w:sz w:val="21"/>
                      <w:szCs w:val="21"/>
                      <w:highlight w:val="none"/>
                      <w:u w:val="none"/>
                      <w:lang w:val="en-US" w:eastAsia="zh-CN"/>
                    </w:rPr>
                    <w:t>m高排气筒排放</w:t>
                  </w:r>
                  <w:r>
                    <w:rPr>
                      <w:rFonts w:hint="default" w:ascii="Times New Roman" w:hAnsi="Times New Roman" w:eastAsia="宋体" w:cs="Times New Roman"/>
                      <w:color w:val="auto"/>
                      <w:sz w:val="21"/>
                      <w:szCs w:val="21"/>
                      <w:highlight w:val="none"/>
                      <w:u w:val="none"/>
                      <w:lang w:val="en-US" w:eastAsia="zh-CN"/>
                    </w:rPr>
                    <w:t>（收集效率90%；氯化氢、硫酸雾</w:t>
                  </w:r>
                  <w:r>
                    <w:rPr>
                      <w:rFonts w:hint="eastAsia" w:ascii="Times New Roman" w:hAnsi="Times New Roman" w:eastAsia="宋体" w:cs="Times New Roman"/>
                      <w:color w:val="auto"/>
                      <w:sz w:val="21"/>
                      <w:szCs w:val="21"/>
                      <w:highlight w:val="none"/>
                      <w:u w:val="none"/>
                      <w:lang w:val="en-US" w:eastAsia="zh-CN"/>
                    </w:rPr>
                    <w:t>、硝酸雾</w:t>
                  </w:r>
                  <w:r>
                    <w:rPr>
                      <w:rFonts w:hint="default" w:ascii="Times New Roman" w:hAnsi="Times New Roman" w:eastAsia="宋体" w:cs="Times New Roman"/>
                      <w:color w:val="auto"/>
                      <w:sz w:val="21"/>
                      <w:szCs w:val="21"/>
                      <w:highlight w:val="none"/>
                      <w:u w:val="none"/>
                      <w:lang w:val="en-US" w:eastAsia="zh-CN"/>
                    </w:rPr>
                    <w:t>去除率90%；有机废气去除率75%）</w:t>
                  </w:r>
                </w:p>
              </w:tc>
              <w:tc>
                <w:tcPr>
                  <w:tcW w:w="476" w:type="pct"/>
                  <w:tcBorders>
                    <w:tl2br w:val="nil"/>
                    <w:tr2bl w:val="nil"/>
                  </w:tcBorders>
                  <w:noWrap w:val="0"/>
                  <w:vAlign w:val="center"/>
                </w:tcPr>
                <w:p w14:paraId="2D37E36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0.190</w:t>
                  </w:r>
                </w:p>
              </w:tc>
              <w:tc>
                <w:tcPr>
                  <w:tcW w:w="533" w:type="pct"/>
                  <w:tcBorders>
                    <w:tl2br w:val="nil"/>
                    <w:tr2bl w:val="nil"/>
                  </w:tcBorders>
                  <w:noWrap w:val="0"/>
                  <w:vAlign w:val="center"/>
                </w:tcPr>
                <w:p w14:paraId="7DAE06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0.0005</w:t>
                  </w:r>
                </w:p>
              </w:tc>
              <w:tc>
                <w:tcPr>
                  <w:tcW w:w="581" w:type="pct"/>
                  <w:tcBorders>
                    <w:tl2br w:val="nil"/>
                    <w:tr2bl w:val="nil"/>
                  </w:tcBorders>
                  <w:noWrap w:val="0"/>
                  <w:vAlign w:val="center"/>
                </w:tcPr>
                <w:p w14:paraId="40FA4E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0.013</w:t>
                  </w:r>
                </w:p>
              </w:tc>
            </w:tr>
            <w:tr w14:paraId="6509A0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1" w:hRule="atLeast"/>
                <w:jc w:val="center"/>
              </w:trPr>
              <w:tc>
                <w:tcPr>
                  <w:tcW w:w="309" w:type="pct"/>
                  <w:vMerge w:val="continue"/>
                  <w:tcBorders>
                    <w:tl2br w:val="nil"/>
                    <w:tr2bl w:val="nil"/>
                  </w:tcBorders>
                  <w:noWrap w:val="0"/>
                  <w:vAlign w:val="center"/>
                </w:tcPr>
                <w:p w14:paraId="52ED1D9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highlight w:val="none"/>
                      <w:u w:val="none"/>
                    </w:rPr>
                  </w:pPr>
                </w:p>
              </w:tc>
              <w:tc>
                <w:tcPr>
                  <w:tcW w:w="553" w:type="pct"/>
                  <w:tcBorders>
                    <w:tl2br w:val="nil"/>
                    <w:tr2bl w:val="nil"/>
                  </w:tcBorders>
                  <w:noWrap w:val="0"/>
                  <w:vAlign w:val="center"/>
                </w:tcPr>
                <w:p w14:paraId="430937B0">
                  <w:pPr>
                    <w:pStyle w:val="52"/>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eastAsia="宋体" w:cs="Times New Roman"/>
                      <w:color w:val="auto"/>
                      <w:kern w:val="2"/>
                      <w:sz w:val="21"/>
                      <w:szCs w:val="21"/>
                      <w:highlight w:val="none"/>
                      <w:u w:val="none"/>
                      <w:lang w:val="en-US" w:eastAsia="en-US" w:bidi="ar-SA"/>
                    </w:rPr>
                  </w:pPr>
                  <w:r>
                    <w:rPr>
                      <w:rFonts w:hint="default" w:ascii="Times New Roman" w:hAnsi="Times New Roman" w:cs="Times New Roman"/>
                      <w:color w:val="auto"/>
                      <w:spacing w:val="-3"/>
                      <w:sz w:val="21"/>
                      <w:szCs w:val="21"/>
                      <w:highlight w:val="none"/>
                      <w:u w:val="none"/>
                    </w:rPr>
                    <w:t>硫酸雾</w:t>
                  </w:r>
                </w:p>
              </w:tc>
              <w:tc>
                <w:tcPr>
                  <w:tcW w:w="518" w:type="pct"/>
                  <w:tcBorders>
                    <w:tl2br w:val="nil"/>
                    <w:tr2bl w:val="nil"/>
                  </w:tcBorders>
                  <w:noWrap w:val="0"/>
                  <w:vAlign w:val="center"/>
                </w:tcPr>
                <w:p w14:paraId="2AE4B77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0.472</w:t>
                  </w:r>
                </w:p>
              </w:tc>
              <w:tc>
                <w:tcPr>
                  <w:tcW w:w="622" w:type="pct"/>
                  <w:tcBorders>
                    <w:tl2br w:val="nil"/>
                    <w:tr2bl w:val="nil"/>
                  </w:tcBorders>
                  <w:noWrap w:val="0"/>
                  <w:vAlign w:val="center"/>
                </w:tcPr>
                <w:p w14:paraId="3BB1DB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0.001</w:t>
                  </w:r>
                </w:p>
              </w:tc>
              <w:tc>
                <w:tcPr>
                  <w:tcW w:w="617" w:type="pct"/>
                  <w:tcBorders>
                    <w:tl2br w:val="nil"/>
                    <w:tr2bl w:val="nil"/>
                  </w:tcBorders>
                  <w:noWrap w:val="0"/>
                  <w:vAlign w:val="center"/>
                </w:tcPr>
                <w:p w14:paraId="10DD5A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0.032</w:t>
                  </w:r>
                </w:p>
              </w:tc>
              <w:tc>
                <w:tcPr>
                  <w:tcW w:w="788" w:type="pct"/>
                  <w:vMerge w:val="continue"/>
                  <w:tcBorders>
                    <w:tl2br w:val="nil"/>
                    <w:tr2bl w:val="nil"/>
                  </w:tcBorders>
                  <w:noWrap w:val="0"/>
                  <w:vAlign w:val="center"/>
                </w:tcPr>
                <w:p w14:paraId="4C7F1A6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highlight w:val="none"/>
                      <w:u w:val="none"/>
                    </w:rPr>
                  </w:pPr>
                </w:p>
              </w:tc>
              <w:tc>
                <w:tcPr>
                  <w:tcW w:w="476" w:type="pct"/>
                  <w:tcBorders>
                    <w:tl2br w:val="nil"/>
                    <w:tr2bl w:val="nil"/>
                  </w:tcBorders>
                  <w:noWrap w:val="0"/>
                  <w:vAlign w:val="center"/>
                </w:tcPr>
                <w:p w14:paraId="42C63F1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0.042</w:t>
                  </w:r>
                </w:p>
              </w:tc>
              <w:tc>
                <w:tcPr>
                  <w:tcW w:w="533" w:type="pct"/>
                  <w:tcBorders>
                    <w:tl2br w:val="nil"/>
                    <w:tr2bl w:val="nil"/>
                  </w:tcBorders>
                  <w:noWrap w:val="0"/>
                  <w:vAlign w:val="center"/>
                </w:tcPr>
                <w:p w14:paraId="104137F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0.0001</w:t>
                  </w:r>
                </w:p>
              </w:tc>
              <w:tc>
                <w:tcPr>
                  <w:tcW w:w="581" w:type="pct"/>
                  <w:tcBorders>
                    <w:tl2br w:val="nil"/>
                    <w:tr2bl w:val="nil"/>
                  </w:tcBorders>
                  <w:noWrap w:val="0"/>
                  <w:vAlign w:val="center"/>
                </w:tcPr>
                <w:p w14:paraId="53355DF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0.003</w:t>
                  </w:r>
                </w:p>
              </w:tc>
            </w:tr>
            <w:tr w14:paraId="23C0BE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4" w:hRule="atLeast"/>
                <w:jc w:val="center"/>
              </w:trPr>
              <w:tc>
                <w:tcPr>
                  <w:tcW w:w="309" w:type="pct"/>
                  <w:vMerge w:val="continue"/>
                  <w:tcBorders>
                    <w:tl2br w:val="nil"/>
                    <w:tr2bl w:val="nil"/>
                  </w:tcBorders>
                  <w:noWrap w:val="0"/>
                  <w:vAlign w:val="center"/>
                </w:tcPr>
                <w:p w14:paraId="2C56C4F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highlight w:val="none"/>
                      <w:u w:val="none"/>
                    </w:rPr>
                  </w:pPr>
                </w:p>
              </w:tc>
              <w:tc>
                <w:tcPr>
                  <w:tcW w:w="553" w:type="pct"/>
                  <w:tcBorders>
                    <w:tl2br w:val="nil"/>
                    <w:tr2bl w:val="nil"/>
                  </w:tcBorders>
                  <w:noWrap w:val="0"/>
                  <w:vAlign w:val="center"/>
                </w:tcPr>
                <w:p w14:paraId="026E0152">
                  <w:pPr>
                    <w:pStyle w:val="5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spacing w:val="-3"/>
                      <w:sz w:val="21"/>
                      <w:szCs w:val="21"/>
                      <w:highlight w:val="none"/>
                      <w:u w:val="none"/>
                    </w:rPr>
                  </w:pPr>
                  <w:r>
                    <w:rPr>
                      <w:rFonts w:hint="default" w:ascii="Times New Roman" w:hAnsi="Times New Roman" w:eastAsia="宋体" w:cs="Times New Roman"/>
                      <w:color w:val="auto"/>
                      <w:kern w:val="2"/>
                      <w:sz w:val="21"/>
                      <w:szCs w:val="21"/>
                      <w:highlight w:val="none"/>
                      <w:u w:val="none"/>
                      <w:lang w:val="en-US" w:eastAsia="zh-CN" w:bidi="ar-SA"/>
                    </w:rPr>
                    <w:t>硝酸雾（以NOx计）</w:t>
                  </w:r>
                </w:p>
              </w:tc>
              <w:tc>
                <w:tcPr>
                  <w:tcW w:w="518" w:type="pct"/>
                  <w:tcBorders>
                    <w:tl2br w:val="nil"/>
                    <w:tr2bl w:val="nil"/>
                  </w:tcBorders>
                  <w:noWrap w:val="0"/>
                  <w:vAlign w:val="center"/>
                </w:tcPr>
                <w:p w14:paraId="39F8504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0.2625</w:t>
                  </w:r>
                </w:p>
              </w:tc>
              <w:tc>
                <w:tcPr>
                  <w:tcW w:w="622" w:type="pct"/>
                  <w:tcBorders>
                    <w:tl2br w:val="nil"/>
                    <w:tr2bl w:val="nil"/>
                  </w:tcBorders>
                  <w:noWrap w:val="0"/>
                  <w:vAlign w:val="center"/>
                </w:tcPr>
                <w:p w14:paraId="7C2505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0.001</w:t>
                  </w:r>
                </w:p>
              </w:tc>
              <w:tc>
                <w:tcPr>
                  <w:tcW w:w="617" w:type="pct"/>
                  <w:tcBorders>
                    <w:tl2br w:val="nil"/>
                    <w:tr2bl w:val="nil"/>
                  </w:tcBorders>
                  <w:noWrap w:val="0"/>
                  <w:vAlign w:val="center"/>
                </w:tcPr>
                <w:p w14:paraId="4632CB0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0.018</w:t>
                  </w:r>
                </w:p>
              </w:tc>
              <w:tc>
                <w:tcPr>
                  <w:tcW w:w="788" w:type="pct"/>
                  <w:vMerge w:val="continue"/>
                  <w:tcBorders>
                    <w:tl2br w:val="nil"/>
                    <w:tr2bl w:val="nil"/>
                  </w:tcBorders>
                  <w:noWrap w:val="0"/>
                  <w:vAlign w:val="center"/>
                </w:tcPr>
                <w:p w14:paraId="2F37E2F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highlight w:val="none"/>
                      <w:u w:val="none"/>
                    </w:rPr>
                  </w:pPr>
                </w:p>
              </w:tc>
              <w:tc>
                <w:tcPr>
                  <w:tcW w:w="476" w:type="pct"/>
                  <w:tcBorders>
                    <w:tl2br w:val="nil"/>
                    <w:tr2bl w:val="nil"/>
                  </w:tcBorders>
                  <w:noWrap w:val="0"/>
                  <w:vAlign w:val="center"/>
                </w:tcPr>
                <w:p w14:paraId="42FCC44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0.024</w:t>
                  </w:r>
                </w:p>
              </w:tc>
              <w:tc>
                <w:tcPr>
                  <w:tcW w:w="533" w:type="pct"/>
                  <w:tcBorders>
                    <w:tl2br w:val="nil"/>
                    <w:tr2bl w:val="nil"/>
                  </w:tcBorders>
                  <w:noWrap w:val="0"/>
                  <w:vAlign w:val="center"/>
                </w:tcPr>
                <w:p w14:paraId="34AE686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0.0001</w:t>
                  </w:r>
                </w:p>
              </w:tc>
              <w:tc>
                <w:tcPr>
                  <w:tcW w:w="581" w:type="pct"/>
                  <w:tcBorders>
                    <w:tl2br w:val="nil"/>
                    <w:tr2bl w:val="nil"/>
                  </w:tcBorders>
                  <w:noWrap w:val="0"/>
                  <w:vAlign w:val="center"/>
                </w:tcPr>
                <w:p w14:paraId="47ACAB2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0.002</w:t>
                  </w:r>
                </w:p>
              </w:tc>
            </w:tr>
            <w:tr w14:paraId="2D2D29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3" w:hRule="atLeast"/>
                <w:jc w:val="center"/>
              </w:trPr>
              <w:tc>
                <w:tcPr>
                  <w:tcW w:w="309" w:type="pct"/>
                  <w:vMerge w:val="continue"/>
                  <w:tcBorders>
                    <w:tl2br w:val="nil"/>
                    <w:tr2bl w:val="nil"/>
                  </w:tcBorders>
                  <w:noWrap w:val="0"/>
                  <w:vAlign w:val="center"/>
                </w:tcPr>
                <w:p w14:paraId="3022F74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highlight w:val="none"/>
                      <w:u w:val="none"/>
                    </w:rPr>
                  </w:pPr>
                </w:p>
              </w:tc>
              <w:tc>
                <w:tcPr>
                  <w:tcW w:w="553" w:type="pct"/>
                  <w:tcBorders>
                    <w:tl2br w:val="nil"/>
                    <w:tr2bl w:val="nil"/>
                  </w:tcBorders>
                  <w:noWrap w:val="0"/>
                  <w:vAlign w:val="center"/>
                </w:tcPr>
                <w:p w14:paraId="65585946">
                  <w:pPr>
                    <w:pStyle w:val="52"/>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cs="Times New Roman"/>
                      <w:color w:val="auto"/>
                      <w:spacing w:val="4"/>
                      <w:sz w:val="21"/>
                      <w:szCs w:val="21"/>
                      <w:highlight w:val="none"/>
                      <w:u w:val="none"/>
                    </w:rPr>
                  </w:pPr>
                  <w:r>
                    <w:rPr>
                      <w:rFonts w:hint="default" w:ascii="Times New Roman" w:hAnsi="Times New Roman" w:cs="Times New Roman"/>
                      <w:color w:val="auto"/>
                      <w:spacing w:val="4"/>
                      <w:sz w:val="21"/>
                      <w:szCs w:val="21"/>
                      <w:highlight w:val="none"/>
                      <w:u w:val="none"/>
                    </w:rPr>
                    <w:t>非甲烷</w:t>
                  </w:r>
                  <w:r>
                    <w:rPr>
                      <w:rFonts w:hint="default" w:ascii="Times New Roman" w:hAnsi="Times New Roman" w:cs="Times New Roman"/>
                      <w:color w:val="auto"/>
                      <w:spacing w:val="-5"/>
                      <w:sz w:val="21"/>
                      <w:szCs w:val="21"/>
                      <w:highlight w:val="none"/>
                      <w:u w:val="none"/>
                    </w:rPr>
                    <w:t>总烃</w:t>
                  </w:r>
                </w:p>
              </w:tc>
              <w:tc>
                <w:tcPr>
                  <w:tcW w:w="518" w:type="pct"/>
                  <w:tcBorders>
                    <w:tl2br w:val="nil"/>
                    <w:tr2bl w:val="nil"/>
                  </w:tcBorders>
                  <w:noWrap w:val="0"/>
                  <w:vAlign w:val="center"/>
                </w:tcPr>
                <w:p w14:paraId="266EDA8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1.953</w:t>
                  </w:r>
                </w:p>
              </w:tc>
              <w:tc>
                <w:tcPr>
                  <w:tcW w:w="622" w:type="pct"/>
                  <w:tcBorders>
                    <w:tl2br w:val="nil"/>
                    <w:tr2bl w:val="nil"/>
                  </w:tcBorders>
                  <w:noWrap w:val="0"/>
                  <w:vAlign w:val="center"/>
                </w:tcPr>
                <w:p w14:paraId="61771D4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0.005</w:t>
                  </w:r>
                </w:p>
              </w:tc>
              <w:tc>
                <w:tcPr>
                  <w:tcW w:w="617" w:type="pct"/>
                  <w:tcBorders>
                    <w:tl2br w:val="nil"/>
                    <w:tr2bl w:val="nil"/>
                  </w:tcBorders>
                  <w:noWrap w:val="0"/>
                  <w:vAlign w:val="center"/>
                </w:tcPr>
                <w:p w14:paraId="7B2CFA7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0.132</w:t>
                  </w:r>
                </w:p>
              </w:tc>
              <w:tc>
                <w:tcPr>
                  <w:tcW w:w="788" w:type="pct"/>
                  <w:vMerge w:val="continue"/>
                  <w:tcBorders>
                    <w:tl2br w:val="nil"/>
                    <w:tr2bl w:val="nil"/>
                  </w:tcBorders>
                  <w:noWrap w:val="0"/>
                  <w:vAlign w:val="center"/>
                </w:tcPr>
                <w:p w14:paraId="351FFA7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highlight w:val="none"/>
                      <w:u w:val="none"/>
                    </w:rPr>
                  </w:pPr>
                </w:p>
              </w:tc>
              <w:tc>
                <w:tcPr>
                  <w:tcW w:w="476" w:type="pct"/>
                  <w:tcBorders>
                    <w:tl2br w:val="nil"/>
                    <w:tr2bl w:val="nil"/>
                  </w:tcBorders>
                  <w:noWrap w:val="0"/>
                  <w:vAlign w:val="center"/>
                </w:tcPr>
                <w:p w14:paraId="68EF5C3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0.439</w:t>
                  </w:r>
                </w:p>
              </w:tc>
              <w:tc>
                <w:tcPr>
                  <w:tcW w:w="533" w:type="pct"/>
                  <w:tcBorders>
                    <w:tl2br w:val="nil"/>
                    <w:tr2bl w:val="nil"/>
                  </w:tcBorders>
                  <w:noWrap w:val="0"/>
                  <w:vAlign w:val="center"/>
                </w:tcPr>
                <w:p w14:paraId="28F9154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0.0011</w:t>
                  </w:r>
                </w:p>
              </w:tc>
              <w:tc>
                <w:tcPr>
                  <w:tcW w:w="581" w:type="pct"/>
                  <w:tcBorders>
                    <w:tl2br w:val="nil"/>
                    <w:tr2bl w:val="nil"/>
                  </w:tcBorders>
                  <w:noWrap w:val="0"/>
                  <w:vAlign w:val="center"/>
                </w:tcPr>
                <w:p w14:paraId="1FF7B27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0.030</w:t>
                  </w:r>
                </w:p>
              </w:tc>
            </w:tr>
          </w:tbl>
          <w:p w14:paraId="3C3B1EC8">
            <w:pPr>
              <w:pStyle w:val="29"/>
              <w:numPr>
                <w:ilvl w:val="0"/>
                <w:numId w:val="0"/>
              </w:numPr>
              <w:ind w:left="400" w:leftChars="0"/>
              <w:jc w:val="left"/>
              <w:rPr>
                <w:rFonts w:hint="eastAsia" w:ascii="Times New Roman" w:hAnsi="Times New Roman" w:eastAsia="宋体" w:cs="宋体"/>
                <w:color w:val="auto"/>
                <w:kern w:val="2"/>
                <w:sz w:val="24"/>
                <w:szCs w:val="24"/>
                <w:highlight w:val="none"/>
                <w:lang w:val="en-US" w:eastAsia="zh-CN" w:bidi="ar-SA"/>
              </w:rPr>
            </w:pPr>
            <w:r>
              <w:rPr>
                <w:rFonts w:hint="eastAsia" w:ascii="Times New Roman" w:hAnsi="Times New Roman" w:eastAsia="宋体" w:cs="宋体"/>
                <w:color w:val="auto"/>
                <w:kern w:val="2"/>
                <w:sz w:val="24"/>
                <w:szCs w:val="24"/>
                <w:highlight w:val="none"/>
                <w:lang w:val="en-US" w:eastAsia="zh-CN" w:bidi="ar-SA"/>
              </w:rPr>
              <w:t>2）食堂油烟</w:t>
            </w:r>
          </w:p>
          <w:p w14:paraId="501C8728">
            <w:pPr>
              <w:bidi w:val="0"/>
              <w:jc w:val="left"/>
              <w:rPr>
                <w:rFonts w:hint="default"/>
                <w:color w:val="auto"/>
                <w:highlight w:val="none"/>
                <w:lang w:val="en-US" w:eastAsia="zh-CN"/>
              </w:rPr>
            </w:pPr>
            <w:r>
              <w:rPr>
                <w:rFonts w:hint="default"/>
                <w:color w:val="auto"/>
                <w:highlight w:val="none"/>
                <w:lang w:val="en-US" w:eastAsia="zh-CN"/>
              </w:rPr>
              <w:t>本项目最大用餐人数为</w:t>
            </w:r>
            <w:r>
              <w:rPr>
                <w:rFonts w:hint="eastAsia"/>
                <w:color w:val="auto"/>
                <w:highlight w:val="none"/>
                <w:lang w:val="en-US" w:eastAsia="zh-CN"/>
              </w:rPr>
              <w:t>1625人</w:t>
            </w:r>
            <w:r>
              <w:rPr>
                <w:rFonts w:hint="default"/>
                <w:color w:val="auto"/>
                <w:highlight w:val="none"/>
                <w:lang w:val="en-US" w:eastAsia="zh-CN"/>
              </w:rPr>
              <w:t>。项目设有</w:t>
            </w:r>
            <w:r>
              <w:rPr>
                <w:rFonts w:hint="eastAsia"/>
                <w:color w:val="auto"/>
                <w:highlight w:val="none"/>
                <w:lang w:val="en-US" w:eastAsia="zh-CN"/>
              </w:rPr>
              <w:t>16</w:t>
            </w:r>
            <w:r>
              <w:rPr>
                <w:rFonts w:hint="default"/>
                <w:color w:val="auto"/>
                <w:highlight w:val="none"/>
                <w:lang w:val="en-US" w:eastAsia="zh-CN"/>
              </w:rPr>
              <w:t>个灶头，规模属于</w:t>
            </w:r>
            <w:r>
              <w:rPr>
                <w:rFonts w:hint="eastAsia"/>
                <w:color w:val="auto"/>
                <w:highlight w:val="none"/>
                <w:lang w:val="en-US" w:eastAsia="zh-CN"/>
              </w:rPr>
              <w:t>大</w:t>
            </w:r>
            <w:r>
              <w:rPr>
                <w:rFonts w:hint="default"/>
                <w:color w:val="auto"/>
                <w:highlight w:val="none"/>
                <w:lang w:val="en-US" w:eastAsia="zh-CN"/>
              </w:rPr>
              <w:t>型食堂。食堂做饭采用的能源为</w:t>
            </w:r>
            <w:r>
              <w:rPr>
                <w:rFonts w:hint="eastAsia"/>
                <w:color w:val="auto"/>
                <w:highlight w:val="none"/>
                <w:lang w:val="en-US" w:eastAsia="zh-CN"/>
              </w:rPr>
              <w:t>天然气</w:t>
            </w:r>
            <w:r>
              <w:rPr>
                <w:rFonts w:hint="default"/>
                <w:color w:val="auto"/>
                <w:highlight w:val="none"/>
                <w:lang w:val="en-US" w:eastAsia="zh-CN"/>
              </w:rPr>
              <w:t>，做饭产生的油烟量不大，污染物浓度较低。</w:t>
            </w:r>
          </w:p>
          <w:p w14:paraId="3A73ECD3">
            <w:pPr>
              <w:bidi w:val="0"/>
              <w:jc w:val="left"/>
              <w:rPr>
                <w:rFonts w:hint="default"/>
                <w:color w:val="auto"/>
                <w:highlight w:val="none"/>
                <w:lang w:val="en-US" w:eastAsia="zh-CN"/>
              </w:rPr>
            </w:pPr>
            <w:r>
              <w:rPr>
                <w:rFonts w:hint="default"/>
                <w:color w:val="auto"/>
                <w:highlight w:val="none"/>
                <w:lang w:val="en-US" w:eastAsia="zh-CN"/>
              </w:rPr>
              <w:t>根据《中国居民膳食指南（2016）》，每日成年人烹调油摄入量为25～30</w:t>
            </w:r>
            <w:r>
              <w:rPr>
                <w:rFonts w:hint="eastAsia"/>
                <w:color w:val="auto"/>
                <w:highlight w:val="none"/>
                <w:lang w:val="en-US" w:eastAsia="zh-CN"/>
              </w:rPr>
              <w:t>g</w:t>
            </w:r>
            <w:r>
              <w:rPr>
                <w:rFonts w:hint="default"/>
                <w:color w:val="auto"/>
                <w:highlight w:val="none"/>
                <w:lang w:val="en-US" w:eastAsia="zh-CN"/>
              </w:rPr>
              <w:t>，本次评价按30</w:t>
            </w:r>
            <w:r>
              <w:rPr>
                <w:rFonts w:hint="eastAsia"/>
                <w:color w:val="auto"/>
                <w:highlight w:val="none"/>
                <w:lang w:val="en-US" w:eastAsia="zh-CN"/>
              </w:rPr>
              <w:t>g</w:t>
            </w:r>
            <w:r>
              <w:rPr>
                <w:rFonts w:hint="default"/>
                <w:color w:val="auto"/>
                <w:highlight w:val="none"/>
                <w:lang w:val="en-US" w:eastAsia="zh-CN"/>
              </w:rPr>
              <w:t>计。则本项目食堂食用油消耗量为</w:t>
            </w:r>
            <w:r>
              <w:rPr>
                <w:rFonts w:hint="eastAsia"/>
                <w:color w:val="auto"/>
                <w:highlight w:val="none"/>
                <w:lang w:val="en-US" w:eastAsia="zh-CN"/>
              </w:rPr>
              <w:t>48.75</w:t>
            </w:r>
            <w:r>
              <w:rPr>
                <w:rFonts w:hint="default"/>
                <w:color w:val="auto"/>
                <w:highlight w:val="none"/>
                <w:lang w:val="en-US" w:eastAsia="zh-CN"/>
              </w:rPr>
              <w:t>kg/d</w:t>
            </w:r>
            <w:r>
              <w:rPr>
                <w:rFonts w:hint="eastAsia"/>
                <w:color w:val="auto"/>
                <w:highlight w:val="none"/>
                <w:lang w:val="en-US" w:eastAsia="zh-CN"/>
              </w:rPr>
              <w:t>，</w:t>
            </w:r>
            <w:r>
              <w:rPr>
                <w:rFonts w:hint="default"/>
                <w:color w:val="auto"/>
                <w:highlight w:val="none"/>
                <w:lang w:val="en-US" w:eastAsia="zh-CN"/>
              </w:rPr>
              <w:t>年消耗量为</w:t>
            </w:r>
            <w:r>
              <w:rPr>
                <w:rFonts w:hint="eastAsia"/>
                <w:color w:val="auto"/>
                <w:highlight w:val="none"/>
                <w:lang w:val="en-US" w:eastAsia="zh-CN"/>
              </w:rPr>
              <w:t>9.75</w:t>
            </w:r>
            <w:r>
              <w:rPr>
                <w:rFonts w:hint="default"/>
                <w:color w:val="auto"/>
                <w:highlight w:val="none"/>
                <w:lang w:val="en-US" w:eastAsia="zh-CN"/>
              </w:rPr>
              <w:t>t</w:t>
            </w:r>
            <w:r>
              <w:rPr>
                <w:rFonts w:hint="eastAsia"/>
                <w:color w:val="auto"/>
                <w:highlight w:val="none"/>
                <w:lang w:val="en-US" w:eastAsia="zh-CN"/>
              </w:rPr>
              <w:t>，</w:t>
            </w:r>
            <w:r>
              <w:rPr>
                <w:rFonts w:hint="default"/>
                <w:color w:val="auto"/>
                <w:highlight w:val="none"/>
                <w:lang w:val="en-US" w:eastAsia="zh-CN"/>
              </w:rPr>
              <w:t>油烟挥发量一般为用油量的1%～3%</w:t>
            </w:r>
            <w:r>
              <w:rPr>
                <w:rFonts w:hint="eastAsia"/>
                <w:color w:val="auto"/>
                <w:highlight w:val="none"/>
                <w:lang w:val="en-US" w:eastAsia="zh-CN"/>
              </w:rPr>
              <w:t>，</w:t>
            </w:r>
            <w:r>
              <w:rPr>
                <w:rFonts w:hint="default"/>
                <w:color w:val="auto"/>
                <w:highlight w:val="none"/>
                <w:lang w:val="en-US" w:eastAsia="zh-CN"/>
              </w:rPr>
              <w:t>本环评取3%计，则油烟产生量为</w:t>
            </w:r>
            <w:r>
              <w:rPr>
                <w:rFonts w:hint="eastAsia"/>
                <w:color w:val="auto"/>
                <w:highlight w:val="none"/>
                <w:lang w:val="en-US" w:eastAsia="zh-CN"/>
              </w:rPr>
              <w:t>0.293t</w:t>
            </w:r>
            <w:r>
              <w:rPr>
                <w:rFonts w:hint="default"/>
                <w:color w:val="auto"/>
                <w:highlight w:val="none"/>
                <w:lang w:val="en-US" w:eastAsia="zh-CN"/>
              </w:rPr>
              <w:t>/a。单个灶头排风量以</w:t>
            </w:r>
            <w:r>
              <w:rPr>
                <w:rFonts w:hint="eastAsia"/>
                <w:color w:val="auto"/>
                <w:highlight w:val="none"/>
                <w:lang w:val="en-US" w:eastAsia="zh-CN"/>
              </w:rPr>
              <w:t>2</w:t>
            </w:r>
            <w:r>
              <w:rPr>
                <w:rFonts w:hint="default"/>
                <w:color w:val="auto"/>
                <w:highlight w:val="none"/>
                <w:lang w:val="en-US" w:eastAsia="zh-CN"/>
              </w:rPr>
              <w:t>000m</w:t>
            </w:r>
            <w:r>
              <w:rPr>
                <w:rFonts w:hint="eastAsia"/>
                <w:color w:val="auto"/>
                <w:highlight w:val="none"/>
                <w:vertAlign w:val="superscript"/>
                <w:lang w:val="en-US" w:eastAsia="zh-CN"/>
              </w:rPr>
              <w:t>3</w:t>
            </w:r>
            <w:r>
              <w:rPr>
                <w:rFonts w:hint="default"/>
                <w:color w:val="auto"/>
                <w:highlight w:val="none"/>
                <w:lang w:val="en-US" w:eastAsia="zh-CN"/>
              </w:rPr>
              <w:t>/h</w:t>
            </w:r>
            <w:r>
              <w:rPr>
                <w:rFonts w:hint="eastAsia"/>
                <w:color w:val="auto"/>
                <w:highlight w:val="none"/>
                <w:lang w:val="en-US" w:eastAsia="zh-CN"/>
              </w:rPr>
              <w:t>计，</w:t>
            </w:r>
            <w:r>
              <w:rPr>
                <w:rFonts w:hint="default"/>
                <w:color w:val="auto"/>
                <w:highlight w:val="none"/>
                <w:lang w:val="en-US" w:eastAsia="zh-CN"/>
              </w:rPr>
              <w:t>年运行</w:t>
            </w:r>
            <w:r>
              <w:rPr>
                <w:rFonts w:hint="eastAsia"/>
                <w:color w:val="auto"/>
                <w:highlight w:val="none"/>
                <w:lang w:val="en-US" w:eastAsia="zh-CN"/>
              </w:rPr>
              <w:t>200</w:t>
            </w:r>
            <w:r>
              <w:rPr>
                <w:rFonts w:hint="default"/>
                <w:color w:val="auto"/>
                <w:highlight w:val="none"/>
                <w:lang w:val="en-US" w:eastAsia="zh-CN"/>
              </w:rPr>
              <w:t>天，日工作</w:t>
            </w:r>
            <w:r>
              <w:rPr>
                <w:rFonts w:hint="eastAsia"/>
                <w:color w:val="auto"/>
                <w:highlight w:val="none"/>
                <w:lang w:val="en-US" w:eastAsia="zh-CN"/>
              </w:rPr>
              <w:t>6</w:t>
            </w:r>
            <w:r>
              <w:rPr>
                <w:rFonts w:hint="default"/>
                <w:color w:val="auto"/>
                <w:highlight w:val="none"/>
                <w:lang w:val="en-US" w:eastAsia="zh-CN"/>
              </w:rPr>
              <w:t>h计。则该项目油烟产生量为0.</w:t>
            </w:r>
            <w:r>
              <w:rPr>
                <w:rFonts w:hint="eastAsia"/>
                <w:color w:val="auto"/>
                <w:highlight w:val="none"/>
                <w:lang w:val="en-US" w:eastAsia="zh-CN"/>
              </w:rPr>
              <w:t>244</w:t>
            </w:r>
            <w:r>
              <w:rPr>
                <w:rFonts w:hint="default"/>
                <w:color w:val="auto"/>
                <w:highlight w:val="none"/>
                <w:lang w:val="en-US" w:eastAsia="zh-CN"/>
              </w:rPr>
              <w:t>kg/h</w:t>
            </w:r>
            <w:r>
              <w:rPr>
                <w:rFonts w:hint="eastAsia"/>
                <w:color w:val="auto"/>
                <w:highlight w:val="none"/>
                <w:lang w:val="en-US" w:eastAsia="zh-CN"/>
              </w:rPr>
              <w:t>，</w:t>
            </w:r>
            <w:r>
              <w:rPr>
                <w:rFonts w:hint="default"/>
                <w:color w:val="auto"/>
                <w:highlight w:val="none"/>
                <w:lang w:val="en-US" w:eastAsia="zh-CN"/>
              </w:rPr>
              <w:t>油烟产生浓度为</w:t>
            </w:r>
            <w:r>
              <w:rPr>
                <w:rFonts w:hint="eastAsia"/>
                <w:color w:val="auto"/>
                <w:highlight w:val="none"/>
                <w:lang w:val="en-US" w:eastAsia="zh-CN"/>
              </w:rPr>
              <w:t>7.63</w:t>
            </w:r>
            <w:r>
              <w:rPr>
                <w:rFonts w:hint="default"/>
                <w:color w:val="auto"/>
                <w:highlight w:val="none"/>
                <w:lang w:val="en-US" w:eastAsia="zh-CN"/>
              </w:rPr>
              <w:t>mg/m</w:t>
            </w:r>
            <w:r>
              <w:rPr>
                <w:rFonts w:hint="eastAsia"/>
                <w:color w:val="auto"/>
                <w:highlight w:val="none"/>
                <w:vertAlign w:val="superscript"/>
                <w:lang w:val="en-US" w:eastAsia="zh-CN"/>
              </w:rPr>
              <w:t>3</w:t>
            </w:r>
            <w:r>
              <w:rPr>
                <w:rFonts w:hint="default"/>
                <w:color w:val="auto"/>
                <w:highlight w:val="none"/>
                <w:lang w:val="en-US" w:eastAsia="zh-CN"/>
              </w:rPr>
              <w:t>。本项目油烟</w:t>
            </w:r>
            <w:r>
              <w:rPr>
                <w:rFonts w:hint="eastAsia"/>
                <w:color w:val="auto"/>
                <w:highlight w:val="none"/>
                <w:lang w:val="en-US" w:eastAsia="zh-CN"/>
              </w:rPr>
              <w:t>经集气罩收集后</w:t>
            </w:r>
            <w:r>
              <w:rPr>
                <w:rFonts w:hint="default"/>
                <w:color w:val="auto"/>
                <w:highlight w:val="none"/>
                <w:lang w:val="en-US" w:eastAsia="zh-CN"/>
              </w:rPr>
              <w:t>采用静电式油烟净化器处理，</w:t>
            </w:r>
            <w:r>
              <w:rPr>
                <w:rFonts w:hint="eastAsia"/>
                <w:color w:val="auto"/>
                <w:highlight w:val="none"/>
                <w:lang w:val="en-US" w:eastAsia="zh-CN"/>
              </w:rPr>
              <w:t>收集效率为90%，</w:t>
            </w:r>
            <w:r>
              <w:rPr>
                <w:rFonts w:hint="default"/>
                <w:color w:val="auto"/>
                <w:highlight w:val="none"/>
                <w:lang w:val="en-US" w:eastAsia="zh-CN"/>
              </w:rPr>
              <w:t>处理效率为</w:t>
            </w:r>
            <w:r>
              <w:rPr>
                <w:rFonts w:hint="eastAsia"/>
                <w:color w:val="auto"/>
                <w:highlight w:val="none"/>
                <w:lang w:val="en-US" w:eastAsia="zh-CN"/>
              </w:rPr>
              <w:t>85</w:t>
            </w:r>
            <w:r>
              <w:rPr>
                <w:rFonts w:hint="default"/>
                <w:color w:val="auto"/>
                <w:highlight w:val="none"/>
                <w:lang w:val="en-US" w:eastAsia="zh-CN"/>
              </w:rPr>
              <w:t>%</w:t>
            </w:r>
            <w:r>
              <w:rPr>
                <w:rFonts w:hint="eastAsia"/>
                <w:color w:val="auto"/>
                <w:highlight w:val="none"/>
                <w:lang w:val="en-US" w:eastAsia="zh-CN"/>
              </w:rPr>
              <w:t>，</w:t>
            </w:r>
            <w:r>
              <w:rPr>
                <w:rFonts w:hint="default"/>
                <w:color w:val="auto"/>
                <w:highlight w:val="none"/>
                <w:lang w:val="en-US" w:eastAsia="zh-CN"/>
              </w:rPr>
              <w:t>处理后的油烟</w:t>
            </w:r>
            <w:r>
              <w:rPr>
                <w:rFonts w:hint="eastAsia"/>
                <w:color w:val="auto"/>
                <w:highlight w:val="none"/>
                <w:lang w:val="en-US" w:eastAsia="zh-CN"/>
              </w:rPr>
              <w:t>屋顶排放，</w:t>
            </w:r>
            <w:r>
              <w:rPr>
                <w:rFonts w:hint="default"/>
                <w:color w:val="auto"/>
                <w:highlight w:val="none"/>
                <w:lang w:val="en-US" w:eastAsia="zh-CN"/>
              </w:rPr>
              <w:t>排放浓度为</w:t>
            </w:r>
            <w:r>
              <w:rPr>
                <w:rFonts w:hint="eastAsia"/>
                <w:color w:val="auto"/>
                <w:highlight w:val="none"/>
                <w:lang w:val="en-US" w:eastAsia="zh-CN"/>
              </w:rPr>
              <w:t>1.03</w:t>
            </w:r>
            <w:r>
              <w:rPr>
                <w:rFonts w:hint="default"/>
                <w:color w:val="auto"/>
                <w:highlight w:val="none"/>
                <w:lang w:val="en-US" w:eastAsia="zh-CN"/>
              </w:rPr>
              <w:t>mg/m</w:t>
            </w:r>
            <w:r>
              <w:rPr>
                <w:rFonts w:hint="eastAsia"/>
                <w:color w:val="auto"/>
                <w:highlight w:val="none"/>
                <w:vertAlign w:val="superscript"/>
                <w:lang w:val="en-US" w:eastAsia="zh-CN"/>
              </w:rPr>
              <w:t>3</w:t>
            </w:r>
            <w:r>
              <w:rPr>
                <w:rFonts w:hint="eastAsia"/>
                <w:color w:val="auto"/>
                <w:highlight w:val="none"/>
                <w:lang w:val="en-US" w:eastAsia="zh-CN"/>
              </w:rPr>
              <w:t>，</w:t>
            </w:r>
            <w:r>
              <w:rPr>
                <w:rFonts w:hint="default"/>
                <w:color w:val="auto"/>
                <w:highlight w:val="none"/>
                <w:lang w:val="en-US" w:eastAsia="zh-CN"/>
              </w:rPr>
              <w:t>排放量为</w:t>
            </w:r>
            <w:r>
              <w:rPr>
                <w:rFonts w:hint="eastAsia"/>
                <w:color w:val="auto"/>
                <w:highlight w:val="none"/>
                <w:lang w:val="en-US" w:eastAsia="zh-CN"/>
              </w:rPr>
              <w:t>0.033</w:t>
            </w:r>
            <w:r>
              <w:rPr>
                <w:rFonts w:hint="default"/>
                <w:color w:val="auto"/>
                <w:highlight w:val="none"/>
                <w:lang w:val="en-US" w:eastAsia="zh-CN"/>
              </w:rPr>
              <w:t>kg/h</w:t>
            </w:r>
            <w:r>
              <w:rPr>
                <w:rFonts w:hint="eastAsia"/>
                <w:color w:val="auto"/>
                <w:highlight w:val="none"/>
                <w:lang w:val="en-US" w:eastAsia="zh-CN"/>
              </w:rPr>
              <w:t>（39.56t</w:t>
            </w:r>
            <w:r>
              <w:rPr>
                <w:rFonts w:hint="default"/>
                <w:color w:val="auto"/>
                <w:highlight w:val="none"/>
                <w:lang w:val="en-US" w:eastAsia="zh-CN"/>
              </w:rPr>
              <w:t>/a</w:t>
            </w:r>
            <w:r>
              <w:rPr>
                <w:rFonts w:hint="eastAsia"/>
                <w:color w:val="auto"/>
                <w:highlight w:val="none"/>
                <w:lang w:val="en-US" w:eastAsia="zh-CN"/>
              </w:rPr>
              <w:t>）</w:t>
            </w:r>
            <w:r>
              <w:rPr>
                <w:rFonts w:hint="default"/>
                <w:color w:val="auto"/>
                <w:highlight w:val="none"/>
                <w:lang w:val="en-US" w:eastAsia="zh-CN"/>
              </w:rPr>
              <w:t>。对周边环境影响较小。</w:t>
            </w:r>
          </w:p>
          <w:p w14:paraId="52017F3B">
            <w:pPr>
              <w:pStyle w:val="29"/>
              <w:keepNext w:val="0"/>
              <w:keepLines w:val="0"/>
              <w:pageBreakBefore w:val="0"/>
              <w:widowControl w:val="0"/>
              <w:numPr>
                <w:ilvl w:val="0"/>
                <w:numId w:val="11"/>
              </w:numPr>
              <w:kinsoku/>
              <w:wordWrap/>
              <w:overflowPunct/>
              <w:topLinePunct w:val="0"/>
              <w:autoSpaceDE/>
              <w:autoSpaceDN/>
              <w:bidi w:val="0"/>
              <w:adjustRightInd/>
              <w:snapToGrid/>
              <w:spacing w:before="0" w:after="0" w:line="360" w:lineRule="auto"/>
              <w:ind w:left="0" w:leftChars="0" w:firstLine="480" w:firstLineChars="200"/>
              <w:jc w:val="left"/>
              <w:textAlignment w:val="baseline"/>
              <w:rPr>
                <w:rFonts w:hint="default" w:ascii="Times New Roman" w:hAnsi="Times New Roman" w:eastAsia="宋体" w:cs="宋体"/>
                <w:color w:val="auto"/>
                <w:kern w:val="2"/>
                <w:sz w:val="24"/>
                <w:szCs w:val="24"/>
                <w:highlight w:val="none"/>
                <w:lang w:val="en-US" w:eastAsia="zh-CN" w:bidi="ar-SA"/>
              </w:rPr>
            </w:pPr>
            <w:bookmarkStart w:id="45" w:name="_Toc27379"/>
            <w:bookmarkStart w:id="46" w:name="_Toc13612"/>
            <w:r>
              <w:rPr>
                <w:rFonts w:hint="eastAsia" w:ascii="Times New Roman" w:hAnsi="Times New Roman" w:eastAsia="宋体" w:cs="宋体"/>
                <w:color w:val="auto"/>
                <w:kern w:val="2"/>
                <w:sz w:val="24"/>
                <w:szCs w:val="24"/>
                <w:highlight w:val="none"/>
                <w:lang w:val="en-US" w:eastAsia="zh-CN" w:bidi="ar-SA"/>
              </w:rPr>
              <w:t>废气达标排放分析</w:t>
            </w:r>
          </w:p>
          <w:p w14:paraId="7D769069">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kern w:val="2"/>
                <w:sz w:val="21"/>
                <w:szCs w:val="21"/>
                <w:highlight w:val="none"/>
                <w:lang w:val="en-US" w:eastAsia="zh-CN" w:bidi="ar"/>
              </w:rPr>
              <w:t>表</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STYLEREF 1 \s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4</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default" w:ascii="Times New Roman" w:hAnsi="Times New Roman" w:eastAsia="宋体" w:cs="Times New Roman"/>
                <w:b/>
                <w:bCs/>
                <w:color w:val="auto"/>
                <w:kern w:val="2"/>
                <w:sz w:val="21"/>
                <w:szCs w:val="21"/>
                <w:highlight w:val="none"/>
                <w:lang w:val="en-US" w:eastAsia="zh-CN" w:bidi="ar"/>
              </w:rPr>
              <w:t>-</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SEQ 表 \* ARABIC \s 1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8</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eastAsia" w:ascii="Times New Roman" w:hAnsi="Times New Roman" w:eastAsia="宋体" w:cs="Times New Roman"/>
                <w:b/>
                <w:bCs/>
                <w:color w:val="auto"/>
                <w:kern w:val="2"/>
                <w:sz w:val="21"/>
                <w:szCs w:val="21"/>
                <w:highlight w:val="none"/>
                <w:lang w:val="en-US" w:eastAsia="zh-CN" w:bidi="ar"/>
              </w:rPr>
              <w:t xml:space="preserve"> </w:t>
            </w:r>
            <w:r>
              <w:rPr>
                <w:rFonts w:hint="default" w:ascii="Times New Roman" w:hAnsi="Times New Roman" w:eastAsia="宋体" w:cs="Times New Roman"/>
                <w:color w:val="auto"/>
                <w:sz w:val="21"/>
                <w:szCs w:val="21"/>
                <w:highlight w:val="none"/>
                <w:lang w:val="en-US" w:eastAsia="zh-CN"/>
              </w:rPr>
              <w:t>本项目有组织废气排放达标情况分析一览表</w:t>
            </w:r>
          </w:p>
          <w:tbl>
            <w:tblPr>
              <w:tblStyle w:val="33"/>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31"/>
              <w:gridCol w:w="569"/>
              <w:gridCol w:w="1206"/>
              <w:gridCol w:w="920"/>
              <w:gridCol w:w="839"/>
              <w:gridCol w:w="900"/>
              <w:gridCol w:w="888"/>
              <w:gridCol w:w="526"/>
              <w:gridCol w:w="2017"/>
            </w:tblGrid>
            <w:tr w14:paraId="3EAD6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425" w:type="pct"/>
                  <w:vMerge w:val="restart"/>
                  <w:tcBorders>
                    <w:tl2br w:val="nil"/>
                    <w:tr2bl w:val="nil"/>
                  </w:tcBorders>
                  <w:noWrap w:val="0"/>
                  <w:vAlign w:val="center"/>
                </w:tcPr>
                <w:p w14:paraId="59090E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lang w:val="en-US" w:eastAsia="zh-CN"/>
                    </w:rPr>
                  </w:pPr>
                  <w:r>
                    <w:rPr>
                      <w:rFonts w:hint="default" w:ascii="Times New Roman" w:hAnsi="Times New Roman" w:eastAsia="宋体" w:cs="Times New Roman"/>
                      <w:b/>
                      <w:bCs/>
                      <w:color w:val="auto"/>
                      <w:kern w:val="0"/>
                      <w:sz w:val="21"/>
                      <w:szCs w:val="21"/>
                      <w:highlight w:val="none"/>
                      <w:u w:val="none"/>
                      <w:lang w:val="en-US" w:eastAsia="zh-CN"/>
                    </w:rPr>
                    <w:t>排放口编号</w:t>
                  </w:r>
                </w:p>
              </w:tc>
              <w:tc>
                <w:tcPr>
                  <w:tcW w:w="331" w:type="pct"/>
                  <w:vMerge w:val="restart"/>
                  <w:tcBorders>
                    <w:tl2br w:val="nil"/>
                    <w:tr2bl w:val="nil"/>
                  </w:tcBorders>
                  <w:noWrap w:val="0"/>
                  <w:vAlign w:val="center"/>
                </w:tcPr>
                <w:p w14:paraId="1E1604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lang w:val="en-US" w:eastAsia="zh-CN"/>
                    </w:rPr>
                  </w:pPr>
                  <w:r>
                    <w:rPr>
                      <w:rFonts w:hint="default" w:ascii="Times New Roman" w:hAnsi="Times New Roman" w:eastAsia="宋体" w:cs="Times New Roman"/>
                      <w:b/>
                      <w:bCs/>
                      <w:color w:val="auto"/>
                      <w:kern w:val="0"/>
                      <w:sz w:val="21"/>
                      <w:szCs w:val="21"/>
                      <w:highlight w:val="none"/>
                      <w:u w:val="none"/>
                      <w:lang w:val="en-US" w:eastAsia="zh-CN"/>
                    </w:rPr>
                    <w:t>污染源</w:t>
                  </w:r>
                </w:p>
              </w:tc>
              <w:tc>
                <w:tcPr>
                  <w:tcW w:w="701" w:type="pct"/>
                  <w:vMerge w:val="restart"/>
                  <w:tcBorders>
                    <w:tl2br w:val="nil"/>
                    <w:tr2bl w:val="nil"/>
                  </w:tcBorders>
                  <w:noWrap w:val="0"/>
                  <w:vAlign w:val="center"/>
                </w:tcPr>
                <w:p w14:paraId="7182F8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lang w:eastAsia="zh-CN"/>
                    </w:rPr>
                  </w:pPr>
                  <w:r>
                    <w:rPr>
                      <w:rFonts w:hint="default" w:ascii="Times New Roman" w:hAnsi="Times New Roman" w:eastAsia="宋体" w:cs="Times New Roman"/>
                      <w:b/>
                      <w:bCs/>
                      <w:color w:val="auto"/>
                      <w:kern w:val="0"/>
                      <w:sz w:val="21"/>
                      <w:szCs w:val="21"/>
                      <w:highlight w:val="none"/>
                      <w:u w:val="none"/>
                      <w:lang w:eastAsia="zh-CN"/>
                    </w:rPr>
                    <w:t>污染物</w:t>
                  </w:r>
                </w:p>
              </w:tc>
              <w:tc>
                <w:tcPr>
                  <w:tcW w:w="1023" w:type="pct"/>
                  <w:gridSpan w:val="2"/>
                  <w:tcBorders>
                    <w:tl2br w:val="nil"/>
                    <w:tr2bl w:val="nil"/>
                  </w:tcBorders>
                  <w:noWrap w:val="0"/>
                  <w:vAlign w:val="center"/>
                </w:tcPr>
                <w:p w14:paraId="3FC368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lang w:eastAsia="zh-CN"/>
                    </w:rPr>
                  </w:pPr>
                  <w:r>
                    <w:rPr>
                      <w:rFonts w:hint="default" w:ascii="Times New Roman" w:hAnsi="Times New Roman" w:eastAsia="宋体" w:cs="Times New Roman"/>
                      <w:b/>
                      <w:bCs/>
                      <w:color w:val="auto"/>
                      <w:kern w:val="0"/>
                      <w:sz w:val="21"/>
                      <w:szCs w:val="21"/>
                      <w:highlight w:val="none"/>
                      <w:u w:val="none"/>
                      <w:lang w:eastAsia="zh-CN"/>
                    </w:rPr>
                    <w:t>污染物排放情况</w:t>
                  </w:r>
                </w:p>
              </w:tc>
              <w:tc>
                <w:tcPr>
                  <w:tcW w:w="1039" w:type="pct"/>
                  <w:gridSpan w:val="2"/>
                  <w:tcBorders>
                    <w:tl2br w:val="nil"/>
                    <w:tr2bl w:val="nil"/>
                  </w:tcBorders>
                  <w:noWrap w:val="0"/>
                  <w:vAlign w:val="center"/>
                </w:tcPr>
                <w:p w14:paraId="397727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lang w:eastAsia="zh-CN"/>
                    </w:rPr>
                  </w:pPr>
                  <w:r>
                    <w:rPr>
                      <w:rFonts w:hint="default" w:ascii="Times New Roman" w:hAnsi="Times New Roman" w:eastAsia="宋体" w:cs="Times New Roman"/>
                      <w:b/>
                      <w:bCs/>
                      <w:color w:val="auto"/>
                      <w:sz w:val="21"/>
                      <w:szCs w:val="21"/>
                      <w:highlight w:val="none"/>
                      <w:vertAlign w:val="baseline"/>
                      <w:lang w:val="en-US" w:eastAsia="zh-CN"/>
                    </w:rPr>
                    <w:t>国家或地方污染物排放标准限值</w:t>
                  </w:r>
                </w:p>
              </w:tc>
              <w:tc>
                <w:tcPr>
                  <w:tcW w:w="306" w:type="pct"/>
                  <w:vMerge w:val="restart"/>
                  <w:tcBorders>
                    <w:tl2br w:val="nil"/>
                    <w:tr2bl w:val="nil"/>
                  </w:tcBorders>
                  <w:noWrap w:val="0"/>
                  <w:vAlign w:val="center"/>
                </w:tcPr>
                <w:p w14:paraId="5E5293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达标情况</w:t>
                  </w:r>
                </w:p>
              </w:tc>
              <w:tc>
                <w:tcPr>
                  <w:tcW w:w="1172" w:type="pct"/>
                  <w:vMerge w:val="restart"/>
                  <w:tcBorders>
                    <w:tl2br w:val="nil"/>
                    <w:tr2bl w:val="nil"/>
                  </w:tcBorders>
                  <w:noWrap w:val="0"/>
                  <w:vAlign w:val="center"/>
                </w:tcPr>
                <w:p w14:paraId="188164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执行标准</w:t>
                  </w:r>
                </w:p>
              </w:tc>
            </w:tr>
            <w:tr w14:paraId="6AA09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425" w:type="pct"/>
                  <w:vMerge w:val="continue"/>
                  <w:tcBorders>
                    <w:tl2br w:val="nil"/>
                    <w:tr2bl w:val="nil"/>
                  </w:tcBorders>
                  <w:noWrap w:val="0"/>
                  <w:vAlign w:val="center"/>
                </w:tcPr>
                <w:p w14:paraId="74CECC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rPr>
                  </w:pPr>
                </w:p>
              </w:tc>
              <w:tc>
                <w:tcPr>
                  <w:tcW w:w="331" w:type="pct"/>
                  <w:vMerge w:val="continue"/>
                  <w:tcBorders>
                    <w:tl2br w:val="nil"/>
                    <w:tr2bl w:val="nil"/>
                  </w:tcBorders>
                  <w:noWrap w:val="0"/>
                  <w:vAlign w:val="center"/>
                </w:tcPr>
                <w:p w14:paraId="69FD14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rPr>
                  </w:pPr>
                </w:p>
              </w:tc>
              <w:tc>
                <w:tcPr>
                  <w:tcW w:w="701" w:type="pct"/>
                  <w:vMerge w:val="continue"/>
                  <w:tcBorders>
                    <w:tl2br w:val="nil"/>
                    <w:tr2bl w:val="nil"/>
                  </w:tcBorders>
                  <w:noWrap w:val="0"/>
                  <w:vAlign w:val="center"/>
                </w:tcPr>
                <w:p w14:paraId="5C01A1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rPr>
                  </w:pPr>
                </w:p>
              </w:tc>
              <w:tc>
                <w:tcPr>
                  <w:tcW w:w="535" w:type="pct"/>
                  <w:tcBorders>
                    <w:tl2br w:val="nil"/>
                    <w:tr2bl w:val="nil"/>
                  </w:tcBorders>
                  <w:noWrap w:val="0"/>
                  <w:vAlign w:val="center"/>
                </w:tcPr>
                <w:p w14:paraId="11CD21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rPr>
                  </w:pPr>
                  <w:r>
                    <w:rPr>
                      <w:rFonts w:hint="default" w:ascii="Times New Roman" w:hAnsi="Times New Roman" w:eastAsia="宋体" w:cs="Times New Roman"/>
                      <w:b/>
                      <w:bCs/>
                      <w:color w:val="auto"/>
                      <w:kern w:val="0"/>
                      <w:sz w:val="21"/>
                      <w:szCs w:val="21"/>
                      <w:highlight w:val="none"/>
                      <w:u w:val="none"/>
                      <w:lang w:eastAsia="zh-CN"/>
                    </w:rPr>
                    <w:t>排放</w:t>
                  </w:r>
                  <w:r>
                    <w:rPr>
                      <w:rFonts w:hint="default" w:ascii="Times New Roman" w:hAnsi="Times New Roman" w:eastAsia="宋体" w:cs="Times New Roman"/>
                      <w:b/>
                      <w:bCs/>
                      <w:color w:val="auto"/>
                      <w:kern w:val="0"/>
                      <w:sz w:val="21"/>
                      <w:szCs w:val="21"/>
                      <w:highlight w:val="none"/>
                      <w:u w:val="none"/>
                      <w:lang w:eastAsia="zh-TW"/>
                    </w:rPr>
                    <w:t>速率</w:t>
                  </w:r>
                  <w:r>
                    <w:rPr>
                      <w:rFonts w:hint="default" w:ascii="Times New Roman" w:hAnsi="Times New Roman" w:eastAsia="宋体" w:cs="Times New Roman"/>
                      <w:b/>
                      <w:bCs/>
                      <w:color w:val="auto"/>
                      <w:kern w:val="0"/>
                      <w:sz w:val="21"/>
                      <w:szCs w:val="21"/>
                      <w:highlight w:val="none"/>
                      <w:u w:val="none"/>
                    </w:rPr>
                    <w:t>kg/h</w:t>
                  </w:r>
                </w:p>
              </w:tc>
              <w:tc>
                <w:tcPr>
                  <w:tcW w:w="488" w:type="pct"/>
                  <w:tcBorders>
                    <w:tl2br w:val="nil"/>
                    <w:tr2bl w:val="nil"/>
                  </w:tcBorders>
                  <w:noWrap w:val="0"/>
                  <w:vAlign w:val="center"/>
                </w:tcPr>
                <w:p w14:paraId="6E0234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rPr>
                  </w:pPr>
                  <w:r>
                    <w:rPr>
                      <w:rFonts w:hint="default" w:ascii="Times New Roman" w:hAnsi="Times New Roman" w:eastAsia="宋体" w:cs="Times New Roman"/>
                      <w:b/>
                      <w:bCs/>
                      <w:color w:val="auto"/>
                      <w:kern w:val="0"/>
                      <w:sz w:val="21"/>
                      <w:szCs w:val="21"/>
                      <w:highlight w:val="none"/>
                      <w:u w:val="none"/>
                      <w:lang w:eastAsia="zh-CN"/>
                    </w:rPr>
                    <w:t>排放浓度</w:t>
                  </w:r>
                  <w:r>
                    <w:rPr>
                      <w:rFonts w:hint="default" w:ascii="Times New Roman" w:hAnsi="Times New Roman" w:eastAsia="宋体" w:cs="Times New Roman"/>
                      <w:b/>
                      <w:bCs/>
                      <w:color w:val="auto"/>
                      <w:spacing w:val="0"/>
                      <w:w w:val="100"/>
                      <w:kern w:val="0"/>
                      <w:sz w:val="21"/>
                      <w:szCs w:val="21"/>
                      <w:highlight w:val="none"/>
                      <w:u w:val="none"/>
                      <w:vertAlign w:val="baseline"/>
                      <w:lang w:val="en-US" w:eastAsia="zh-CN"/>
                    </w:rPr>
                    <w:t>mg/m</w:t>
                  </w:r>
                  <w:r>
                    <w:rPr>
                      <w:rFonts w:hint="default" w:ascii="Times New Roman" w:hAnsi="Times New Roman" w:eastAsia="宋体" w:cs="Times New Roman"/>
                      <w:b/>
                      <w:bCs/>
                      <w:color w:val="auto"/>
                      <w:spacing w:val="0"/>
                      <w:w w:val="100"/>
                      <w:kern w:val="0"/>
                      <w:sz w:val="21"/>
                      <w:szCs w:val="21"/>
                      <w:highlight w:val="none"/>
                      <w:u w:val="none"/>
                      <w:vertAlign w:val="superscript"/>
                      <w:lang w:val="en-US" w:eastAsia="zh-CN"/>
                    </w:rPr>
                    <w:t>3</w:t>
                  </w:r>
                </w:p>
              </w:tc>
              <w:tc>
                <w:tcPr>
                  <w:tcW w:w="523" w:type="pct"/>
                  <w:tcBorders>
                    <w:tl2br w:val="nil"/>
                    <w:tr2bl w:val="nil"/>
                  </w:tcBorders>
                  <w:noWrap w:val="0"/>
                  <w:vAlign w:val="center"/>
                </w:tcPr>
                <w:p w14:paraId="2B74CF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lang w:eastAsia="zh-CN"/>
                    </w:rPr>
                  </w:pPr>
                  <w:r>
                    <w:rPr>
                      <w:rFonts w:hint="default" w:ascii="Times New Roman" w:hAnsi="Times New Roman" w:eastAsia="宋体" w:cs="Times New Roman"/>
                      <w:b/>
                      <w:bCs/>
                      <w:color w:val="auto"/>
                      <w:kern w:val="0"/>
                      <w:sz w:val="21"/>
                      <w:szCs w:val="21"/>
                      <w:highlight w:val="none"/>
                      <w:u w:val="none"/>
                      <w:lang w:eastAsia="zh-CN"/>
                    </w:rPr>
                    <w:t>排放</w:t>
                  </w:r>
                  <w:r>
                    <w:rPr>
                      <w:rFonts w:hint="default" w:ascii="Times New Roman" w:hAnsi="Times New Roman" w:eastAsia="宋体" w:cs="Times New Roman"/>
                      <w:b/>
                      <w:bCs/>
                      <w:color w:val="auto"/>
                      <w:kern w:val="0"/>
                      <w:sz w:val="21"/>
                      <w:szCs w:val="21"/>
                      <w:highlight w:val="none"/>
                      <w:u w:val="none"/>
                      <w:lang w:eastAsia="zh-TW"/>
                    </w:rPr>
                    <w:t>速率</w:t>
                  </w:r>
                  <w:r>
                    <w:rPr>
                      <w:rFonts w:hint="default" w:ascii="Times New Roman" w:hAnsi="Times New Roman" w:eastAsia="宋体" w:cs="Times New Roman"/>
                      <w:b/>
                      <w:bCs/>
                      <w:color w:val="auto"/>
                      <w:kern w:val="0"/>
                      <w:sz w:val="21"/>
                      <w:szCs w:val="21"/>
                      <w:highlight w:val="none"/>
                      <w:u w:val="none"/>
                    </w:rPr>
                    <w:t>kg/h</w:t>
                  </w:r>
                </w:p>
              </w:tc>
              <w:tc>
                <w:tcPr>
                  <w:tcW w:w="516" w:type="pct"/>
                  <w:tcBorders>
                    <w:tl2br w:val="nil"/>
                    <w:tr2bl w:val="nil"/>
                  </w:tcBorders>
                  <w:noWrap w:val="0"/>
                  <w:vAlign w:val="center"/>
                </w:tcPr>
                <w:p w14:paraId="77E45D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lang w:eastAsia="zh-CN"/>
                    </w:rPr>
                  </w:pPr>
                  <w:r>
                    <w:rPr>
                      <w:rFonts w:hint="default" w:ascii="Times New Roman" w:hAnsi="Times New Roman" w:eastAsia="宋体" w:cs="Times New Roman"/>
                      <w:b/>
                      <w:bCs/>
                      <w:color w:val="auto"/>
                      <w:kern w:val="0"/>
                      <w:sz w:val="21"/>
                      <w:szCs w:val="21"/>
                      <w:highlight w:val="none"/>
                      <w:u w:val="none"/>
                      <w:lang w:eastAsia="zh-CN"/>
                    </w:rPr>
                    <w:t>排放浓度</w:t>
                  </w:r>
                  <w:r>
                    <w:rPr>
                      <w:rFonts w:hint="default" w:ascii="Times New Roman" w:hAnsi="Times New Roman" w:eastAsia="宋体" w:cs="Times New Roman"/>
                      <w:b/>
                      <w:bCs/>
                      <w:color w:val="auto"/>
                      <w:spacing w:val="0"/>
                      <w:w w:val="100"/>
                      <w:kern w:val="0"/>
                      <w:sz w:val="21"/>
                      <w:szCs w:val="21"/>
                      <w:highlight w:val="none"/>
                      <w:u w:val="none"/>
                      <w:vertAlign w:val="baseline"/>
                      <w:lang w:val="en-US" w:eastAsia="zh-CN"/>
                    </w:rPr>
                    <w:t>mg/m</w:t>
                  </w:r>
                  <w:r>
                    <w:rPr>
                      <w:rFonts w:hint="default" w:ascii="Times New Roman" w:hAnsi="Times New Roman" w:eastAsia="宋体" w:cs="Times New Roman"/>
                      <w:b/>
                      <w:bCs/>
                      <w:color w:val="auto"/>
                      <w:spacing w:val="0"/>
                      <w:w w:val="100"/>
                      <w:kern w:val="0"/>
                      <w:sz w:val="21"/>
                      <w:szCs w:val="21"/>
                      <w:highlight w:val="none"/>
                      <w:u w:val="none"/>
                      <w:vertAlign w:val="superscript"/>
                      <w:lang w:val="en-US" w:eastAsia="zh-CN"/>
                    </w:rPr>
                    <w:t>3</w:t>
                  </w:r>
                </w:p>
              </w:tc>
              <w:tc>
                <w:tcPr>
                  <w:tcW w:w="306" w:type="pct"/>
                  <w:vMerge w:val="continue"/>
                  <w:tcBorders>
                    <w:tl2br w:val="nil"/>
                    <w:tr2bl w:val="nil"/>
                  </w:tcBorders>
                  <w:noWrap w:val="0"/>
                  <w:vAlign w:val="center"/>
                </w:tcPr>
                <w:p w14:paraId="5FA339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lang w:eastAsia="zh-CN"/>
                    </w:rPr>
                  </w:pPr>
                </w:p>
              </w:tc>
              <w:tc>
                <w:tcPr>
                  <w:tcW w:w="1172" w:type="pct"/>
                  <w:vMerge w:val="continue"/>
                  <w:tcBorders>
                    <w:tl2br w:val="nil"/>
                    <w:tr2bl w:val="nil"/>
                  </w:tcBorders>
                  <w:noWrap w:val="0"/>
                  <w:vAlign w:val="center"/>
                </w:tcPr>
                <w:p w14:paraId="16A727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u w:val="none"/>
                      <w:lang w:eastAsia="zh-CN"/>
                    </w:rPr>
                  </w:pPr>
                </w:p>
              </w:tc>
            </w:tr>
            <w:tr w14:paraId="6991E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425" w:type="pct"/>
                  <w:tcBorders>
                    <w:tl2br w:val="nil"/>
                    <w:tr2bl w:val="nil"/>
                  </w:tcBorders>
                  <w:noWrap w:val="0"/>
                  <w:vAlign w:val="center"/>
                </w:tcPr>
                <w:p w14:paraId="12FF73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u w:val="none"/>
                      <w:lang w:val="en-US" w:eastAsia="zh-CN"/>
                    </w:rPr>
                  </w:pPr>
                  <w:r>
                    <w:rPr>
                      <w:rFonts w:hint="default" w:ascii="Times New Roman" w:hAnsi="Times New Roman" w:eastAsia="宋体" w:cs="Times New Roman"/>
                      <w:color w:val="auto"/>
                      <w:kern w:val="0"/>
                      <w:sz w:val="21"/>
                      <w:szCs w:val="21"/>
                      <w:highlight w:val="none"/>
                      <w:u w:val="none"/>
                      <w:lang w:val="en-US" w:eastAsia="zh-CN"/>
                    </w:rPr>
                    <w:t>DA001</w:t>
                  </w:r>
                </w:p>
              </w:tc>
              <w:tc>
                <w:tcPr>
                  <w:tcW w:w="331" w:type="pct"/>
                  <w:tcBorders>
                    <w:tl2br w:val="nil"/>
                    <w:tr2bl w:val="nil"/>
                  </w:tcBorders>
                  <w:shd w:val="clear" w:color="auto" w:fill="auto"/>
                  <w:noWrap w:val="0"/>
                  <w:vAlign w:val="center"/>
                </w:tcPr>
                <w:p w14:paraId="5BD1F9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u w:val="none"/>
                      <w:lang w:val="en-US" w:eastAsia="zh-CN"/>
                    </w:rPr>
                  </w:pPr>
                  <w:r>
                    <w:rPr>
                      <w:rFonts w:hint="default" w:ascii="Times New Roman" w:hAnsi="Times New Roman" w:eastAsia="宋体" w:cs="Times New Roman"/>
                      <w:color w:val="auto"/>
                      <w:kern w:val="0"/>
                      <w:sz w:val="21"/>
                      <w:szCs w:val="21"/>
                      <w:highlight w:val="none"/>
                      <w:u w:val="none"/>
                      <w:lang w:val="en-US" w:eastAsia="zh-CN"/>
                    </w:rPr>
                    <w:t>食堂废气</w:t>
                  </w:r>
                </w:p>
              </w:tc>
              <w:tc>
                <w:tcPr>
                  <w:tcW w:w="701" w:type="pct"/>
                  <w:tcBorders>
                    <w:tl2br w:val="nil"/>
                    <w:tr2bl w:val="nil"/>
                  </w:tcBorders>
                  <w:shd w:val="clear" w:color="auto" w:fill="auto"/>
                  <w:noWrap w:val="0"/>
                  <w:vAlign w:val="center"/>
                </w:tcPr>
                <w:p w14:paraId="15829B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u w:val="none"/>
                      <w:lang w:val="en-US" w:eastAsia="zh-CN" w:bidi="ar-SA"/>
                    </w:rPr>
                    <w:t>油烟</w:t>
                  </w:r>
                </w:p>
              </w:tc>
              <w:tc>
                <w:tcPr>
                  <w:tcW w:w="535" w:type="pct"/>
                  <w:tcBorders>
                    <w:tl2br w:val="nil"/>
                    <w:tr2bl w:val="nil"/>
                  </w:tcBorders>
                  <w:shd w:val="clear" w:color="auto" w:fill="auto"/>
                  <w:noWrap w:val="0"/>
                  <w:vAlign w:val="center"/>
                </w:tcPr>
                <w:p w14:paraId="23CD8F88">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bCs/>
                      <w:color w:val="auto"/>
                      <w:spacing w:val="0"/>
                      <w:w w:val="100"/>
                      <w:kern w:val="2"/>
                      <w:position w:val="0"/>
                      <w:sz w:val="21"/>
                      <w:szCs w:val="21"/>
                      <w:highlight w:val="none"/>
                      <w:lang w:val="en-US" w:eastAsia="zh-CN" w:bidi="ar-SA"/>
                    </w:rPr>
                    <w:t>0.0</w:t>
                  </w:r>
                  <w:r>
                    <w:rPr>
                      <w:rFonts w:hint="eastAsia" w:ascii="Times New Roman" w:hAnsi="Times New Roman" w:cs="Times New Roman"/>
                      <w:bCs/>
                      <w:color w:val="auto"/>
                      <w:spacing w:val="0"/>
                      <w:w w:val="100"/>
                      <w:kern w:val="2"/>
                      <w:position w:val="0"/>
                      <w:sz w:val="21"/>
                      <w:szCs w:val="21"/>
                      <w:highlight w:val="none"/>
                      <w:lang w:val="en-US" w:eastAsia="zh-CN" w:bidi="ar-SA"/>
                    </w:rPr>
                    <w:t>33</w:t>
                  </w:r>
                </w:p>
              </w:tc>
              <w:tc>
                <w:tcPr>
                  <w:tcW w:w="488" w:type="pct"/>
                  <w:tcBorders>
                    <w:tl2br w:val="nil"/>
                    <w:tr2bl w:val="nil"/>
                  </w:tcBorders>
                  <w:shd w:val="clear" w:color="auto" w:fill="auto"/>
                  <w:noWrap w:val="0"/>
                  <w:vAlign w:val="center"/>
                </w:tcPr>
                <w:p w14:paraId="335C6E42">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eastAsia" w:ascii="Times New Roman" w:hAnsi="Times New Roman" w:eastAsia="宋体" w:cs="Times New Roman"/>
                      <w:b w:val="0"/>
                      <w:bCs/>
                      <w:color w:val="auto"/>
                      <w:sz w:val="21"/>
                      <w:szCs w:val="21"/>
                      <w:highlight w:val="none"/>
                      <w:u w:val="none"/>
                      <w:lang w:val="en-US" w:eastAsia="zh-CN"/>
                    </w:rPr>
                    <w:t>1.03</w:t>
                  </w:r>
                </w:p>
              </w:tc>
              <w:tc>
                <w:tcPr>
                  <w:tcW w:w="523" w:type="pct"/>
                  <w:tcBorders>
                    <w:tl2br w:val="nil"/>
                    <w:tr2bl w:val="nil"/>
                  </w:tcBorders>
                  <w:shd w:val="clear" w:color="auto" w:fill="auto"/>
                  <w:noWrap w:val="0"/>
                  <w:vAlign w:val="center"/>
                </w:tcPr>
                <w:p w14:paraId="6D1002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b w:val="0"/>
                      <w:bCs w:val="0"/>
                      <w:color w:val="auto"/>
                      <w:kern w:val="0"/>
                      <w:sz w:val="21"/>
                      <w:szCs w:val="21"/>
                      <w:highlight w:val="none"/>
                      <w:u w:val="none"/>
                      <w:lang w:val="en-US" w:eastAsia="zh-CN" w:bidi="ar-SA"/>
                    </w:rPr>
                    <w:t>/</w:t>
                  </w:r>
                </w:p>
              </w:tc>
              <w:tc>
                <w:tcPr>
                  <w:tcW w:w="516" w:type="pct"/>
                  <w:tcBorders>
                    <w:tl2br w:val="nil"/>
                    <w:tr2bl w:val="nil"/>
                  </w:tcBorders>
                  <w:shd w:val="clear" w:color="auto" w:fill="auto"/>
                  <w:noWrap w:val="0"/>
                  <w:vAlign w:val="center"/>
                </w:tcPr>
                <w:p w14:paraId="786564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eastAsia" w:ascii="Times New Roman" w:hAnsi="Times New Roman" w:eastAsia="宋体" w:cs="Times New Roman"/>
                      <w:b w:val="0"/>
                      <w:bCs w:val="0"/>
                      <w:color w:val="auto"/>
                      <w:kern w:val="0"/>
                      <w:sz w:val="21"/>
                      <w:szCs w:val="21"/>
                      <w:highlight w:val="none"/>
                      <w:u w:val="none"/>
                      <w:lang w:val="en-US" w:eastAsia="zh-CN" w:bidi="ar-SA"/>
                    </w:rPr>
                    <w:t>2</w:t>
                  </w:r>
                  <w:r>
                    <w:rPr>
                      <w:rFonts w:hint="default" w:ascii="Times New Roman" w:hAnsi="Times New Roman" w:eastAsia="宋体" w:cs="Times New Roman"/>
                      <w:b w:val="0"/>
                      <w:bCs w:val="0"/>
                      <w:color w:val="auto"/>
                      <w:kern w:val="0"/>
                      <w:sz w:val="21"/>
                      <w:szCs w:val="21"/>
                      <w:highlight w:val="none"/>
                      <w:u w:val="none"/>
                      <w:lang w:val="en-US" w:eastAsia="zh-CN" w:bidi="ar-SA"/>
                    </w:rPr>
                    <w:t>.0</w:t>
                  </w:r>
                </w:p>
              </w:tc>
              <w:tc>
                <w:tcPr>
                  <w:tcW w:w="306" w:type="pct"/>
                  <w:tcBorders>
                    <w:tl2br w:val="nil"/>
                    <w:tr2bl w:val="nil"/>
                  </w:tcBorders>
                  <w:shd w:val="clear" w:color="auto" w:fill="auto"/>
                  <w:noWrap w:val="0"/>
                  <w:vAlign w:val="center"/>
                </w:tcPr>
                <w:p w14:paraId="034552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b w:val="0"/>
                      <w:bCs w:val="0"/>
                      <w:color w:val="auto"/>
                      <w:kern w:val="0"/>
                      <w:sz w:val="21"/>
                      <w:szCs w:val="21"/>
                      <w:highlight w:val="none"/>
                      <w:u w:val="none"/>
                      <w:lang w:val="en-US" w:eastAsia="zh-CN" w:bidi="ar-SA"/>
                    </w:rPr>
                    <w:t>达标</w:t>
                  </w:r>
                </w:p>
              </w:tc>
              <w:tc>
                <w:tcPr>
                  <w:tcW w:w="1172" w:type="pct"/>
                  <w:tcBorders>
                    <w:tl2br w:val="nil"/>
                    <w:tr2bl w:val="nil"/>
                  </w:tcBorders>
                  <w:noWrap w:val="0"/>
                  <w:vAlign w:val="center"/>
                </w:tcPr>
                <w:p w14:paraId="2081FEC9">
                  <w:pPr>
                    <w:keepNext w:val="0"/>
                    <w:keepLines w:val="0"/>
                    <w:pageBreakBefore w:val="0"/>
                    <w:widowControl/>
                    <w:kinsoku w:val="0"/>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b w:val="0"/>
                      <w:bCs/>
                      <w:color w:val="auto"/>
                      <w:sz w:val="21"/>
                      <w:szCs w:val="21"/>
                      <w:highlight w:val="none"/>
                      <w:vertAlign w:val="baseline"/>
                      <w:lang w:val="en-US" w:eastAsia="zh-CN"/>
                    </w:rPr>
                    <w:t>《饮食业油烟排放标准（试行）》（GB18483-2001）</w:t>
                  </w:r>
                  <w:r>
                    <w:rPr>
                      <w:rFonts w:hint="eastAsia" w:ascii="Times New Roman" w:hAnsi="Times New Roman" w:eastAsia="宋体" w:cs="Times New Roman"/>
                      <w:b w:val="0"/>
                      <w:bCs/>
                      <w:color w:val="auto"/>
                      <w:sz w:val="21"/>
                      <w:szCs w:val="21"/>
                      <w:highlight w:val="none"/>
                      <w:vertAlign w:val="baseline"/>
                      <w:lang w:val="en-US" w:eastAsia="zh-CN"/>
                    </w:rPr>
                    <w:t xml:space="preserve"> </w:t>
                  </w:r>
                  <w:r>
                    <w:rPr>
                      <w:rFonts w:hint="eastAsia" w:cs="Times New Roman"/>
                      <w:b w:val="0"/>
                      <w:bCs/>
                      <w:color w:val="auto"/>
                      <w:sz w:val="21"/>
                      <w:szCs w:val="21"/>
                      <w:highlight w:val="none"/>
                      <w:vertAlign w:val="baseline"/>
                      <w:lang w:val="en-US" w:eastAsia="zh-CN"/>
                    </w:rPr>
                    <w:t>大</w:t>
                  </w:r>
                  <w:r>
                    <w:rPr>
                      <w:rFonts w:hint="default" w:ascii="Times New Roman" w:hAnsi="Times New Roman" w:eastAsia="宋体" w:cs="Times New Roman"/>
                      <w:b w:val="0"/>
                      <w:bCs/>
                      <w:color w:val="auto"/>
                      <w:sz w:val="21"/>
                      <w:szCs w:val="21"/>
                      <w:highlight w:val="none"/>
                      <w:vertAlign w:val="baseline"/>
                      <w:lang w:val="en-US" w:eastAsia="zh-CN"/>
                    </w:rPr>
                    <w:t>型</w:t>
                  </w:r>
                </w:p>
              </w:tc>
            </w:tr>
            <w:tr w14:paraId="08647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25" w:type="pct"/>
                  <w:vMerge w:val="restart"/>
                  <w:tcBorders>
                    <w:tl2br w:val="nil"/>
                    <w:tr2bl w:val="nil"/>
                  </w:tcBorders>
                  <w:noWrap w:val="0"/>
                  <w:vAlign w:val="center"/>
                </w:tcPr>
                <w:p w14:paraId="6AB903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u w:val="none"/>
                      <w:lang w:val="en-US" w:eastAsia="zh-CN"/>
                    </w:rPr>
                  </w:pPr>
                  <w:r>
                    <w:rPr>
                      <w:rFonts w:hint="default" w:ascii="Times New Roman" w:hAnsi="Times New Roman" w:eastAsia="宋体" w:cs="Times New Roman"/>
                      <w:b w:val="0"/>
                      <w:bCs w:val="0"/>
                      <w:color w:val="auto"/>
                      <w:sz w:val="21"/>
                      <w:szCs w:val="21"/>
                      <w:highlight w:val="none"/>
                      <w:u w:val="none"/>
                      <w:lang w:val="en-US" w:eastAsia="zh-CN"/>
                    </w:rPr>
                    <w:t>DA002</w:t>
                  </w:r>
                </w:p>
              </w:tc>
              <w:tc>
                <w:tcPr>
                  <w:tcW w:w="331" w:type="pct"/>
                  <w:vMerge w:val="restart"/>
                  <w:tcBorders>
                    <w:tl2br w:val="nil"/>
                    <w:tr2bl w:val="nil"/>
                  </w:tcBorders>
                  <w:noWrap w:val="0"/>
                  <w:vAlign w:val="center"/>
                </w:tcPr>
                <w:p w14:paraId="156690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u w:val="none"/>
                      <w:lang w:val="en-US" w:eastAsia="zh-CN"/>
                    </w:rPr>
                  </w:pPr>
                  <w:r>
                    <w:rPr>
                      <w:rFonts w:hint="default" w:ascii="Times New Roman" w:hAnsi="Times New Roman" w:eastAsia="宋体" w:cs="Times New Roman"/>
                      <w:color w:val="auto"/>
                      <w:kern w:val="0"/>
                      <w:sz w:val="21"/>
                      <w:szCs w:val="21"/>
                      <w:highlight w:val="none"/>
                      <w:u w:val="none"/>
                      <w:lang w:val="en-US" w:eastAsia="zh-CN"/>
                    </w:rPr>
                    <w:t>实验室废气</w:t>
                  </w:r>
                </w:p>
              </w:tc>
              <w:tc>
                <w:tcPr>
                  <w:tcW w:w="701" w:type="pct"/>
                  <w:tcBorders>
                    <w:tl2br w:val="nil"/>
                    <w:tr2bl w:val="nil"/>
                  </w:tcBorders>
                  <w:noWrap w:val="0"/>
                  <w:vAlign w:val="center"/>
                </w:tcPr>
                <w:p w14:paraId="7C7494E3">
                  <w:pPr>
                    <w:keepNext w:val="0"/>
                    <w:keepLines w:val="0"/>
                    <w:pageBreakBefore w:val="0"/>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氯化氢</w:t>
                  </w:r>
                </w:p>
              </w:tc>
              <w:tc>
                <w:tcPr>
                  <w:tcW w:w="535" w:type="pct"/>
                  <w:tcBorders>
                    <w:tl2br w:val="nil"/>
                    <w:tr2bl w:val="nil"/>
                  </w:tcBorders>
                  <w:noWrap w:val="0"/>
                  <w:vAlign w:val="center"/>
                </w:tcPr>
                <w:p w14:paraId="7BC486BD">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b w:val="0"/>
                      <w:bCs/>
                      <w:color w:val="auto"/>
                      <w:kern w:val="2"/>
                      <w:sz w:val="21"/>
                      <w:szCs w:val="21"/>
                      <w:highlight w:val="none"/>
                      <w:u w:val="none"/>
                      <w:lang w:val="en-US" w:eastAsia="zh-CN" w:bidi="ar-SA"/>
                    </w:rPr>
                    <w:t>0.0005</w:t>
                  </w:r>
                </w:p>
              </w:tc>
              <w:tc>
                <w:tcPr>
                  <w:tcW w:w="488" w:type="pct"/>
                  <w:tcBorders>
                    <w:tl2br w:val="nil"/>
                    <w:tr2bl w:val="nil"/>
                  </w:tcBorders>
                  <w:noWrap w:val="0"/>
                  <w:vAlign w:val="center"/>
                </w:tcPr>
                <w:p w14:paraId="7A8F324B">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b w:val="0"/>
                      <w:bCs/>
                      <w:color w:val="auto"/>
                      <w:kern w:val="2"/>
                      <w:sz w:val="21"/>
                      <w:szCs w:val="21"/>
                      <w:highlight w:val="none"/>
                      <w:u w:val="none"/>
                      <w:lang w:val="en-US" w:eastAsia="zh-CN" w:bidi="ar-SA"/>
                    </w:rPr>
                    <w:t>0.01</w:t>
                  </w:r>
                  <w:r>
                    <w:rPr>
                      <w:rFonts w:hint="eastAsia" w:ascii="Times New Roman" w:hAnsi="Times New Roman" w:eastAsia="宋体" w:cs="Times New Roman"/>
                      <w:b w:val="0"/>
                      <w:bCs/>
                      <w:color w:val="auto"/>
                      <w:kern w:val="2"/>
                      <w:sz w:val="21"/>
                      <w:szCs w:val="21"/>
                      <w:highlight w:val="none"/>
                      <w:u w:val="none"/>
                      <w:lang w:val="en-US" w:eastAsia="zh-CN" w:bidi="ar-SA"/>
                    </w:rPr>
                    <w:t>3</w:t>
                  </w:r>
                </w:p>
              </w:tc>
              <w:tc>
                <w:tcPr>
                  <w:tcW w:w="523" w:type="pct"/>
                  <w:tcBorders>
                    <w:tl2br w:val="nil"/>
                    <w:tr2bl w:val="nil"/>
                  </w:tcBorders>
                  <w:noWrap w:val="0"/>
                  <w:vAlign w:val="center"/>
                </w:tcPr>
                <w:p w14:paraId="338F824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b w:val="0"/>
                      <w:bCs w:val="0"/>
                      <w:color w:val="auto"/>
                      <w:kern w:val="0"/>
                      <w:sz w:val="21"/>
                      <w:szCs w:val="21"/>
                      <w:highlight w:val="none"/>
                      <w:u w:val="none"/>
                      <w:lang w:val="en-US" w:eastAsia="zh-CN" w:bidi="ar-SA"/>
                    </w:rPr>
                    <w:t>0.</w:t>
                  </w:r>
                  <w:r>
                    <w:rPr>
                      <w:rFonts w:hint="eastAsia" w:ascii="Times New Roman" w:hAnsi="Times New Roman" w:eastAsia="宋体" w:cs="Times New Roman"/>
                      <w:b w:val="0"/>
                      <w:bCs w:val="0"/>
                      <w:color w:val="auto"/>
                      <w:kern w:val="0"/>
                      <w:sz w:val="21"/>
                      <w:szCs w:val="21"/>
                      <w:highlight w:val="none"/>
                      <w:u w:val="none"/>
                      <w:lang w:val="en-US" w:eastAsia="zh-CN" w:bidi="ar-SA"/>
                    </w:rPr>
                    <w:t>43</w:t>
                  </w:r>
                </w:p>
              </w:tc>
              <w:tc>
                <w:tcPr>
                  <w:tcW w:w="516" w:type="pct"/>
                  <w:tcBorders>
                    <w:tl2br w:val="nil"/>
                    <w:tr2bl w:val="nil"/>
                  </w:tcBorders>
                  <w:noWrap w:val="0"/>
                  <w:vAlign w:val="center"/>
                </w:tcPr>
                <w:p w14:paraId="51436AF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100</w:t>
                  </w:r>
                </w:p>
              </w:tc>
              <w:tc>
                <w:tcPr>
                  <w:tcW w:w="306" w:type="pct"/>
                  <w:tcBorders>
                    <w:tl2br w:val="nil"/>
                    <w:tr2bl w:val="nil"/>
                  </w:tcBorders>
                  <w:noWrap w:val="0"/>
                  <w:vAlign w:val="center"/>
                </w:tcPr>
                <w:p w14:paraId="49CAB4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b w:val="0"/>
                      <w:bCs w:val="0"/>
                      <w:color w:val="auto"/>
                      <w:kern w:val="0"/>
                      <w:sz w:val="21"/>
                      <w:szCs w:val="21"/>
                      <w:highlight w:val="none"/>
                      <w:u w:val="none"/>
                      <w:lang w:val="en-US" w:eastAsia="zh-CN" w:bidi="ar-SA"/>
                    </w:rPr>
                    <w:t>达标</w:t>
                  </w:r>
                </w:p>
              </w:tc>
              <w:tc>
                <w:tcPr>
                  <w:tcW w:w="1172" w:type="pct"/>
                  <w:vMerge w:val="restart"/>
                  <w:tcBorders>
                    <w:tl2br w:val="nil"/>
                    <w:tr2bl w:val="nil"/>
                  </w:tcBorders>
                  <w:noWrap w:val="0"/>
                  <w:vAlign w:val="center"/>
                </w:tcPr>
                <w:p w14:paraId="2195ED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b w:val="0"/>
                      <w:bCs w:val="0"/>
                      <w:color w:val="auto"/>
                      <w:kern w:val="0"/>
                      <w:sz w:val="21"/>
                      <w:szCs w:val="21"/>
                      <w:highlight w:val="none"/>
                      <w:u w:val="none"/>
                      <w:lang w:val="en-US" w:eastAsia="zh-CN" w:bidi="ar-SA"/>
                    </w:rPr>
                    <w:t>《大气污染物综合排放标准》（GB16397-1996）表2</w:t>
                  </w:r>
                </w:p>
              </w:tc>
            </w:tr>
            <w:tr w14:paraId="72D0F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425" w:type="pct"/>
                  <w:vMerge w:val="continue"/>
                  <w:tcBorders>
                    <w:tl2br w:val="nil"/>
                    <w:tr2bl w:val="nil"/>
                  </w:tcBorders>
                  <w:noWrap w:val="0"/>
                  <w:vAlign w:val="center"/>
                </w:tcPr>
                <w:p w14:paraId="031285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u w:val="none"/>
                      <w:lang w:val="en-US" w:eastAsia="zh-CN"/>
                    </w:rPr>
                  </w:pPr>
                </w:p>
              </w:tc>
              <w:tc>
                <w:tcPr>
                  <w:tcW w:w="331" w:type="pct"/>
                  <w:vMerge w:val="continue"/>
                  <w:tcBorders>
                    <w:tl2br w:val="nil"/>
                    <w:tr2bl w:val="nil"/>
                  </w:tcBorders>
                  <w:noWrap w:val="0"/>
                  <w:vAlign w:val="center"/>
                </w:tcPr>
                <w:p w14:paraId="769648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u w:val="none"/>
                      <w:lang w:val="en-US" w:eastAsia="zh-CN"/>
                    </w:rPr>
                  </w:pPr>
                </w:p>
              </w:tc>
              <w:tc>
                <w:tcPr>
                  <w:tcW w:w="701" w:type="pct"/>
                  <w:tcBorders>
                    <w:tl2br w:val="nil"/>
                    <w:tr2bl w:val="nil"/>
                  </w:tcBorders>
                  <w:noWrap w:val="0"/>
                  <w:vAlign w:val="center"/>
                </w:tcPr>
                <w:p w14:paraId="3AE4A8E5">
                  <w:pPr>
                    <w:keepNext w:val="0"/>
                    <w:keepLines w:val="0"/>
                    <w:pageBreakBefore w:val="0"/>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硫酸雾</w:t>
                  </w:r>
                </w:p>
              </w:tc>
              <w:tc>
                <w:tcPr>
                  <w:tcW w:w="535" w:type="pct"/>
                  <w:tcBorders>
                    <w:tl2br w:val="nil"/>
                    <w:tr2bl w:val="nil"/>
                  </w:tcBorders>
                  <w:noWrap w:val="0"/>
                  <w:vAlign w:val="center"/>
                </w:tcPr>
                <w:p w14:paraId="4C8F04DA">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b w:val="0"/>
                      <w:bCs/>
                      <w:color w:val="auto"/>
                      <w:kern w:val="2"/>
                      <w:sz w:val="21"/>
                      <w:szCs w:val="21"/>
                      <w:highlight w:val="none"/>
                      <w:u w:val="none"/>
                      <w:lang w:val="en-US" w:eastAsia="zh-CN" w:bidi="ar-SA"/>
                    </w:rPr>
                    <w:t>0.0001</w:t>
                  </w:r>
                </w:p>
              </w:tc>
              <w:tc>
                <w:tcPr>
                  <w:tcW w:w="488" w:type="pct"/>
                  <w:tcBorders>
                    <w:tl2br w:val="nil"/>
                    <w:tr2bl w:val="nil"/>
                  </w:tcBorders>
                  <w:noWrap w:val="0"/>
                  <w:vAlign w:val="center"/>
                </w:tcPr>
                <w:p w14:paraId="4080C030">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b w:val="0"/>
                      <w:bCs/>
                      <w:color w:val="auto"/>
                      <w:kern w:val="2"/>
                      <w:sz w:val="21"/>
                      <w:szCs w:val="21"/>
                      <w:highlight w:val="none"/>
                      <w:u w:val="none"/>
                      <w:lang w:val="en-US" w:eastAsia="zh-CN" w:bidi="ar-SA"/>
                    </w:rPr>
                    <w:t>0.003</w:t>
                  </w:r>
                </w:p>
              </w:tc>
              <w:tc>
                <w:tcPr>
                  <w:tcW w:w="523" w:type="pct"/>
                  <w:tcBorders>
                    <w:tl2br w:val="nil"/>
                    <w:tr2bl w:val="nil"/>
                  </w:tcBorders>
                  <w:noWrap w:val="0"/>
                  <w:vAlign w:val="center"/>
                </w:tcPr>
                <w:p w14:paraId="7DD8D53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eastAsia" w:ascii="Times New Roman" w:hAnsi="Times New Roman" w:eastAsia="宋体" w:cs="Times New Roman"/>
                      <w:b w:val="0"/>
                      <w:bCs w:val="0"/>
                      <w:color w:val="auto"/>
                      <w:kern w:val="0"/>
                      <w:sz w:val="21"/>
                      <w:szCs w:val="21"/>
                      <w:highlight w:val="none"/>
                      <w:u w:val="none"/>
                      <w:lang w:val="en-US" w:eastAsia="zh-CN" w:bidi="ar-SA"/>
                    </w:rPr>
                    <w:t>2.6</w:t>
                  </w:r>
                </w:p>
              </w:tc>
              <w:tc>
                <w:tcPr>
                  <w:tcW w:w="516" w:type="pct"/>
                  <w:tcBorders>
                    <w:tl2br w:val="nil"/>
                    <w:tr2bl w:val="nil"/>
                  </w:tcBorders>
                  <w:noWrap w:val="0"/>
                  <w:vAlign w:val="center"/>
                </w:tcPr>
                <w:p w14:paraId="2E93595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45</w:t>
                  </w:r>
                </w:p>
              </w:tc>
              <w:tc>
                <w:tcPr>
                  <w:tcW w:w="306" w:type="pct"/>
                  <w:tcBorders>
                    <w:tl2br w:val="nil"/>
                    <w:tr2bl w:val="nil"/>
                  </w:tcBorders>
                  <w:noWrap w:val="0"/>
                  <w:vAlign w:val="center"/>
                </w:tcPr>
                <w:p w14:paraId="5D060C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b w:val="0"/>
                      <w:bCs w:val="0"/>
                      <w:color w:val="auto"/>
                      <w:kern w:val="0"/>
                      <w:sz w:val="21"/>
                      <w:szCs w:val="21"/>
                      <w:highlight w:val="none"/>
                      <w:u w:val="none"/>
                      <w:lang w:val="en-US" w:eastAsia="zh-CN" w:bidi="ar-SA"/>
                    </w:rPr>
                    <w:t>达标</w:t>
                  </w:r>
                </w:p>
              </w:tc>
              <w:tc>
                <w:tcPr>
                  <w:tcW w:w="1172" w:type="pct"/>
                  <w:vMerge w:val="continue"/>
                  <w:tcBorders>
                    <w:tl2br w:val="nil"/>
                    <w:tr2bl w:val="nil"/>
                  </w:tcBorders>
                  <w:noWrap w:val="0"/>
                  <w:vAlign w:val="center"/>
                </w:tcPr>
                <w:p w14:paraId="39DEEE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p>
              </w:tc>
            </w:tr>
            <w:tr w14:paraId="5E9C6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425" w:type="pct"/>
                  <w:vMerge w:val="continue"/>
                  <w:tcBorders>
                    <w:tl2br w:val="nil"/>
                    <w:tr2bl w:val="nil"/>
                  </w:tcBorders>
                  <w:noWrap w:val="0"/>
                  <w:vAlign w:val="center"/>
                </w:tcPr>
                <w:p w14:paraId="51B721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u w:val="none"/>
                      <w:lang w:val="en-US" w:eastAsia="zh-CN"/>
                    </w:rPr>
                  </w:pPr>
                </w:p>
              </w:tc>
              <w:tc>
                <w:tcPr>
                  <w:tcW w:w="331" w:type="pct"/>
                  <w:vMerge w:val="continue"/>
                  <w:tcBorders>
                    <w:tl2br w:val="nil"/>
                    <w:tr2bl w:val="nil"/>
                  </w:tcBorders>
                  <w:noWrap w:val="0"/>
                  <w:vAlign w:val="center"/>
                </w:tcPr>
                <w:p w14:paraId="268889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u w:val="none"/>
                      <w:lang w:val="en-US" w:eastAsia="zh-CN"/>
                    </w:rPr>
                  </w:pPr>
                </w:p>
              </w:tc>
              <w:tc>
                <w:tcPr>
                  <w:tcW w:w="701" w:type="pct"/>
                  <w:tcBorders>
                    <w:tl2br w:val="nil"/>
                    <w:tr2bl w:val="nil"/>
                  </w:tcBorders>
                  <w:noWrap w:val="0"/>
                  <w:vAlign w:val="center"/>
                </w:tcPr>
                <w:p w14:paraId="3D2F404D">
                  <w:pPr>
                    <w:keepNext w:val="0"/>
                    <w:keepLines w:val="0"/>
                    <w:pageBreakBefore w:val="0"/>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cs="Times New Roman"/>
                      <w:bCs/>
                      <w:color w:val="auto"/>
                      <w:sz w:val="21"/>
                      <w:szCs w:val="21"/>
                      <w:highlight w:val="none"/>
                    </w:rPr>
                    <w:t>非甲烷总烃</w:t>
                  </w:r>
                </w:p>
              </w:tc>
              <w:tc>
                <w:tcPr>
                  <w:tcW w:w="535" w:type="pct"/>
                  <w:tcBorders>
                    <w:tl2br w:val="nil"/>
                    <w:tr2bl w:val="nil"/>
                  </w:tcBorders>
                  <w:noWrap w:val="0"/>
                  <w:vAlign w:val="center"/>
                </w:tcPr>
                <w:p w14:paraId="3C8CA5BD">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b w:val="0"/>
                      <w:bCs/>
                      <w:color w:val="auto"/>
                      <w:kern w:val="2"/>
                      <w:sz w:val="21"/>
                      <w:szCs w:val="21"/>
                      <w:highlight w:val="none"/>
                      <w:u w:val="none"/>
                      <w:lang w:val="en-US" w:eastAsia="zh-CN" w:bidi="ar-SA"/>
                    </w:rPr>
                    <w:t>0.00</w:t>
                  </w:r>
                  <w:r>
                    <w:rPr>
                      <w:rFonts w:hint="eastAsia" w:ascii="Times New Roman" w:hAnsi="Times New Roman" w:eastAsia="宋体" w:cs="Times New Roman"/>
                      <w:b w:val="0"/>
                      <w:bCs/>
                      <w:color w:val="auto"/>
                      <w:kern w:val="2"/>
                      <w:sz w:val="21"/>
                      <w:szCs w:val="21"/>
                      <w:highlight w:val="none"/>
                      <w:u w:val="none"/>
                      <w:lang w:val="en-US" w:eastAsia="zh-CN" w:bidi="ar-SA"/>
                    </w:rPr>
                    <w:t>01</w:t>
                  </w:r>
                </w:p>
              </w:tc>
              <w:tc>
                <w:tcPr>
                  <w:tcW w:w="488" w:type="pct"/>
                  <w:tcBorders>
                    <w:tl2br w:val="nil"/>
                    <w:tr2bl w:val="nil"/>
                  </w:tcBorders>
                  <w:noWrap w:val="0"/>
                  <w:vAlign w:val="center"/>
                </w:tcPr>
                <w:p w14:paraId="0CA40F95">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b w:val="0"/>
                      <w:bCs/>
                      <w:color w:val="auto"/>
                      <w:kern w:val="2"/>
                      <w:sz w:val="21"/>
                      <w:szCs w:val="21"/>
                      <w:highlight w:val="none"/>
                      <w:u w:val="none"/>
                      <w:lang w:val="en-US" w:eastAsia="zh-CN" w:bidi="ar-SA"/>
                    </w:rPr>
                    <w:t>0.03</w:t>
                  </w:r>
                  <w:r>
                    <w:rPr>
                      <w:rFonts w:hint="eastAsia" w:ascii="Times New Roman" w:hAnsi="Times New Roman" w:eastAsia="宋体" w:cs="Times New Roman"/>
                      <w:b w:val="0"/>
                      <w:bCs/>
                      <w:color w:val="auto"/>
                      <w:kern w:val="2"/>
                      <w:sz w:val="21"/>
                      <w:szCs w:val="21"/>
                      <w:highlight w:val="none"/>
                      <w:u w:val="none"/>
                      <w:lang w:val="en-US" w:eastAsia="zh-CN" w:bidi="ar-SA"/>
                    </w:rPr>
                    <w:t>0</w:t>
                  </w:r>
                </w:p>
              </w:tc>
              <w:tc>
                <w:tcPr>
                  <w:tcW w:w="523" w:type="pct"/>
                  <w:tcBorders>
                    <w:tl2br w:val="nil"/>
                    <w:tr2bl w:val="nil"/>
                  </w:tcBorders>
                  <w:noWrap w:val="0"/>
                  <w:vAlign w:val="center"/>
                </w:tcPr>
                <w:p w14:paraId="4060C5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eastAsia" w:ascii="Times New Roman" w:hAnsi="Times New Roman" w:eastAsia="宋体" w:cs="Times New Roman"/>
                      <w:b w:val="0"/>
                      <w:bCs w:val="0"/>
                      <w:color w:val="auto"/>
                      <w:kern w:val="0"/>
                      <w:sz w:val="21"/>
                      <w:szCs w:val="21"/>
                      <w:highlight w:val="none"/>
                      <w:u w:val="none"/>
                      <w:lang w:val="en-US" w:eastAsia="zh-CN" w:bidi="ar-SA"/>
                    </w:rPr>
                    <w:t>17</w:t>
                  </w:r>
                </w:p>
              </w:tc>
              <w:tc>
                <w:tcPr>
                  <w:tcW w:w="516" w:type="pct"/>
                  <w:tcBorders>
                    <w:tl2br w:val="nil"/>
                    <w:tr2bl w:val="nil"/>
                  </w:tcBorders>
                  <w:noWrap w:val="0"/>
                  <w:vAlign w:val="center"/>
                </w:tcPr>
                <w:p w14:paraId="6F72CA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eastAsia" w:ascii="Times New Roman" w:hAnsi="Times New Roman" w:eastAsia="宋体" w:cs="Times New Roman"/>
                      <w:b w:val="0"/>
                      <w:bCs w:val="0"/>
                      <w:color w:val="auto"/>
                      <w:kern w:val="0"/>
                      <w:sz w:val="21"/>
                      <w:szCs w:val="21"/>
                      <w:highlight w:val="none"/>
                      <w:u w:val="none"/>
                      <w:lang w:val="en-US" w:eastAsia="zh-CN" w:bidi="ar-SA"/>
                    </w:rPr>
                    <w:t>120</w:t>
                  </w:r>
                </w:p>
              </w:tc>
              <w:tc>
                <w:tcPr>
                  <w:tcW w:w="306" w:type="pct"/>
                  <w:tcBorders>
                    <w:tl2br w:val="nil"/>
                    <w:tr2bl w:val="nil"/>
                  </w:tcBorders>
                  <w:noWrap w:val="0"/>
                  <w:vAlign w:val="center"/>
                </w:tcPr>
                <w:p w14:paraId="4054A8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r>
                    <w:rPr>
                      <w:rFonts w:hint="default" w:ascii="Times New Roman" w:hAnsi="Times New Roman" w:eastAsia="宋体" w:cs="Times New Roman"/>
                      <w:b w:val="0"/>
                      <w:bCs w:val="0"/>
                      <w:color w:val="auto"/>
                      <w:kern w:val="0"/>
                      <w:sz w:val="21"/>
                      <w:szCs w:val="21"/>
                      <w:highlight w:val="none"/>
                      <w:u w:val="none"/>
                      <w:lang w:val="en-US" w:eastAsia="zh-CN" w:bidi="ar-SA"/>
                    </w:rPr>
                    <w:t>达标</w:t>
                  </w:r>
                </w:p>
              </w:tc>
              <w:tc>
                <w:tcPr>
                  <w:tcW w:w="1172" w:type="pct"/>
                  <w:vMerge w:val="continue"/>
                  <w:tcBorders>
                    <w:tl2br w:val="nil"/>
                    <w:tr2bl w:val="nil"/>
                  </w:tcBorders>
                  <w:noWrap w:val="0"/>
                  <w:vAlign w:val="center"/>
                </w:tcPr>
                <w:p w14:paraId="4340C5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u w:val="none"/>
                      <w:lang w:val="en-US" w:eastAsia="zh-CN" w:bidi="ar-SA"/>
                    </w:rPr>
                  </w:pPr>
                </w:p>
              </w:tc>
            </w:tr>
          </w:tbl>
          <w:p w14:paraId="272780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bCs/>
                <w:color w:val="auto"/>
                <w:highlight w:val="none"/>
                <w:lang w:val="en-US" w:eastAsia="zh-CN"/>
              </w:rPr>
            </w:pPr>
            <w:r>
              <w:rPr>
                <w:rFonts w:hint="default" w:ascii="Times New Roman" w:hAnsi="Times New Roman" w:cs="Times New Roman"/>
                <w:bCs/>
                <w:color w:val="auto"/>
                <w:sz w:val="24"/>
                <w:highlight w:val="none"/>
              </w:rPr>
              <w:t>由上表可知，</w:t>
            </w:r>
            <w:r>
              <w:rPr>
                <w:rFonts w:hint="default" w:ascii="Times New Roman" w:hAnsi="Times New Roman" w:cs="Times New Roman"/>
                <w:bCs/>
                <w:color w:val="auto"/>
                <w:sz w:val="24"/>
                <w:highlight w:val="none"/>
                <w:lang w:val="en-US" w:eastAsia="zh-CN"/>
              </w:rPr>
              <w:t>本</w:t>
            </w:r>
            <w:r>
              <w:rPr>
                <w:rFonts w:hint="default" w:ascii="Times New Roman" w:hAnsi="Times New Roman" w:cs="Times New Roman"/>
                <w:color w:val="auto"/>
                <w:sz w:val="24"/>
                <w:highlight w:val="none"/>
              </w:rPr>
              <w:t>项目运营期</w:t>
            </w:r>
            <w:r>
              <w:rPr>
                <w:rFonts w:hint="default" w:ascii="Times New Roman" w:hAnsi="Times New Roman" w:eastAsia="宋体" w:cs="Times New Roman"/>
                <w:bCs/>
                <w:color w:val="auto"/>
                <w:spacing w:val="0"/>
                <w:w w:val="100"/>
                <w:position w:val="0"/>
                <w:sz w:val="24"/>
                <w:szCs w:val="24"/>
                <w:highlight w:val="none"/>
                <w:u w:val="none"/>
                <w:lang w:val="en-US" w:eastAsia="zh-CN"/>
              </w:rPr>
              <w:t>实验室废气氯化氢、硫酸雾、硝酸雾（以NOx计）、非甲烷总烃排放浓度和排放速率均可满足《大气污染物综合排放标准》（GB 16297-1996）表2二级标准。</w:t>
            </w:r>
            <w:r>
              <w:rPr>
                <w:rFonts w:hint="default" w:ascii="Times New Roman" w:hAnsi="Times New Roman" w:eastAsia="宋体" w:cs="Times New Roman"/>
                <w:bCs/>
                <w:color w:val="auto"/>
                <w:spacing w:val="0"/>
                <w:w w:val="100"/>
                <w:kern w:val="2"/>
                <w:position w:val="0"/>
                <w:sz w:val="24"/>
                <w:szCs w:val="24"/>
                <w:highlight w:val="none"/>
                <w:lang w:val="en-US" w:eastAsia="zh-CN" w:bidi="ar-SA"/>
              </w:rPr>
              <w:t>食堂油烟经治理后排</w:t>
            </w:r>
            <w:r>
              <w:rPr>
                <w:rFonts w:hint="default" w:ascii="Times New Roman" w:hAnsi="Times New Roman" w:cs="Times New Roman"/>
                <w:color w:val="auto"/>
                <w:sz w:val="24"/>
                <w:highlight w:val="none"/>
              </w:rPr>
              <w:t>放浓度</w:t>
            </w:r>
            <w:r>
              <w:rPr>
                <w:rFonts w:hint="default" w:ascii="Times New Roman" w:hAnsi="Times New Roman" w:cs="Times New Roman"/>
                <w:bCs/>
                <w:color w:val="auto"/>
                <w:sz w:val="24"/>
                <w:highlight w:val="none"/>
              </w:rPr>
              <w:t>满足《饮食业油烟排放标准（试行）》（GB18483-2001）</w:t>
            </w:r>
            <w:r>
              <w:rPr>
                <w:rFonts w:hint="eastAsia" w:ascii="Times New Roman" w:hAnsi="Times New Roman" w:cs="Times New Roman"/>
                <w:bCs/>
                <w:color w:val="auto"/>
                <w:sz w:val="24"/>
                <w:highlight w:val="none"/>
                <w:lang w:val="en-US" w:eastAsia="zh-CN"/>
              </w:rPr>
              <w:t>中</w:t>
            </w:r>
            <w:r>
              <w:rPr>
                <w:rFonts w:hint="eastAsia" w:cs="Times New Roman"/>
                <w:bCs/>
                <w:color w:val="auto"/>
                <w:sz w:val="24"/>
                <w:highlight w:val="none"/>
                <w:lang w:eastAsia="zh-CN"/>
              </w:rPr>
              <w:t>大</w:t>
            </w:r>
            <w:r>
              <w:rPr>
                <w:rFonts w:hint="default" w:ascii="Times New Roman" w:hAnsi="Times New Roman" w:cs="Times New Roman"/>
                <w:bCs/>
                <w:color w:val="auto"/>
                <w:sz w:val="24"/>
                <w:highlight w:val="none"/>
              </w:rPr>
              <w:t>型</w:t>
            </w:r>
            <w:r>
              <w:rPr>
                <w:rFonts w:hint="eastAsia"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油烟排放浓度≤</w:t>
            </w:r>
            <w:r>
              <w:rPr>
                <w:rFonts w:hint="eastAsia" w:ascii="Times New Roman" w:hAnsi="Times New Roman" w:cs="Times New Roman"/>
                <w:bCs/>
                <w:color w:val="auto"/>
                <w:sz w:val="24"/>
                <w:highlight w:val="none"/>
                <w:lang w:val="en-US" w:eastAsia="zh-CN"/>
              </w:rPr>
              <w:t>2</w:t>
            </w:r>
            <w:r>
              <w:rPr>
                <w:rFonts w:hint="default" w:ascii="Times New Roman" w:hAnsi="Times New Roman" w:cs="Times New Roman"/>
                <w:bCs/>
                <w:color w:val="auto"/>
                <w:sz w:val="24"/>
                <w:highlight w:val="none"/>
              </w:rPr>
              <w:t>.0mg/</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bCs/>
                <w:color w:val="auto"/>
                <w:sz w:val="24"/>
                <w:highlight w:val="none"/>
              </w:rPr>
              <w:t>，油烟去除率≥</w:t>
            </w:r>
            <w:r>
              <w:rPr>
                <w:rFonts w:hint="eastAsia" w:ascii="Times New Roman" w:hAnsi="Times New Roman" w:cs="Times New Roman"/>
                <w:bCs/>
                <w:color w:val="auto"/>
                <w:sz w:val="24"/>
                <w:highlight w:val="none"/>
                <w:lang w:val="en-US" w:eastAsia="zh-CN"/>
              </w:rPr>
              <w:t>8</w:t>
            </w:r>
            <w:r>
              <w:rPr>
                <w:rFonts w:hint="eastAsia" w:cs="Times New Roman"/>
                <w:bCs/>
                <w:color w:val="auto"/>
                <w:sz w:val="24"/>
                <w:highlight w:val="none"/>
                <w:lang w:val="en-US" w:eastAsia="zh-CN"/>
              </w:rPr>
              <w:t>5</w:t>
            </w:r>
            <w:r>
              <w:rPr>
                <w:rFonts w:hint="default" w:ascii="Times New Roman" w:hAnsi="Times New Roman" w:cs="Times New Roman"/>
                <w:bCs/>
                <w:color w:val="auto"/>
                <w:sz w:val="24"/>
                <w:highlight w:val="none"/>
              </w:rPr>
              <w:t>%</w:t>
            </w:r>
            <w:r>
              <w:rPr>
                <w:rFonts w:hint="eastAsia" w:ascii="Times New Roman" w:hAnsi="Times New Roman" w:cs="Times New Roman"/>
                <w:bCs/>
                <w:color w:val="auto"/>
                <w:sz w:val="24"/>
                <w:highlight w:val="none"/>
                <w:lang w:eastAsia="zh-CN"/>
              </w:rPr>
              <w:t>”</w:t>
            </w:r>
            <w:r>
              <w:rPr>
                <w:rFonts w:hint="default" w:ascii="Times New Roman" w:hAnsi="Times New Roman" w:cs="Times New Roman"/>
                <w:bCs/>
                <w:color w:val="auto"/>
                <w:sz w:val="24"/>
                <w:highlight w:val="none"/>
              </w:rPr>
              <w:t>要求。</w:t>
            </w:r>
          </w:p>
          <w:p w14:paraId="4C845D1B">
            <w:pPr>
              <w:keepNext w:val="0"/>
              <w:keepLines w:val="0"/>
              <w:pageBreakBefore w:val="0"/>
              <w:widowControl w:val="0"/>
              <w:kinsoku/>
              <w:wordWrap/>
              <w:overflowPunct/>
              <w:topLinePunct w:val="0"/>
              <w:autoSpaceDE/>
              <w:autoSpaceDN/>
              <w:bidi w:val="0"/>
              <w:adjustRightInd/>
              <w:snapToGrid/>
              <w:spacing w:line="360" w:lineRule="auto"/>
              <w:rPr>
                <w:rFonts w:hint="eastAsia"/>
                <w:color w:val="auto"/>
                <w:highlight w:val="none"/>
                <w:lang w:val="en-US" w:eastAsia="zh-CN"/>
              </w:rPr>
            </w:pPr>
            <w:r>
              <w:rPr>
                <w:rFonts w:hint="eastAsia"/>
                <w:color w:val="auto"/>
                <w:highlight w:val="none"/>
                <w:lang w:val="en-US" w:eastAsia="zh-CN"/>
              </w:rPr>
              <w:t>综上所述，采取上述措施后，本项目产生的废气经处理后对周围大气环境的影响很小。</w:t>
            </w:r>
          </w:p>
          <w:p w14:paraId="43B32D42">
            <w:pPr>
              <w:pStyle w:val="29"/>
              <w:keepNext w:val="0"/>
              <w:keepLines w:val="0"/>
              <w:pageBreakBefore w:val="0"/>
              <w:widowControl w:val="0"/>
              <w:numPr>
                <w:ilvl w:val="0"/>
                <w:numId w:val="11"/>
              </w:numPr>
              <w:kinsoku/>
              <w:wordWrap/>
              <w:overflowPunct/>
              <w:topLinePunct w:val="0"/>
              <w:autoSpaceDE/>
              <w:autoSpaceDN/>
              <w:bidi w:val="0"/>
              <w:adjustRightInd/>
              <w:snapToGrid/>
              <w:spacing w:before="0" w:after="0" w:line="360" w:lineRule="auto"/>
              <w:ind w:left="0" w:leftChars="0" w:firstLine="480" w:firstLineChars="200"/>
              <w:jc w:val="left"/>
              <w:textAlignment w:val="baseline"/>
              <w:rPr>
                <w:rFonts w:hint="default" w:ascii="Times New Roman" w:hAnsi="Times New Roman" w:eastAsia="宋体" w:cs="宋体"/>
                <w:color w:val="auto"/>
                <w:kern w:val="2"/>
                <w:sz w:val="24"/>
                <w:szCs w:val="24"/>
                <w:highlight w:val="none"/>
                <w:lang w:val="en-US" w:eastAsia="zh-CN" w:bidi="ar-SA"/>
              </w:rPr>
            </w:pPr>
            <w:r>
              <w:rPr>
                <w:rFonts w:hint="default" w:ascii="Times New Roman" w:hAnsi="Times New Roman" w:eastAsia="宋体" w:cs="宋体"/>
                <w:color w:val="auto"/>
                <w:kern w:val="2"/>
                <w:sz w:val="24"/>
                <w:szCs w:val="24"/>
                <w:highlight w:val="none"/>
                <w:lang w:val="en-US" w:eastAsia="zh-CN" w:bidi="ar-SA"/>
              </w:rPr>
              <w:t>废气监测计划</w:t>
            </w:r>
          </w:p>
          <w:p w14:paraId="0E444E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w w:val="100"/>
                <w:kern w:val="2"/>
                <w:position w:val="0"/>
                <w:sz w:val="24"/>
                <w:szCs w:val="24"/>
                <w:highlight w:val="none"/>
                <w:lang w:val="en-US" w:eastAsia="zh-CN" w:bidi="ar-SA"/>
              </w:rPr>
            </w:pPr>
            <w:r>
              <w:rPr>
                <w:rFonts w:hint="default" w:ascii="Times New Roman" w:hAnsi="Times New Roman" w:eastAsia="宋体" w:cs="Times New Roman"/>
                <w:bCs/>
                <w:color w:val="auto"/>
                <w:spacing w:val="0"/>
                <w:w w:val="100"/>
                <w:kern w:val="2"/>
                <w:position w:val="0"/>
                <w:sz w:val="24"/>
                <w:szCs w:val="24"/>
                <w:highlight w:val="none"/>
                <w:lang w:val="en-US" w:eastAsia="zh-CN" w:bidi="ar-SA"/>
              </w:rPr>
              <w:t>依据《排污单位自行监测技术指南 总则》（HJ819-2017），本项目废气监测要求如下表。</w:t>
            </w:r>
          </w:p>
          <w:p w14:paraId="49A7036A">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kern w:val="2"/>
                <w:sz w:val="21"/>
                <w:szCs w:val="21"/>
                <w:highlight w:val="none"/>
                <w:lang w:val="en-US" w:eastAsia="zh-CN" w:bidi="ar"/>
              </w:rPr>
              <w:t>表</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STYLEREF 1 \s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4</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default" w:ascii="Times New Roman" w:hAnsi="Times New Roman" w:eastAsia="宋体" w:cs="Times New Roman"/>
                <w:b/>
                <w:bCs/>
                <w:color w:val="auto"/>
                <w:kern w:val="2"/>
                <w:sz w:val="21"/>
                <w:szCs w:val="21"/>
                <w:highlight w:val="none"/>
                <w:lang w:val="en-US" w:eastAsia="zh-CN" w:bidi="ar"/>
              </w:rPr>
              <w:t>-</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SEQ 表 \* ARABIC \s 1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9</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eastAsia" w:ascii="Times New Roman" w:hAnsi="Times New Roman" w:eastAsia="宋体" w:cs="Times New Roman"/>
                <w:b/>
                <w:bCs/>
                <w:color w:val="auto"/>
                <w:kern w:val="2"/>
                <w:sz w:val="21"/>
                <w:szCs w:val="21"/>
                <w:highlight w:val="none"/>
                <w:lang w:val="en-US" w:eastAsia="zh-CN" w:bidi="ar"/>
              </w:rPr>
              <w:t xml:space="preserve"> </w:t>
            </w:r>
            <w:r>
              <w:rPr>
                <w:rFonts w:hint="default" w:ascii="Times New Roman" w:hAnsi="Times New Roman" w:eastAsia="宋体" w:cs="Times New Roman"/>
                <w:color w:val="auto"/>
                <w:sz w:val="21"/>
                <w:szCs w:val="21"/>
                <w:highlight w:val="none"/>
                <w:lang w:val="en-US" w:eastAsia="zh-CN"/>
              </w:rPr>
              <w:t>本项目运营期废气监测计划一览表</w:t>
            </w:r>
          </w:p>
          <w:tbl>
            <w:tblPr>
              <w:tblStyle w:val="33"/>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74"/>
              <w:gridCol w:w="1162"/>
              <w:gridCol w:w="1984"/>
              <w:gridCol w:w="1122"/>
              <w:gridCol w:w="3559"/>
            </w:tblGrid>
            <w:tr w14:paraId="3A6F33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125" w:type="pct"/>
                  <w:gridSpan w:val="2"/>
                  <w:noWrap w:val="0"/>
                  <w:vAlign w:val="center"/>
                </w:tcPr>
                <w:p w14:paraId="5FA31B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b/>
                      <w:bCs/>
                      <w:color w:val="auto"/>
                      <w:spacing w:val="0"/>
                      <w:w w:val="100"/>
                      <w:kern w:val="2"/>
                      <w:position w:val="0"/>
                      <w:sz w:val="21"/>
                      <w:szCs w:val="21"/>
                      <w:highlight w:val="none"/>
                      <w:u w:val="none"/>
                      <w:lang w:val="en-US" w:eastAsia="zh-CN" w:bidi="ar-SA"/>
                    </w:rPr>
                    <w:t>监测点位置</w:t>
                  </w:r>
                </w:p>
              </w:tc>
              <w:tc>
                <w:tcPr>
                  <w:tcW w:w="1153" w:type="pct"/>
                  <w:noWrap w:val="0"/>
                  <w:vAlign w:val="center"/>
                </w:tcPr>
                <w:p w14:paraId="085214B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b/>
                      <w:bCs/>
                      <w:color w:val="auto"/>
                      <w:spacing w:val="0"/>
                      <w:w w:val="100"/>
                      <w:kern w:val="2"/>
                      <w:position w:val="0"/>
                      <w:sz w:val="21"/>
                      <w:szCs w:val="21"/>
                      <w:highlight w:val="none"/>
                      <w:u w:val="none"/>
                      <w:lang w:val="en-US" w:eastAsia="zh-CN" w:bidi="ar-SA"/>
                    </w:rPr>
                    <w:t>监测因子</w:t>
                  </w:r>
                </w:p>
              </w:tc>
              <w:tc>
                <w:tcPr>
                  <w:tcW w:w="652" w:type="pct"/>
                  <w:noWrap w:val="0"/>
                  <w:vAlign w:val="center"/>
                </w:tcPr>
                <w:p w14:paraId="1B29B71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b/>
                      <w:bCs/>
                      <w:color w:val="auto"/>
                      <w:spacing w:val="0"/>
                      <w:w w:val="100"/>
                      <w:kern w:val="2"/>
                      <w:position w:val="0"/>
                      <w:sz w:val="21"/>
                      <w:szCs w:val="21"/>
                      <w:highlight w:val="none"/>
                      <w:u w:val="none"/>
                      <w:lang w:val="en-US" w:eastAsia="zh-CN" w:bidi="ar-SA"/>
                    </w:rPr>
                    <w:t>监测频次</w:t>
                  </w:r>
                </w:p>
              </w:tc>
              <w:tc>
                <w:tcPr>
                  <w:tcW w:w="2068" w:type="pct"/>
                  <w:noWrap w:val="0"/>
                  <w:vAlign w:val="center"/>
                </w:tcPr>
                <w:p w14:paraId="17A2F1D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b/>
                      <w:bCs/>
                      <w:color w:val="auto"/>
                      <w:spacing w:val="0"/>
                      <w:w w:val="100"/>
                      <w:kern w:val="2"/>
                      <w:position w:val="0"/>
                      <w:sz w:val="21"/>
                      <w:szCs w:val="21"/>
                      <w:highlight w:val="none"/>
                      <w:u w:val="none"/>
                      <w:lang w:val="en-US" w:eastAsia="zh-CN" w:bidi="ar-SA"/>
                    </w:rPr>
                    <w:t>排放标准</w:t>
                  </w:r>
                </w:p>
              </w:tc>
            </w:tr>
            <w:tr w14:paraId="2DF335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0" w:type="pct"/>
                  <w:vMerge w:val="restart"/>
                  <w:noWrap w:val="0"/>
                  <w:vAlign w:val="center"/>
                </w:tcPr>
                <w:p w14:paraId="68C163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有组织</w:t>
                  </w:r>
                </w:p>
              </w:tc>
              <w:tc>
                <w:tcPr>
                  <w:tcW w:w="675" w:type="pct"/>
                  <w:noWrap w:val="0"/>
                  <w:vAlign w:val="center"/>
                </w:tcPr>
                <w:p w14:paraId="21C5E13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实验室废气排放口</w:t>
                  </w:r>
                </w:p>
              </w:tc>
              <w:tc>
                <w:tcPr>
                  <w:tcW w:w="1153" w:type="pct"/>
                  <w:noWrap w:val="0"/>
                  <w:vAlign w:val="center"/>
                </w:tcPr>
                <w:p w14:paraId="7DFB160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氯化氢、硫酸雾、NOx、非甲烷总烃</w:t>
                  </w:r>
                </w:p>
              </w:tc>
              <w:tc>
                <w:tcPr>
                  <w:tcW w:w="652" w:type="pct"/>
                  <w:noWrap w:val="0"/>
                  <w:vAlign w:val="center"/>
                </w:tcPr>
                <w:p w14:paraId="0656D5B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1次/年</w:t>
                  </w:r>
                </w:p>
              </w:tc>
              <w:tc>
                <w:tcPr>
                  <w:tcW w:w="2068" w:type="pct"/>
                  <w:noWrap w:val="0"/>
                  <w:vAlign w:val="center"/>
                </w:tcPr>
                <w:p w14:paraId="0CCA48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t>《大气污染物综合排放标准》</w:t>
                  </w:r>
                </w:p>
                <w:p w14:paraId="4A87A45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cs="Times New Roman"/>
                      <w:color w:val="auto"/>
                      <w:sz w:val="21"/>
                      <w:szCs w:val="21"/>
                      <w:highlight w:val="none"/>
                      <w:u w:val="none"/>
                      <w:lang w:val="en-US" w:eastAsia="zh-CN"/>
                    </w:rPr>
                    <w:t>（GB16297-1996）表2标准</w:t>
                  </w:r>
                </w:p>
              </w:tc>
            </w:tr>
            <w:tr w14:paraId="636A13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0" w:type="pct"/>
                  <w:vMerge w:val="continue"/>
                  <w:noWrap w:val="0"/>
                  <w:vAlign w:val="center"/>
                </w:tcPr>
                <w:p w14:paraId="471AC0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p>
              </w:tc>
              <w:tc>
                <w:tcPr>
                  <w:tcW w:w="675" w:type="pct"/>
                  <w:noWrap w:val="0"/>
                  <w:vAlign w:val="center"/>
                </w:tcPr>
                <w:p w14:paraId="5E59B38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食堂油烟废气排放口</w:t>
                  </w:r>
                </w:p>
              </w:tc>
              <w:tc>
                <w:tcPr>
                  <w:tcW w:w="1153" w:type="pct"/>
                  <w:noWrap w:val="0"/>
                  <w:vAlign w:val="center"/>
                </w:tcPr>
                <w:p w14:paraId="2D20A0D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油烟</w:t>
                  </w:r>
                </w:p>
              </w:tc>
              <w:tc>
                <w:tcPr>
                  <w:tcW w:w="652" w:type="pct"/>
                  <w:noWrap w:val="0"/>
                  <w:vAlign w:val="center"/>
                </w:tcPr>
                <w:p w14:paraId="739EC10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1次/年</w:t>
                  </w:r>
                </w:p>
              </w:tc>
              <w:tc>
                <w:tcPr>
                  <w:tcW w:w="2068" w:type="pct"/>
                  <w:noWrap w:val="0"/>
                  <w:vAlign w:val="center"/>
                </w:tcPr>
                <w:p w14:paraId="4A2011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val="en-US" w:eastAsia="zh-CN"/>
                    </w:rPr>
                    <w:t>《饮食业油烟排放标准（试行）》（GB18483-2001）</w:t>
                  </w:r>
                  <w:r>
                    <w:rPr>
                      <w:rFonts w:hint="eastAsia" w:ascii="Times New Roman" w:hAnsi="Times New Roman" w:eastAsia="宋体" w:cs="Times New Roman"/>
                      <w:color w:val="auto"/>
                      <w:sz w:val="21"/>
                      <w:szCs w:val="21"/>
                      <w:highlight w:val="none"/>
                      <w:u w:val="none"/>
                      <w:lang w:val="en-US" w:eastAsia="zh-CN"/>
                    </w:rPr>
                    <w:t>中</w:t>
                  </w:r>
                  <w:r>
                    <w:rPr>
                      <w:rFonts w:hint="eastAsia" w:cs="Times New Roman"/>
                      <w:color w:val="auto"/>
                      <w:sz w:val="21"/>
                      <w:szCs w:val="21"/>
                      <w:highlight w:val="none"/>
                      <w:u w:val="none"/>
                      <w:lang w:val="en-US" w:eastAsia="zh-CN"/>
                    </w:rPr>
                    <w:t>大</w:t>
                  </w:r>
                  <w:r>
                    <w:rPr>
                      <w:rFonts w:hint="default" w:ascii="Times New Roman" w:hAnsi="Times New Roman" w:eastAsia="宋体" w:cs="Times New Roman"/>
                      <w:color w:val="auto"/>
                      <w:sz w:val="21"/>
                      <w:szCs w:val="21"/>
                      <w:highlight w:val="none"/>
                      <w:u w:val="none"/>
                      <w:lang w:val="en-US" w:eastAsia="zh-CN"/>
                    </w:rPr>
                    <w:t>型排放限值</w:t>
                  </w:r>
                </w:p>
              </w:tc>
            </w:tr>
            <w:tr w14:paraId="4E9453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0" w:type="pct"/>
                  <w:noWrap w:val="0"/>
                  <w:vAlign w:val="center"/>
                </w:tcPr>
                <w:p w14:paraId="0FF8943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无组织</w:t>
                  </w:r>
                </w:p>
              </w:tc>
              <w:tc>
                <w:tcPr>
                  <w:tcW w:w="675" w:type="pct"/>
                  <w:noWrap w:val="0"/>
                  <w:vAlign w:val="center"/>
                </w:tcPr>
                <w:p w14:paraId="4C6C53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厂界</w:t>
                  </w:r>
                </w:p>
              </w:tc>
              <w:tc>
                <w:tcPr>
                  <w:tcW w:w="1153" w:type="pct"/>
                  <w:noWrap w:val="0"/>
                  <w:vAlign w:val="center"/>
                </w:tcPr>
                <w:p w14:paraId="7AC98EF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氯化氢、硫酸雾、NOx、非甲烷总烃</w:t>
                  </w:r>
                </w:p>
              </w:tc>
              <w:tc>
                <w:tcPr>
                  <w:tcW w:w="652" w:type="pct"/>
                  <w:noWrap w:val="0"/>
                  <w:vAlign w:val="center"/>
                </w:tcPr>
                <w:p w14:paraId="73D4C48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1次/年</w:t>
                  </w:r>
                </w:p>
              </w:tc>
              <w:tc>
                <w:tcPr>
                  <w:tcW w:w="2068" w:type="pct"/>
                  <w:noWrap w:val="0"/>
                  <w:vAlign w:val="center"/>
                </w:tcPr>
                <w:p w14:paraId="43CFBA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cs="Times New Roman"/>
                      <w:color w:val="auto"/>
                      <w:sz w:val="21"/>
                      <w:szCs w:val="21"/>
                      <w:highlight w:val="none"/>
                      <w:u w:val="none"/>
                      <w:lang w:val="en-US" w:eastAsia="zh-CN"/>
                    </w:rPr>
                    <w:t>《大气污染物综合排放标准》（GB</w:t>
                  </w:r>
                  <w:r>
                    <w:rPr>
                      <w:rFonts w:hint="eastAsia" w:ascii="Times New Roman" w:hAnsi="Times New Roman" w:cs="Times New Roman"/>
                      <w:color w:val="auto"/>
                      <w:sz w:val="21"/>
                      <w:szCs w:val="21"/>
                      <w:highlight w:val="none"/>
                      <w:u w:val="none"/>
                      <w:lang w:val="en-US" w:eastAsia="zh-CN"/>
                    </w:rPr>
                    <w:t xml:space="preserve"> </w:t>
                  </w:r>
                  <w:r>
                    <w:rPr>
                      <w:rFonts w:hint="default" w:ascii="Times New Roman" w:hAnsi="Times New Roman" w:cs="Times New Roman"/>
                      <w:color w:val="auto"/>
                      <w:sz w:val="21"/>
                      <w:szCs w:val="21"/>
                      <w:highlight w:val="none"/>
                      <w:u w:val="none"/>
                      <w:lang w:val="en-US" w:eastAsia="zh-CN"/>
                    </w:rPr>
                    <w:t>16297-1996）表2标准</w:t>
                  </w:r>
                </w:p>
              </w:tc>
            </w:tr>
          </w:tbl>
          <w:p w14:paraId="05DEC66C">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left"/>
              <w:textAlignment w:val="auto"/>
              <w:rPr>
                <w:rFonts w:hint="eastAsia"/>
                <w:b/>
                <w:bCs/>
                <w:color w:val="auto"/>
                <w:highlight w:val="none"/>
                <w:lang w:val="en-US" w:eastAsia="zh-CN"/>
              </w:rPr>
            </w:pPr>
            <w:r>
              <w:rPr>
                <w:rFonts w:hint="eastAsia"/>
                <w:b/>
                <w:bCs/>
                <w:color w:val="auto"/>
                <w:highlight w:val="none"/>
                <w:lang w:val="en-US" w:eastAsia="zh-CN"/>
              </w:rPr>
              <w:t>废水</w:t>
            </w:r>
            <w:bookmarkEnd w:id="45"/>
            <w:bookmarkEnd w:id="46"/>
          </w:p>
          <w:p w14:paraId="438CA46B">
            <w:pPr>
              <w:pStyle w:val="4"/>
              <w:keepNext/>
              <w:keepLines/>
              <w:pageBreakBefore w:val="0"/>
              <w:widowControl w:val="0"/>
              <w:kinsoku/>
              <w:wordWrap/>
              <w:overflowPunct/>
              <w:topLinePunct w:val="0"/>
              <w:autoSpaceDE/>
              <w:autoSpaceDN/>
              <w:bidi w:val="0"/>
              <w:adjustRightInd/>
              <w:snapToGrid/>
              <w:spacing w:before="0" w:beforeLines="0" w:after="0" w:afterLines="0" w:line="360" w:lineRule="auto"/>
              <w:ind w:left="0" w:firstLine="482" w:firstLineChars="200"/>
              <w:jc w:val="left"/>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废水产生及排放情况</w:t>
            </w:r>
          </w:p>
          <w:p w14:paraId="130C7CB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kern w:val="21"/>
                <w:sz w:val="24"/>
                <w:szCs w:val="24"/>
                <w:highlight w:val="none"/>
                <w:lang w:val="en-US" w:eastAsia="zh-CN"/>
              </w:rPr>
            </w:pPr>
            <w:r>
              <w:rPr>
                <w:rFonts w:hint="default" w:ascii="Times New Roman" w:hAnsi="Times New Roman" w:eastAsia="宋体" w:cs="Times New Roman"/>
                <w:bCs/>
                <w:color w:val="auto"/>
                <w:spacing w:val="0"/>
                <w:kern w:val="21"/>
                <w:sz w:val="24"/>
                <w:szCs w:val="24"/>
                <w:highlight w:val="none"/>
                <w:lang w:val="en-US" w:eastAsia="zh-CN"/>
              </w:rPr>
              <w:t>本项目废水主要为师生日常生活污水、食堂废水、实验室清洗废水和碱喷淋废水。根据前文分析，本项目废水总量约</w:t>
            </w:r>
            <w:r>
              <w:rPr>
                <w:rFonts w:hint="eastAsia" w:ascii="Times New Roman" w:hAnsi="Times New Roman" w:eastAsia="宋体" w:cs="Times New Roman"/>
                <w:bCs/>
                <w:color w:val="auto"/>
                <w:sz w:val="24"/>
                <w:szCs w:val="24"/>
                <w:highlight w:val="none"/>
                <w:lang w:val="en-US" w:eastAsia="zh-CN"/>
              </w:rPr>
              <w:t>44894</w:t>
            </w:r>
            <w:r>
              <w:rPr>
                <w:rFonts w:hint="default" w:ascii="Times New Roman" w:hAnsi="Times New Roman" w:eastAsia="宋体" w:cs="Times New Roman"/>
                <w:bCs/>
                <w:color w:val="auto"/>
                <w:sz w:val="24"/>
                <w:szCs w:val="24"/>
                <w:highlight w:val="none"/>
                <w:lang w:val="en-US" w:eastAsia="zh-CN"/>
              </w:rPr>
              <w:t>m</w:t>
            </w:r>
            <w:r>
              <w:rPr>
                <w:rFonts w:hint="default" w:ascii="Times New Roman" w:hAnsi="Times New Roman" w:eastAsia="宋体" w:cs="Times New Roman"/>
                <w:bCs/>
                <w:color w:val="auto"/>
                <w:sz w:val="24"/>
                <w:szCs w:val="24"/>
                <w:highlight w:val="none"/>
                <w:vertAlign w:val="superscript"/>
                <w:lang w:val="en-US" w:eastAsia="zh-CN"/>
              </w:rPr>
              <w:t>3</w:t>
            </w:r>
            <w:r>
              <w:rPr>
                <w:rFonts w:hint="default" w:ascii="Times New Roman" w:hAnsi="Times New Roman" w:eastAsia="宋体" w:cs="Times New Roman"/>
                <w:bCs/>
                <w:color w:val="auto"/>
                <w:sz w:val="24"/>
                <w:szCs w:val="24"/>
                <w:highlight w:val="none"/>
                <w:lang w:val="en-US" w:eastAsia="zh-CN"/>
              </w:rPr>
              <w:t>/a（</w:t>
            </w:r>
            <w:r>
              <w:rPr>
                <w:rFonts w:hint="eastAsia" w:ascii="Times New Roman" w:hAnsi="Times New Roman" w:eastAsia="宋体" w:cs="Times New Roman"/>
                <w:bCs/>
                <w:color w:val="auto"/>
                <w:spacing w:val="0"/>
                <w:kern w:val="21"/>
                <w:sz w:val="24"/>
                <w:szCs w:val="24"/>
                <w:highlight w:val="none"/>
                <w:lang w:val="en-US" w:eastAsia="zh-CN"/>
              </w:rPr>
              <w:t>224.47</w:t>
            </w:r>
            <w:r>
              <w:rPr>
                <w:rFonts w:hint="default" w:ascii="Times New Roman" w:hAnsi="Times New Roman" w:eastAsia="宋体" w:cs="Times New Roman"/>
                <w:bCs/>
                <w:color w:val="auto"/>
                <w:sz w:val="24"/>
                <w:szCs w:val="24"/>
                <w:highlight w:val="none"/>
                <w:lang w:val="en-US" w:eastAsia="zh-CN"/>
              </w:rPr>
              <w:t>m</w:t>
            </w:r>
            <w:r>
              <w:rPr>
                <w:rFonts w:hint="default" w:ascii="Times New Roman" w:hAnsi="Times New Roman" w:eastAsia="宋体" w:cs="Times New Roman"/>
                <w:bCs/>
                <w:color w:val="auto"/>
                <w:sz w:val="24"/>
                <w:szCs w:val="24"/>
                <w:highlight w:val="none"/>
                <w:vertAlign w:val="superscript"/>
                <w:lang w:val="en-US" w:eastAsia="zh-CN"/>
              </w:rPr>
              <w:t>3</w:t>
            </w:r>
            <w:r>
              <w:rPr>
                <w:rFonts w:hint="default" w:ascii="Times New Roman" w:hAnsi="Times New Roman" w:eastAsia="宋体" w:cs="Times New Roman"/>
                <w:bCs/>
                <w:color w:val="auto"/>
                <w:sz w:val="24"/>
                <w:szCs w:val="24"/>
                <w:highlight w:val="none"/>
                <w:lang w:val="en-US" w:eastAsia="zh-CN"/>
              </w:rPr>
              <w:t>/d）。</w:t>
            </w:r>
          </w:p>
          <w:p w14:paraId="39C543B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kern w:val="21"/>
                <w:sz w:val="24"/>
                <w:szCs w:val="24"/>
                <w:highlight w:val="none"/>
                <w:lang w:val="en-US" w:eastAsia="zh-CN"/>
              </w:rPr>
            </w:pPr>
            <w:r>
              <w:rPr>
                <w:rFonts w:hint="default" w:ascii="Times New Roman" w:hAnsi="Times New Roman" w:eastAsia="宋体" w:cs="Times New Roman"/>
                <w:bCs/>
                <w:color w:val="auto"/>
                <w:spacing w:val="0"/>
                <w:kern w:val="21"/>
                <w:sz w:val="24"/>
                <w:szCs w:val="24"/>
                <w:highlight w:val="none"/>
                <w:lang w:val="en-US" w:eastAsia="zh-CN"/>
              </w:rPr>
              <w:t>（1）师生日常生活污水</w:t>
            </w:r>
          </w:p>
          <w:p w14:paraId="6FD25A9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kern w:val="21"/>
                <w:sz w:val="24"/>
                <w:szCs w:val="24"/>
                <w:highlight w:val="none"/>
                <w:lang w:val="en-US" w:eastAsia="zh-CN"/>
              </w:rPr>
            </w:pPr>
            <w:r>
              <w:rPr>
                <w:rFonts w:hint="default" w:ascii="Times New Roman" w:hAnsi="Times New Roman" w:eastAsia="宋体" w:cs="Times New Roman"/>
                <w:bCs/>
                <w:color w:val="auto"/>
                <w:spacing w:val="0"/>
                <w:kern w:val="21"/>
                <w:sz w:val="24"/>
                <w:szCs w:val="24"/>
                <w:highlight w:val="none"/>
                <w:lang w:val="en-US" w:eastAsia="zh-CN"/>
              </w:rPr>
              <w:t>本项目生活污水</w:t>
            </w:r>
            <w:r>
              <w:rPr>
                <w:rFonts w:hint="default" w:ascii="Times New Roman" w:hAnsi="Times New Roman" w:eastAsia="宋体" w:cs="Times New Roman"/>
                <w:bCs/>
                <w:color w:val="auto"/>
                <w:sz w:val="24"/>
                <w:szCs w:val="24"/>
                <w:highlight w:val="none"/>
                <w:lang w:val="en-US" w:eastAsia="zh-CN"/>
              </w:rPr>
              <w:t>产生量为</w:t>
            </w:r>
            <w:r>
              <w:rPr>
                <w:rFonts w:hint="eastAsia" w:ascii="Times New Roman" w:hAnsi="Times New Roman" w:cs="Times New Roman"/>
                <w:b w:val="0"/>
                <w:bCs/>
                <w:color w:val="auto"/>
                <w:sz w:val="24"/>
                <w:highlight w:val="none"/>
                <w:u w:val="none"/>
                <w:lang w:val="en-US" w:eastAsia="zh-CN"/>
              </w:rPr>
              <w:t>32500</w:t>
            </w:r>
            <w:r>
              <w:rPr>
                <w:rFonts w:hint="default" w:ascii="Times New Roman" w:hAnsi="Times New Roman" w:cs="Times New Roman"/>
                <w:b w:val="0"/>
                <w:bCs/>
                <w:color w:val="auto"/>
                <w:sz w:val="24"/>
                <w:highlight w:val="none"/>
                <w:u w:val="none"/>
                <w:lang w:val="en-US" w:eastAsia="zh-CN"/>
              </w:rPr>
              <w:t>m</w:t>
            </w:r>
            <w:r>
              <w:rPr>
                <w:rFonts w:hint="default" w:ascii="Times New Roman" w:hAnsi="Times New Roman" w:cs="Times New Roman"/>
                <w:b w:val="0"/>
                <w:bCs/>
                <w:color w:val="auto"/>
                <w:sz w:val="24"/>
                <w:highlight w:val="none"/>
                <w:u w:val="none"/>
                <w:vertAlign w:val="superscript"/>
                <w:lang w:val="en-US" w:eastAsia="zh-CN"/>
              </w:rPr>
              <w:t>3</w:t>
            </w:r>
            <w:r>
              <w:rPr>
                <w:rFonts w:hint="default" w:ascii="Times New Roman" w:hAnsi="Times New Roman" w:cs="Times New Roman"/>
                <w:b w:val="0"/>
                <w:bCs/>
                <w:color w:val="auto"/>
                <w:sz w:val="24"/>
                <w:highlight w:val="none"/>
                <w:u w:val="none"/>
                <w:lang w:val="en-US" w:eastAsia="zh-CN"/>
              </w:rPr>
              <w:t>/a（</w:t>
            </w:r>
            <w:r>
              <w:rPr>
                <w:rFonts w:hint="eastAsia" w:ascii="Times New Roman" w:hAnsi="Times New Roman" w:cs="Times New Roman"/>
                <w:b w:val="0"/>
                <w:bCs/>
                <w:color w:val="auto"/>
                <w:sz w:val="24"/>
                <w:highlight w:val="none"/>
                <w:u w:val="none"/>
                <w:lang w:val="en-US" w:eastAsia="zh-CN"/>
              </w:rPr>
              <w:t>162.5</w:t>
            </w:r>
            <w:r>
              <w:rPr>
                <w:rFonts w:hint="default" w:ascii="Times New Roman" w:hAnsi="Times New Roman" w:cs="Times New Roman"/>
                <w:b w:val="0"/>
                <w:bCs/>
                <w:color w:val="auto"/>
                <w:sz w:val="24"/>
                <w:highlight w:val="none"/>
                <w:u w:val="none"/>
                <w:lang w:val="en-US" w:eastAsia="zh-CN"/>
              </w:rPr>
              <w:t>m</w:t>
            </w:r>
            <w:r>
              <w:rPr>
                <w:rFonts w:hint="default" w:ascii="Times New Roman" w:hAnsi="Times New Roman" w:cs="Times New Roman"/>
                <w:b w:val="0"/>
                <w:bCs/>
                <w:color w:val="auto"/>
                <w:sz w:val="24"/>
                <w:highlight w:val="none"/>
                <w:u w:val="none"/>
                <w:vertAlign w:val="superscript"/>
                <w:lang w:val="en-US" w:eastAsia="zh-CN"/>
              </w:rPr>
              <w:t>3</w:t>
            </w:r>
            <w:r>
              <w:rPr>
                <w:rFonts w:hint="default" w:ascii="Times New Roman" w:hAnsi="Times New Roman" w:cs="Times New Roman"/>
                <w:b w:val="0"/>
                <w:bCs/>
                <w:color w:val="auto"/>
                <w:sz w:val="24"/>
                <w:highlight w:val="none"/>
                <w:u w:val="none"/>
                <w:lang w:val="en-US" w:eastAsia="zh-CN"/>
              </w:rPr>
              <w:t>/d）</w:t>
            </w:r>
            <w:r>
              <w:rPr>
                <w:rFonts w:hint="default" w:ascii="Times New Roman" w:hAnsi="Times New Roman" w:eastAsia="宋体" w:cs="Times New Roman"/>
                <w:bCs/>
                <w:color w:val="auto"/>
                <w:sz w:val="24"/>
                <w:szCs w:val="24"/>
                <w:highlight w:val="none"/>
                <w:lang w:val="en-US" w:eastAsia="zh-CN"/>
              </w:rPr>
              <w:t>，主要污染物浓度为</w:t>
            </w:r>
            <w:r>
              <w:rPr>
                <w:rFonts w:hint="default" w:ascii="Times New Roman" w:hAnsi="Times New Roman" w:eastAsia="宋体" w:cs="Times New Roman"/>
                <w:bCs/>
                <w:color w:val="auto"/>
                <w:spacing w:val="0"/>
                <w:w w:val="100"/>
                <w:kern w:val="2"/>
                <w:position w:val="0"/>
                <w:sz w:val="24"/>
                <w:szCs w:val="24"/>
                <w:highlight w:val="none"/>
                <w:lang w:val="en-US" w:eastAsia="zh-CN" w:bidi="ar-SA"/>
              </w:rPr>
              <w:t>COD</w:t>
            </w:r>
            <w:r>
              <w:rPr>
                <w:rFonts w:hint="eastAsia" w:ascii="Times New Roman" w:hAnsi="Times New Roman" w:eastAsia="宋体" w:cs="Times New Roman"/>
                <w:bCs/>
                <w:color w:val="auto"/>
                <w:spacing w:val="0"/>
                <w:w w:val="100"/>
                <w:kern w:val="2"/>
                <w:position w:val="0"/>
                <w:sz w:val="24"/>
                <w:szCs w:val="24"/>
                <w:highlight w:val="none"/>
                <w:lang w:val="en-US" w:eastAsia="zh-CN" w:bidi="ar-SA"/>
              </w:rPr>
              <w:t xml:space="preserve">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350mg/L、BOD</w:t>
            </w:r>
            <w:r>
              <w:rPr>
                <w:rFonts w:hint="default" w:ascii="Times New Roman" w:hAnsi="Times New Roman" w:eastAsia="宋体" w:cs="Times New Roman"/>
                <w:bCs/>
                <w:color w:val="auto"/>
                <w:spacing w:val="0"/>
                <w:w w:val="100"/>
                <w:kern w:val="2"/>
                <w:position w:val="0"/>
                <w:sz w:val="24"/>
                <w:szCs w:val="24"/>
                <w:highlight w:val="none"/>
                <w:vertAlign w:val="subscript"/>
                <w:lang w:val="en-US" w:eastAsia="zh-CN" w:bidi="ar-SA"/>
              </w:rPr>
              <w:t>5</w:t>
            </w:r>
            <w:r>
              <w:rPr>
                <w:rFonts w:hint="eastAsia" w:ascii="Times New Roman" w:hAnsi="Times New Roman" w:eastAsia="宋体" w:cs="Times New Roman"/>
                <w:bCs/>
                <w:color w:val="auto"/>
                <w:spacing w:val="0"/>
                <w:w w:val="100"/>
                <w:kern w:val="2"/>
                <w:position w:val="0"/>
                <w:sz w:val="24"/>
                <w:szCs w:val="24"/>
                <w:highlight w:val="none"/>
                <w:vertAlign w:val="baseline"/>
                <w:lang w:val="en-US" w:eastAsia="zh-CN" w:bidi="ar-SA"/>
              </w:rPr>
              <w:t xml:space="preserve">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180mg/L、SS</w:t>
            </w:r>
            <w:r>
              <w:rPr>
                <w:rFonts w:hint="eastAsia" w:ascii="Times New Roman" w:hAnsi="Times New Roman" w:eastAsia="宋体" w:cs="Times New Roman"/>
                <w:bCs/>
                <w:color w:val="auto"/>
                <w:spacing w:val="0"/>
                <w:w w:val="100"/>
                <w:kern w:val="2"/>
                <w:position w:val="0"/>
                <w:sz w:val="24"/>
                <w:szCs w:val="24"/>
                <w:highlight w:val="none"/>
                <w:lang w:val="en-US" w:eastAsia="zh-CN" w:bidi="ar-SA"/>
              </w:rPr>
              <w:t xml:space="preserve">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200mg/L、NH</w:t>
            </w:r>
            <w:r>
              <w:rPr>
                <w:rFonts w:hint="default" w:ascii="Times New Roman" w:hAnsi="Times New Roman" w:eastAsia="宋体" w:cs="Times New Roman"/>
                <w:bCs/>
                <w:color w:val="auto"/>
                <w:spacing w:val="0"/>
                <w:w w:val="100"/>
                <w:kern w:val="2"/>
                <w:position w:val="0"/>
                <w:sz w:val="24"/>
                <w:szCs w:val="24"/>
                <w:highlight w:val="none"/>
                <w:vertAlign w:val="subscript"/>
                <w:lang w:val="en-US" w:eastAsia="zh-CN" w:bidi="ar-SA"/>
              </w:rPr>
              <w:t>3</w:t>
            </w:r>
            <w:r>
              <w:rPr>
                <w:rFonts w:hint="default" w:ascii="Times New Roman" w:hAnsi="Times New Roman" w:eastAsia="宋体" w:cs="Times New Roman"/>
                <w:bCs/>
                <w:color w:val="auto"/>
                <w:spacing w:val="0"/>
                <w:w w:val="100"/>
                <w:kern w:val="2"/>
                <w:position w:val="0"/>
                <w:sz w:val="24"/>
                <w:szCs w:val="24"/>
                <w:highlight w:val="none"/>
                <w:lang w:val="en-US" w:eastAsia="zh-CN" w:bidi="ar-SA"/>
              </w:rPr>
              <w:t>-N</w:t>
            </w:r>
            <w:r>
              <w:rPr>
                <w:rFonts w:hint="eastAsia" w:ascii="Times New Roman" w:hAnsi="Times New Roman" w:eastAsia="宋体" w:cs="Times New Roman"/>
                <w:bCs/>
                <w:color w:val="auto"/>
                <w:spacing w:val="0"/>
                <w:w w:val="100"/>
                <w:kern w:val="2"/>
                <w:position w:val="0"/>
                <w:sz w:val="24"/>
                <w:szCs w:val="24"/>
                <w:highlight w:val="none"/>
                <w:lang w:val="en-US" w:eastAsia="zh-CN" w:bidi="ar-SA"/>
              </w:rPr>
              <w:t xml:space="preserve">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25mg/L</w:t>
            </w:r>
            <w:r>
              <w:rPr>
                <w:rFonts w:hint="default" w:ascii="Times New Roman" w:hAnsi="Times New Roman" w:cs="Times New Roman"/>
                <w:color w:val="auto"/>
                <w:sz w:val="24"/>
                <w:highlight w:val="none"/>
                <w:u w:val="none"/>
                <w:lang w:val="en-US" w:eastAsia="zh-CN"/>
              </w:rPr>
              <w:t>，经化粪池处理后，</w:t>
            </w:r>
            <w:r>
              <w:rPr>
                <w:rFonts w:hint="default" w:ascii="Times New Roman" w:hAnsi="Times New Roman" w:eastAsia="宋体" w:cs="Times New Roman"/>
                <w:bCs/>
                <w:color w:val="auto"/>
                <w:sz w:val="24"/>
                <w:szCs w:val="24"/>
                <w:highlight w:val="none"/>
                <w:lang w:val="en-US" w:eastAsia="zh-CN"/>
              </w:rPr>
              <w:t>经市政污水管网排入</w:t>
            </w:r>
            <w:r>
              <w:rPr>
                <w:rFonts w:hint="eastAsia" w:cs="Times New Roman"/>
                <w:color w:val="auto"/>
                <w:highlight w:val="none"/>
                <w:lang w:val="en-US" w:eastAsia="zh-CN"/>
              </w:rPr>
              <w:t>壶关县第二</w:t>
            </w:r>
            <w:r>
              <w:rPr>
                <w:rFonts w:hint="default" w:ascii="Times New Roman" w:hAnsi="Times New Roman" w:cs="Times New Roman"/>
                <w:color w:val="auto"/>
                <w:highlight w:val="none"/>
                <w:lang w:val="en-US" w:eastAsia="zh-CN"/>
              </w:rPr>
              <w:t>污水处理厂</w:t>
            </w:r>
            <w:r>
              <w:rPr>
                <w:rFonts w:hint="default" w:ascii="Times New Roman" w:hAnsi="Times New Roman" w:eastAsia="宋体" w:cs="Times New Roman"/>
                <w:bCs/>
                <w:color w:val="auto"/>
                <w:sz w:val="24"/>
                <w:szCs w:val="24"/>
                <w:highlight w:val="none"/>
                <w:lang w:val="en-US" w:eastAsia="zh-CN"/>
              </w:rPr>
              <w:t>进一步处理。</w:t>
            </w:r>
          </w:p>
          <w:p w14:paraId="46E6FB9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kern w:val="21"/>
                <w:sz w:val="24"/>
                <w:szCs w:val="24"/>
                <w:highlight w:val="none"/>
                <w:lang w:val="en-US" w:eastAsia="zh-CN"/>
              </w:rPr>
            </w:pPr>
            <w:r>
              <w:rPr>
                <w:rFonts w:hint="default" w:ascii="Times New Roman" w:hAnsi="Times New Roman" w:eastAsia="宋体" w:cs="Times New Roman"/>
                <w:bCs/>
                <w:color w:val="auto"/>
                <w:spacing w:val="0"/>
                <w:kern w:val="21"/>
                <w:sz w:val="24"/>
                <w:szCs w:val="24"/>
                <w:highlight w:val="none"/>
                <w:lang w:val="en-US" w:eastAsia="zh-CN"/>
              </w:rPr>
              <w:t>（2）食堂废水</w:t>
            </w:r>
          </w:p>
          <w:p w14:paraId="103CEF6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color w:val="auto"/>
                <w:sz w:val="24"/>
                <w:highlight w:val="none"/>
                <w:u w:val="none"/>
                <w:lang w:eastAsia="zh-CN"/>
              </w:rPr>
            </w:pPr>
            <w:r>
              <w:rPr>
                <w:rFonts w:hint="default" w:ascii="Times New Roman" w:hAnsi="Times New Roman" w:cs="Times New Roman"/>
                <w:b w:val="0"/>
                <w:bCs/>
                <w:color w:val="auto"/>
                <w:sz w:val="24"/>
                <w:highlight w:val="none"/>
                <w:u w:val="none"/>
                <w:lang w:val="en-US" w:eastAsia="zh-CN"/>
              </w:rPr>
              <w:t>本项目食堂废水产生量为</w:t>
            </w:r>
            <w:r>
              <w:rPr>
                <w:rFonts w:hint="eastAsia" w:ascii="Times New Roman" w:hAnsi="Times New Roman" w:cs="Times New Roman"/>
                <w:b w:val="0"/>
                <w:bCs/>
                <w:color w:val="auto"/>
                <w:sz w:val="24"/>
                <w:highlight w:val="none"/>
                <w:u w:val="none"/>
                <w:lang w:val="en-US" w:eastAsia="zh-CN"/>
              </w:rPr>
              <w:t>12286</w:t>
            </w:r>
            <w:r>
              <w:rPr>
                <w:rFonts w:hint="default" w:ascii="Times New Roman" w:hAnsi="Times New Roman" w:cs="Times New Roman"/>
                <w:b w:val="0"/>
                <w:bCs/>
                <w:color w:val="auto"/>
                <w:sz w:val="24"/>
                <w:highlight w:val="none"/>
                <w:u w:val="none"/>
                <w:lang w:val="en-US" w:eastAsia="zh-CN"/>
              </w:rPr>
              <w:t>m</w:t>
            </w:r>
            <w:r>
              <w:rPr>
                <w:rFonts w:hint="default" w:ascii="Times New Roman" w:hAnsi="Times New Roman" w:cs="Times New Roman"/>
                <w:b w:val="0"/>
                <w:bCs/>
                <w:color w:val="auto"/>
                <w:sz w:val="24"/>
                <w:highlight w:val="none"/>
                <w:u w:val="none"/>
                <w:vertAlign w:val="superscript"/>
                <w:lang w:val="en-US" w:eastAsia="zh-CN"/>
              </w:rPr>
              <w:t>3</w:t>
            </w:r>
            <w:r>
              <w:rPr>
                <w:rFonts w:hint="default" w:ascii="Times New Roman" w:hAnsi="Times New Roman" w:cs="Times New Roman"/>
                <w:b w:val="0"/>
                <w:bCs/>
                <w:color w:val="auto"/>
                <w:sz w:val="24"/>
                <w:highlight w:val="none"/>
                <w:u w:val="none"/>
                <w:lang w:val="en-US" w:eastAsia="zh-CN"/>
              </w:rPr>
              <w:t>/a（</w:t>
            </w:r>
            <w:r>
              <w:rPr>
                <w:rFonts w:hint="eastAsia" w:ascii="Times New Roman" w:hAnsi="Times New Roman" w:cs="Times New Roman"/>
                <w:b w:val="0"/>
                <w:bCs/>
                <w:color w:val="auto"/>
                <w:sz w:val="24"/>
                <w:highlight w:val="none"/>
                <w:u w:val="none"/>
                <w:lang w:val="en-US" w:eastAsia="zh-CN"/>
              </w:rPr>
              <w:t>61.43</w:t>
            </w:r>
            <w:r>
              <w:rPr>
                <w:rFonts w:hint="default" w:ascii="Times New Roman" w:hAnsi="Times New Roman" w:cs="Times New Roman"/>
                <w:b w:val="0"/>
                <w:bCs/>
                <w:color w:val="auto"/>
                <w:sz w:val="24"/>
                <w:highlight w:val="none"/>
                <w:u w:val="none"/>
                <w:lang w:val="en-US" w:eastAsia="zh-CN"/>
              </w:rPr>
              <w:t>m</w:t>
            </w:r>
            <w:r>
              <w:rPr>
                <w:rFonts w:hint="default" w:ascii="Times New Roman" w:hAnsi="Times New Roman" w:cs="Times New Roman"/>
                <w:b w:val="0"/>
                <w:bCs/>
                <w:color w:val="auto"/>
                <w:sz w:val="24"/>
                <w:highlight w:val="none"/>
                <w:u w:val="none"/>
                <w:vertAlign w:val="superscript"/>
                <w:lang w:val="en-US" w:eastAsia="zh-CN"/>
              </w:rPr>
              <w:t>3</w:t>
            </w:r>
            <w:r>
              <w:rPr>
                <w:rFonts w:hint="default" w:ascii="Times New Roman" w:hAnsi="Times New Roman" w:cs="Times New Roman"/>
                <w:b w:val="0"/>
                <w:bCs/>
                <w:color w:val="auto"/>
                <w:sz w:val="24"/>
                <w:highlight w:val="none"/>
                <w:u w:val="none"/>
                <w:lang w:val="en-US" w:eastAsia="zh-CN"/>
              </w:rPr>
              <w:t>/d）</w:t>
            </w:r>
            <w:r>
              <w:rPr>
                <w:rFonts w:hint="default" w:ascii="Times New Roman" w:hAnsi="Times New Roman" w:eastAsia="宋体" w:cs="Times New Roman"/>
                <w:color w:val="auto"/>
                <w:sz w:val="24"/>
                <w:highlight w:val="none"/>
                <w:u w:val="none"/>
                <w:lang w:val="en-US" w:eastAsia="zh-CN"/>
              </w:rPr>
              <w:t>，类比同类</w:t>
            </w:r>
            <w:r>
              <w:rPr>
                <w:rFonts w:hint="eastAsia" w:cs="Times New Roman"/>
                <w:color w:val="auto"/>
                <w:sz w:val="24"/>
                <w:highlight w:val="none"/>
                <w:u w:val="none"/>
                <w:lang w:val="en-US" w:eastAsia="zh-CN"/>
              </w:rPr>
              <w:t>高级中学建设</w:t>
            </w:r>
            <w:r>
              <w:rPr>
                <w:rFonts w:hint="default" w:ascii="Times New Roman" w:hAnsi="Times New Roman" w:eastAsia="宋体" w:cs="Times New Roman"/>
                <w:color w:val="auto"/>
                <w:sz w:val="24"/>
                <w:highlight w:val="none"/>
                <w:u w:val="none"/>
                <w:lang w:val="en-US" w:eastAsia="zh-CN"/>
              </w:rPr>
              <w:t>项目，食堂废水主要污染物浓度为</w:t>
            </w:r>
            <w:r>
              <w:rPr>
                <w:rFonts w:hint="default" w:ascii="Times New Roman" w:hAnsi="Times New Roman" w:eastAsia="宋体" w:cs="Times New Roman"/>
                <w:bCs/>
                <w:color w:val="auto"/>
                <w:spacing w:val="0"/>
                <w:w w:val="100"/>
                <w:kern w:val="2"/>
                <w:position w:val="0"/>
                <w:sz w:val="24"/>
                <w:szCs w:val="24"/>
                <w:highlight w:val="none"/>
                <w:lang w:val="en-US" w:eastAsia="zh-CN" w:bidi="ar-SA"/>
              </w:rPr>
              <w:t>COD</w:t>
            </w:r>
            <w:r>
              <w:rPr>
                <w:rFonts w:hint="eastAsia" w:cs="Times New Roman"/>
                <w:bCs/>
                <w:color w:val="auto"/>
                <w:spacing w:val="0"/>
                <w:w w:val="100"/>
                <w:kern w:val="2"/>
                <w:position w:val="0"/>
                <w:sz w:val="24"/>
                <w:szCs w:val="24"/>
                <w:highlight w:val="none"/>
                <w:lang w:val="en-US" w:eastAsia="zh-CN" w:bidi="ar-SA"/>
              </w:rPr>
              <w:t xml:space="preserve"> 500</w:t>
            </w:r>
            <w:r>
              <w:rPr>
                <w:rFonts w:hint="default" w:ascii="Times New Roman" w:hAnsi="Times New Roman" w:eastAsia="宋体" w:cs="Times New Roman"/>
                <w:bCs/>
                <w:color w:val="auto"/>
                <w:spacing w:val="0"/>
                <w:w w:val="100"/>
                <w:kern w:val="2"/>
                <w:position w:val="0"/>
                <w:sz w:val="24"/>
                <w:szCs w:val="24"/>
                <w:highlight w:val="none"/>
                <w:lang w:val="en-US" w:eastAsia="zh-CN" w:bidi="ar-SA"/>
              </w:rPr>
              <w:t>mg/L、BOD</w:t>
            </w:r>
            <w:r>
              <w:rPr>
                <w:rFonts w:hint="default" w:ascii="Times New Roman" w:hAnsi="Times New Roman" w:eastAsia="宋体" w:cs="Times New Roman"/>
                <w:bCs/>
                <w:color w:val="auto"/>
                <w:spacing w:val="0"/>
                <w:w w:val="100"/>
                <w:kern w:val="2"/>
                <w:position w:val="0"/>
                <w:sz w:val="24"/>
                <w:szCs w:val="24"/>
                <w:highlight w:val="none"/>
                <w:vertAlign w:val="subscript"/>
                <w:lang w:val="en-US" w:eastAsia="zh-CN" w:bidi="ar-SA"/>
              </w:rPr>
              <w:t>5</w:t>
            </w:r>
            <w:r>
              <w:rPr>
                <w:rFonts w:hint="eastAsia" w:ascii="Times New Roman" w:hAnsi="Times New Roman" w:eastAsia="宋体" w:cs="Times New Roman"/>
                <w:bCs/>
                <w:color w:val="auto"/>
                <w:spacing w:val="0"/>
                <w:w w:val="100"/>
                <w:kern w:val="2"/>
                <w:position w:val="0"/>
                <w:sz w:val="24"/>
                <w:szCs w:val="24"/>
                <w:highlight w:val="none"/>
                <w:vertAlign w:val="subscript"/>
                <w:lang w:val="en-US" w:eastAsia="zh-CN" w:bidi="ar-SA"/>
              </w:rPr>
              <w:t xml:space="preserve"> </w:t>
            </w:r>
            <w:r>
              <w:rPr>
                <w:rFonts w:hint="eastAsia" w:cs="Times New Roman"/>
                <w:bCs/>
                <w:color w:val="auto"/>
                <w:spacing w:val="0"/>
                <w:w w:val="100"/>
                <w:kern w:val="2"/>
                <w:position w:val="0"/>
                <w:sz w:val="24"/>
                <w:szCs w:val="24"/>
                <w:highlight w:val="none"/>
                <w:lang w:val="en-US" w:eastAsia="zh-CN" w:bidi="ar-SA"/>
              </w:rPr>
              <w:t>40</w:t>
            </w:r>
            <w:r>
              <w:rPr>
                <w:rFonts w:hint="default" w:ascii="Times New Roman" w:hAnsi="Times New Roman" w:eastAsia="宋体" w:cs="Times New Roman"/>
                <w:bCs/>
                <w:color w:val="auto"/>
                <w:spacing w:val="0"/>
                <w:w w:val="100"/>
                <w:kern w:val="2"/>
                <w:position w:val="0"/>
                <w:sz w:val="24"/>
                <w:szCs w:val="24"/>
                <w:highlight w:val="none"/>
                <w:lang w:val="en-US" w:eastAsia="zh-CN" w:bidi="ar-SA"/>
              </w:rPr>
              <w:t>0mg/L、SS</w:t>
            </w:r>
            <w:r>
              <w:rPr>
                <w:rFonts w:hint="eastAsia" w:ascii="Times New Roman" w:hAnsi="Times New Roman" w:eastAsia="宋体" w:cs="Times New Roman"/>
                <w:bCs/>
                <w:color w:val="auto"/>
                <w:spacing w:val="0"/>
                <w:w w:val="100"/>
                <w:kern w:val="2"/>
                <w:position w:val="0"/>
                <w:sz w:val="24"/>
                <w:szCs w:val="24"/>
                <w:highlight w:val="none"/>
                <w:lang w:val="en-US" w:eastAsia="zh-CN" w:bidi="ar-SA"/>
              </w:rPr>
              <w:t xml:space="preserve"> </w:t>
            </w:r>
            <w:r>
              <w:rPr>
                <w:rFonts w:hint="eastAsia" w:cs="Times New Roman"/>
                <w:bCs/>
                <w:color w:val="auto"/>
                <w:spacing w:val="0"/>
                <w:w w:val="100"/>
                <w:kern w:val="2"/>
                <w:position w:val="0"/>
                <w:sz w:val="24"/>
                <w:szCs w:val="24"/>
                <w:highlight w:val="none"/>
                <w:lang w:val="en-US" w:eastAsia="zh-CN" w:bidi="ar-SA"/>
              </w:rPr>
              <w:t xml:space="preserve">40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0mg/L、NH</w:t>
            </w:r>
            <w:r>
              <w:rPr>
                <w:rFonts w:hint="default" w:ascii="Times New Roman" w:hAnsi="Times New Roman" w:eastAsia="宋体" w:cs="Times New Roman"/>
                <w:bCs/>
                <w:color w:val="auto"/>
                <w:spacing w:val="0"/>
                <w:w w:val="100"/>
                <w:kern w:val="2"/>
                <w:position w:val="0"/>
                <w:sz w:val="24"/>
                <w:szCs w:val="24"/>
                <w:highlight w:val="none"/>
                <w:vertAlign w:val="subscript"/>
                <w:lang w:val="en-US" w:eastAsia="zh-CN" w:bidi="ar-SA"/>
              </w:rPr>
              <w:t>3</w:t>
            </w:r>
            <w:r>
              <w:rPr>
                <w:rFonts w:hint="default" w:ascii="Times New Roman" w:hAnsi="Times New Roman" w:eastAsia="宋体" w:cs="Times New Roman"/>
                <w:bCs/>
                <w:color w:val="auto"/>
                <w:spacing w:val="0"/>
                <w:w w:val="100"/>
                <w:kern w:val="2"/>
                <w:position w:val="0"/>
                <w:sz w:val="24"/>
                <w:szCs w:val="24"/>
                <w:highlight w:val="none"/>
                <w:lang w:val="en-US" w:eastAsia="zh-CN" w:bidi="ar-SA"/>
              </w:rPr>
              <w:t>-N</w:t>
            </w:r>
            <w:r>
              <w:rPr>
                <w:rFonts w:hint="eastAsia" w:ascii="Times New Roman" w:hAnsi="Times New Roman" w:eastAsia="宋体" w:cs="Times New Roman"/>
                <w:bCs/>
                <w:color w:val="auto"/>
                <w:spacing w:val="0"/>
                <w:w w:val="100"/>
                <w:kern w:val="2"/>
                <w:position w:val="0"/>
                <w:sz w:val="24"/>
                <w:szCs w:val="24"/>
                <w:highlight w:val="none"/>
                <w:lang w:val="en-US" w:eastAsia="zh-CN" w:bidi="ar-SA"/>
              </w:rPr>
              <w:t xml:space="preserve">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3</w:t>
            </w:r>
            <w:r>
              <w:rPr>
                <w:rFonts w:hint="eastAsia" w:cs="Times New Roman"/>
                <w:bCs/>
                <w:color w:val="auto"/>
                <w:spacing w:val="0"/>
                <w:w w:val="100"/>
                <w:kern w:val="2"/>
                <w:position w:val="0"/>
                <w:sz w:val="24"/>
                <w:szCs w:val="24"/>
                <w:highlight w:val="none"/>
                <w:lang w:val="en-US" w:eastAsia="zh-CN" w:bidi="ar-SA"/>
              </w:rPr>
              <w:t>0</w:t>
            </w:r>
            <w:r>
              <w:rPr>
                <w:rFonts w:hint="default" w:ascii="Times New Roman" w:hAnsi="Times New Roman" w:eastAsia="宋体" w:cs="Times New Roman"/>
                <w:bCs/>
                <w:color w:val="auto"/>
                <w:spacing w:val="0"/>
                <w:w w:val="100"/>
                <w:kern w:val="2"/>
                <w:position w:val="0"/>
                <w:sz w:val="24"/>
                <w:szCs w:val="24"/>
                <w:highlight w:val="none"/>
                <w:lang w:val="en-US" w:eastAsia="zh-CN" w:bidi="ar-SA"/>
              </w:rPr>
              <w:t>mg/L、动植物油</w:t>
            </w:r>
            <w:r>
              <w:rPr>
                <w:rFonts w:hint="eastAsia" w:cs="Times New Roman"/>
                <w:bCs/>
                <w:color w:val="auto"/>
                <w:spacing w:val="0"/>
                <w:w w:val="100"/>
                <w:kern w:val="2"/>
                <w:position w:val="0"/>
                <w:sz w:val="24"/>
                <w:szCs w:val="24"/>
                <w:highlight w:val="none"/>
                <w:lang w:val="en-US" w:eastAsia="zh-CN" w:bidi="ar-SA"/>
              </w:rPr>
              <w:t>8</w:t>
            </w:r>
            <w:r>
              <w:rPr>
                <w:rFonts w:hint="default" w:ascii="Times New Roman" w:hAnsi="Times New Roman" w:eastAsia="宋体" w:cs="Times New Roman"/>
                <w:bCs/>
                <w:color w:val="auto"/>
                <w:spacing w:val="0"/>
                <w:w w:val="100"/>
                <w:kern w:val="2"/>
                <w:position w:val="0"/>
                <w:sz w:val="24"/>
                <w:szCs w:val="24"/>
                <w:highlight w:val="none"/>
                <w:lang w:val="en-US" w:eastAsia="zh-CN" w:bidi="ar-SA"/>
              </w:rPr>
              <w:t>0mg/L，</w:t>
            </w:r>
            <w:r>
              <w:rPr>
                <w:rFonts w:hint="default" w:ascii="Times New Roman" w:hAnsi="Times New Roman" w:cs="Times New Roman"/>
                <w:b w:val="0"/>
                <w:bCs/>
                <w:color w:val="auto"/>
                <w:sz w:val="24"/>
                <w:highlight w:val="none"/>
                <w:u w:val="none"/>
                <w:lang w:val="en-US" w:eastAsia="zh-CN"/>
              </w:rPr>
              <w:t>食堂废水经隔油池处理后</w:t>
            </w:r>
            <w:r>
              <w:rPr>
                <w:rFonts w:hint="default" w:ascii="Times New Roman" w:hAnsi="Times New Roman" w:cs="Times New Roman"/>
                <w:color w:val="auto"/>
                <w:sz w:val="24"/>
                <w:highlight w:val="none"/>
              </w:rPr>
              <w:t>同</w:t>
            </w:r>
            <w:r>
              <w:rPr>
                <w:rFonts w:hint="default" w:ascii="Times New Roman" w:hAnsi="Times New Roman" w:cs="Times New Roman"/>
                <w:color w:val="auto"/>
                <w:sz w:val="24"/>
                <w:highlight w:val="none"/>
                <w:lang w:val="en-US" w:eastAsia="zh-CN"/>
              </w:rPr>
              <w:t>师生</w:t>
            </w:r>
            <w:r>
              <w:rPr>
                <w:rFonts w:hint="default" w:ascii="Times New Roman" w:hAnsi="Times New Roman" w:cs="Times New Roman"/>
                <w:color w:val="auto"/>
                <w:sz w:val="24"/>
                <w:highlight w:val="none"/>
              </w:rPr>
              <w:t>生活污水</w:t>
            </w:r>
            <w:r>
              <w:rPr>
                <w:rFonts w:hint="default" w:ascii="Times New Roman" w:hAnsi="Times New Roman" w:cs="Times New Roman"/>
                <w:color w:val="auto"/>
                <w:sz w:val="24"/>
                <w:highlight w:val="none"/>
                <w:lang w:val="en-US" w:eastAsia="zh-CN"/>
              </w:rPr>
              <w:t>进入</w:t>
            </w:r>
            <w:r>
              <w:rPr>
                <w:rFonts w:hint="default" w:ascii="Times New Roman" w:hAnsi="Times New Roman" w:eastAsia="宋体" w:cs="Times New Roman"/>
                <w:color w:val="auto"/>
                <w:sz w:val="24"/>
                <w:highlight w:val="none"/>
                <w:lang w:val="en-US" w:eastAsia="zh-CN"/>
              </w:rPr>
              <w:t>化粪池暂存后</w:t>
            </w:r>
            <w:r>
              <w:rPr>
                <w:rFonts w:hint="default" w:ascii="Times New Roman" w:hAnsi="Times New Roman" w:cs="Times New Roman"/>
                <w:b w:val="0"/>
                <w:bCs/>
                <w:color w:val="auto"/>
                <w:sz w:val="24"/>
                <w:highlight w:val="none"/>
                <w:u w:val="none"/>
                <w:lang w:val="en-US" w:eastAsia="zh-CN"/>
              </w:rPr>
              <w:t>排入市政管网。</w:t>
            </w:r>
          </w:p>
          <w:p w14:paraId="1F6E95B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kern w:val="21"/>
                <w:sz w:val="24"/>
                <w:szCs w:val="24"/>
                <w:highlight w:val="none"/>
                <w:lang w:val="en-US" w:eastAsia="zh-CN"/>
              </w:rPr>
            </w:pPr>
            <w:r>
              <w:rPr>
                <w:rFonts w:hint="default" w:ascii="Times New Roman" w:hAnsi="Times New Roman" w:eastAsia="宋体" w:cs="Times New Roman"/>
                <w:bCs/>
                <w:color w:val="auto"/>
                <w:spacing w:val="0"/>
                <w:kern w:val="21"/>
                <w:sz w:val="24"/>
                <w:szCs w:val="24"/>
                <w:highlight w:val="none"/>
                <w:lang w:val="en-US" w:eastAsia="zh-CN"/>
              </w:rPr>
              <w:t>（3）</w:t>
            </w:r>
            <w:r>
              <w:rPr>
                <w:rFonts w:hint="default" w:ascii="Times New Roman" w:hAnsi="Times New Roman" w:cs="Times New Roman"/>
                <w:b w:val="0"/>
                <w:bCs/>
                <w:color w:val="auto"/>
                <w:sz w:val="24"/>
                <w:highlight w:val="none"/>
                <w:u w:val="none"/>
                <w:lang w:val="en-US" w:eastAsia="zh-CN"/>
              </w:rPr>
              <w:t>实验室清洗废水</w:t>
            </w:r>
          </w:p>
          <w:p w14:paraId="72E50A1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kern w:val="21"/>
                <w:sz w:val="24"/>
                <w:szCs w:val="24"/>
                <w:highlight w:val="none"/>
                <w:lang w:val="en-US" w:eastAsia="zh-CN"/>
              </w:rPr>
            </w:pPr>
            <w:r>
              <w:rPr>
                <w:rFonts w:hint="default" w:ascii="Times New Roman" w:hAnsi="Times New Roman" w:cs="Times New Roman"/>
                <w:b w:val="0"/>
                <w:bCs/>
                <w:color w:val="auto"/>
                <w:sz w:val="24"/>
                <w:highlight w:val="none"/>
                <w:u w:val="none"/>
                <w:lang w:val="en-US" w:eastAsia="zh-CN"/>
              </w:rPr>
              <w:t>本项目实验室废水产生量为</w:t>
            </w:r>
            <w:r>
              <w:rPr>
                <w:rFonts w:hint="eastAsia" w:ascii="Times New Roman" w:hAnsi="Times New Roman" w:eastAsia="宋体" w:cs="Times New Roman"/>
                <w:color w:val="auto"/>
                <w:sz w:val="24"/>
                <w:highlight w:val="none"/>
                <w:u w:val="none"/>
                <w:lang w:val="en-US" w:eastAsia="zh-CN"/>
              </w:rPr>
              <w:t>106</w:t>
            </w:r>
            <w:r>
              <w:rPr>
                <w:rFonts w:hint="default" w:ascii="Times New Roman" w:hAnsi="Times New Roman" w:eastAsia="宋体" w:cs="Times New Roman"/>
                <w:color w:val="auto"/>
                <w:sz w:val="24"/>
                <w:highlight w:val="none"/>
                <w:u w:val="none"/>
                <w:lang w:val="en-US" w:eastAsia="zh-CN"/>
              </w:rPr>
              <w:t>m</w:t>
            </w:r>
            <w:r>
              <w:rPr>
                <w:rFonts w:hint="default" w:ascii="Times New Roman" w:hAnsi="Times New Roman" w:eastAsia="宋体" w:cs="Times New Roman"/>
                <w:color w:val="auto"/>
                <w:sz w:val="24"/>
                <w:highlight w:val="none"/>
                <w:u w:val="none"/>
                <w:vertAlign w:val="superscript"/>
                <w:lang w:val="en-US" w:eastAsia="zh-CN"/>
              </w:rPr>
              <w:t>3</w:t>
            </w:r>
            <w:r>
              <w:rPr>
                <w:rFonts w:hint="default" w:ascii="Times New Roman" w:hAnsi="Times New Roman" w:eastAsia="宋体" w:cs="Times New Roman"/>
                <w:color w:val="auto"/>
                <w:sz w:val="24"/>
                <w:highlight w:val="none"/>
                <w:u w:val="none"/>
                <w:lang w:val="en-US" w:eastAsia="zh-CN"/>
              </w:rPr>
              <w:t>/a（</w:t>
            </w:r>
            <w:r>
              <w:rPr>
                <w:rFonts w:hint="eastAsia" w:ascii="Times New Roman" w:hAnsi="Times New Roman" w:cs="Times New Roman"/>
                <w:b w:val="0"/>
                <w:bCs/>
                <w:color w:val="auto"/>
                <w:sz w:val="24"/>
                <w:highlight w:val="none"/>
                <w:u w:val="none"/>
                <w:lang w:val="en-US" w:eastAsia="zh-CN"/>
              </w:rPr>
              <w:t>0.53</w:t>
            </w:r>
            <w:r>
              <w:rPr>
                <w:rFonts w:hint="default" w:ascii="Times New Roman" w:hAnsi="Times New Roman" w:eastAsia="宋体" w:cs="Times New Roman"/>
                <w:color w:val="auto"/>
                <w:sz w:val="24"/>
                <w:highlight w:val="none"/>
                <w:u w:val="none"/>
                <w:lang w:val="en-US" w:eastAsia="zh-CN"/>
              </w:rPr>
              <w:t>m</w:t>
            </w:r>
            <w:r>
              <w:rPr>
                <w:rFonts w:hint="default" w:ascii="Times New Roman" w:hAnsi="Times New Roman" w:eastAsia="宋体" w:cs="Times New Roman"/>
                <w:color w:val="auto"/>
                <w:sz w:val="24"/>
                <w:highlight w:val="none"/>
                <w:u w:val="none"/>
                <w:vertAlign w:val="superscript"/>
                <w:lang w:val="en-US" w:eastAsia="zh-CN"/>
              </w:rPr>
              <w:t>3</w:t>
            </w:r>
            <w:r>
              <w:rPr>
                <w:rFonts w:hint="default" w:ascii="Times New Roman" w:hAnsi="Times New Roman" w:eastAsia="宋体" w:cs="Times New Roman"/>
                <w:color w:val="auto"/>
                <w:sz w:val="24"/>
                <w:highlight w:val="none"/>
                <w:u w:val="none"/>
                <w:lang w:val="en-US" w:eastAsia="zh-CN"/>
              </w:rPr>
              <w:t>/d）</w:t>
            </w:r>
            <w:r>
              <w:rPr>
                <w:rFonts w:hint="default" w:ascii="Times New Roman" w:hAnsi="Times New Roman" w:cs="Times New Roman"/>
                <w:b w:val="0"/>
                <w:bCs/>
                <w:color w:val="auto"/>
                <w:sz w:val="24"/>
                <w:highlight w:val="none"/>
                <w:u w:val="none"/>
                <w:lang w:val="en-US" w:eastAsia="zh-CN"/>
              </w:rPr>
              <w:t>，</w:t>
            </w:r>
            <w:r>
              <w:rPr>
                <w:rFonts w:hint="default" w:ascii="Times New Roman" w:hAnsi="Times New Roman" w:eastAsia="宋体" w:cs="Times New Roman"/>
                <w:color w:val="auto"/>
                <w:sz w:val="24"/>
                <w:highlight w:val="none"/>
                <w:u w:val="none"/>
                <w:lang w:val="en-US" w:eastAsia="zh-CN"/>
              </w:rPr>
              <w:t>类比</w:t>
            </w:r>
            <w:r>
              <w:rPr>
                <w:rFonts w:hint="eastAsia" w:cs="Times New Roman"/>
                <w:color w:val="auto"/>
                <w:sz w:val="24"/>
                <w:highlight w:val="none"/>
                <w:u w:val="none"/>
                <w:lang w:val="en-US" w:eastAsia="zh-CN"/>
              </w:rPr>
              <w:t>高级中学建设</w:t>
            </w:r>
            <w:r>
              <w:rPr>
                <w:rFonts w:hint="default" w:ascii="Times New Roman" w:hAnsi="Times New Roman" w:eastAsia="宋体" w:cs="Times New Roman"/>
                <w:color w:val="auto"/>
                <w:sz w:val="24"/>
                <w:highlight w:val="none"/>
                <w:u w:val="none"/>
                <w:lang w:val="en-US" w:eastAsia="zh-CN"/>
              </w:rPr>
              <w:t>项目，实验室后两道清洗废水主要污染物浓度为</w:t>
            </w:r>
            <w:r>
              <w:rPr>
                <w:rFonts w:hint="default" w:ascii="Times New Roman" w:hAnsi="Times New Roman" w:eastAsia="宋体" w:cs="Times New Roman"/>
                <w:bCs/>
                <w:color w:val="auto"/>
                <w:spacing w:val="0"/>
                <w:w w:val="100"/>
                <w:kern w:val="2"/>
                <w:position w:val="0"/>
                <w:sz w:val="24"/>
                <w:szCs w:val="24"/>
                <w:highlight w:val="none"/>
                <w:lang w:val="en-US" w:eastAsia="zh-CN" w:bidi="ar-SA"/>
              </w:rPr>
              <w:t>COD</w:t>
            </w:r>
            <w:r>
              <w:rPr>
                <w:rFonts w:hint="eastAsia" w:ascii="Times New Roman" w:hAnsi="Times New Roman" w:eastAsia="宋体" w:cs="Times New Roman"/>
                <w:bCs/>
                <w:color w:val="auto"/>
                <w:spacing w:val="0"/>
                <w:w w:val="100"/>
                <w:kern w:val="2"/>
                <w:position w:val="0"/>
                <w:sz w:val="24"/>
                <w:szCs w:val="24"/>
                <w:highlight w:val="none"/>
                <w:lang w:val="en-US" w:eastAsia="zh-CN" w:bidi="ar-SA"/>
              </w:rPr>
              <w:t xml:space="preserve">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100mg/L、BOD</w:t>
            </w:r>
            <w:r>
              <w:rPr>
                <w:rFonts w:hint="default" w:ascii="Times New Roman" w:hAnsi="Times New Roman" w:eastAsia="宋体" w:cs="Times New Roman"/>
                <w:bCs/>
                <w:color w:val="auto"/>
                <w:spacing w:val="0"/>
                <w:w w:val="100"/>
                <w:kern w:val="2"/>
                <w:position w:val="0"/>
                <w:sz w:val="24"/>
                <w:szCs w:val="24"/>
                <w:highlight w:val="none"/>
                <w:vertAlign w:val="subscript"/>
                <w:lang w:val="en-US" w:eastAsia="zh-CN" w:bidi="ar-SA"/>
              </w:rPr>
              <w:t>5</w:t>
            </w:r>
            <w:r>
              <w:rPr>
                <w:rFonts w:hint="eastAsia" w:ascii="Times New Roman" w:hAnsi="Times New Roman" w:eastAsia="宋体" w:cs="Times New Roman"/>
                <w:bCs/>
                <w:color w:val="auto"/>
                <w:spacing w:val="0"/>
                <w:w w:val="100"/>
                <w:kern w:val="2"/>
                <w:position w:val="0"/>
                <w:sz w:val="24"/>
                <w:szCs w:val="24"/>
                <w:highlight w:val="none"/>
                <w:vertAlign w:val="subscript"/>
                <w:lang w:val="en-US" w:eastAsia="zh-CN" w:bidi="ar-SA"/>
              </w:rPr>
              <w:t xml:space="preserve">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50mg/L、SS</w:t>
            </w:r>
            <w:r>
              <w:rPr>
                <w:rFonts w:hint="eastAsia" w:ascii="Times New Roman" w:hAnsi="Times New Roman" w:eastAsia="宋体" w:cs="Times New Roman"/>
                <w:bCs/>
                <w:color w:val="auto"/>
                <w:spacing w:val="0"/>
                <w:w w:val="100"/>
                <w:kern w:val="2"/>
                <w:position w:val="0"/>
                <w:sz w:val="24"/>
                <w:szCs w:val="24"/>
                <w:highlight w:val="none"/>
                <w:lang w:val="en-US" w:eastAsia="zh-CN" w:bidi="ar-SA"/>
              </w:rPr>
              <w:t xml:space="preserve">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20mg/L、NH</w:t>
            </w:r>
            <w:r>
              <w:rPr>
                <w:rFonts w:hint="default" w:ascii="Times New Roman" w:hAnsi="Times New Roman" w:eastAsia="宋体" w:cs="Times New Roman"/>
                <w:bCs/>
                <w:color w:val="auto"/>
                <w:spacing w:val="0"/>
                <w:w w:val="100"/>
                <w:kern w:val="2"/>
                <w:position w:val="0"/>
                <w:sz w:val="24"/>
                <w:szCs w:val="24"/>
                <w:highlight w:val="none"/>
                <w:vertAlign w:val="subscript"/>
                <w:lang w:val="en-US" w:eastAsia="zh-CN" w:bidi="ar-SA"/>
              </w:rPr>
              <w:t>3</w:t>
            </w:r>
            <w:r>
              <w:rPr>
                <w:rFonts w:hint="default" w:ascii="Times New Roman" w:hAnsi="Times New Roman" w:eastAsia="宋体" w:cs="Times New Roman"/>
                <w:bCs/>
                <w:color w:val="auto"/>
                <w:spacing w:val="0"/>
                <w:w w:val="100"/>
                <w:kern w:val="2"/>
                <w:position w:val="0"/>
                <w:sz w:val="24"/>
                <w:szCs w:val="24"/>
                <w:highlight w:val="none"/>
                <w:lang w:val="en-US" w:eastAsia="zh-CN" w:bidi="ar-SA"/>
              </w:rPr>
              <w:t>-N</w:t>
            </w:r>
            <w:r>
              <w:rPr>
                <w:rFonts w:hint="eastAsia" w:ascii="Times New Roman" w:hAnsi="Times New Roman" w:eastAsia="宋体" w:cs="Times New Roman"/>
                <w:bCs/>
                <w:color w:val="auto"/>
                <w:spacing w:val="0"/>
                <w:w w:val="100"/>
                <w:kern w:val="2"/>
                <w:position w:val="0"/>
                <w:sz w:val="24"/>
                <w:szCs w:val="24"/>
                <w:highlight w:val="none"/>
                <w:lang w:val="en-US" w:eastAsia="zh-CN" w:bidi="ar-SA"/>
              </w:rPr>
              <w:t xml:space="preserve">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5mg/L，</w:t>
            </w:r>
            <w:r>
              <w:rPr>
                <w:rFonts w:hint="default" w:ascii="Times New Roman" w:hAnsi="Times New Roman" w:cs="Times New Roman"/>
                <w:b w:val="0"/>
                <w:bCs/>
                <w:color w:val="auto"/>
                <w:sz w:val="24"/>
                <w:highlight w:val="none"/>
                <w:u w:val="none"/>
                <w:lang w:val="en-US" w:eastAsia="zh-CN"/>
              </w:rPr>
              <w:t>实验室后两道清洗废水</w:t>
            </w:r>
            <w:r>
              <w:rPr>
                <w:rFonts w:hint="default" w:ascii="Times New Roman" w:hAnsi="Times New Roman" w:eastAsia="宋体" w:cs="Times New Roman"/>
                <w:color w:val="auto"/>
                <w:sz w:val="24"/>
                <w:highlight w:val="none"/>
                <w:lang w:val="en-US" w:eastAsia="zh-CN"/>
              </w:rPr>
              <w:t>经酸碱中和池中和处理后进入化粪池暂存后</w:t>
            </w:r>
            <w:r>
              <w:rPr>
                <w:rFonts w:hint="default" w:ascii="Times New Roman" w:hAnsi="Times New Roman" w:cs="Times New Roman"/>
                <w:b w:val="0"/>
                <w:bCs/>
                <w:color w:val="auto"/>
                <w:sz w:val="24"/>
                <w:highlight w:val="none"/>
                <w:u w:val="none"/>
                <w:lang w:val="en-US" w:eastAsia="zh-CN"/>
              </w:rPr>
              <w:t>排入市政污水管网。</w:t>
            </w:r>
          </w:p>
          <w:p w14:paraId="50B1B1A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kern w:val="21"/>
                <w:sz w:val="24"/>
                <w:szCs w:val="24"/>
                <w:highlight w:val="none"/>
                <w:lang w:val="en-US" w:eastAsia="zh-CN"/>
              </w:rPr>
            </w:pPr>
            <w:r>
              <w:rPr>
                <w:rFonts w:hint="default" w:ascii="Times New Roman" w:hAnsi="Times New Roman" w:eastAsia="宋体" w:cs="Times New Roman"/>
                <w:bCs/>
                <w:color w:val="auto"/>
                <w:spacing w:val="0"/>
                <w:kern w:val="21"/>
                <w:sz w:val="24"/>
                <w:szCs w:val="24"/>
                <w:highlight w:val="none"/>
                <w:lang w:val="en-US" w:eastAsia="zh-CN"/>
              </w:rPr>
              <w:t>（4）碱喷淋废水</w:t>
            </w:r>
          </w:p>
          <w:p w14:paraId="6BCCDC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w w:val="100"/>
                <w:kern w:val="2"/>
                <w:position w:val="0"/>
                <w:sz w:val="24"/>
                <w:szCs w:val="24"/>
                <w:highlight w:val="none"/>
                <w:lang w:val="en-US" w:eastAsia="zh-CN" w:bidi="ar-SA"/>
              </w:rPr>
            </w:pPr>
            <w:r>
              <w:rPr>
                <w:rFonts w:hint="default" w:ascii="Times New Roman" w:hAnsi="Times New Roman" w:cs="Times New Roman"/>
                <w:b w:val="0"/>
                <w:bCs/>
                <w:color w:val="auto"/>
                <w:sz w:val="24"/>
                <w:highlight w:val="none"/>
                <w:u w:val="none"/>
                <w:lang w:val="en-US" w:eastAsia="zh-CN"/>
              </w:rPr>
              <w:t>本项目碱喷淋废水量为2m</w:t>
            </w:r>
            <w:r>
              <w:rPr>
                <w:rFonts w:hint="default" w:ascii="Times New Roman" w:hAnsi="Times New Roman" w:cs="Times New Roman"/>
                <w:b w:val="0"/>
                <w:bCs/>
                <w:color w:val="auto"/>
                <w:sz w:val="24"/>
                <w:highlight w:val="none"/>
                <w:u w:val="none"/>
                <w:vertAlign w:val="superscript"/>
                <w:lang w:val="en-US" w:eastAsia="zh-CN"/>
              </w:rPr>
              <w:t>3</w:t>
            </w:r>
            <w:r>
              <w:rPr>
                <w:rFonts w:hint="default" w:ascii="Times New Roman" w:hAnsi="Times New Roman" w:cs="Times New Roman"/>
                <w:b w:val="0"/>
                <w:bCs/>
                <w:color w:val="auto"/>
                <w:sz w:val="24"/>
                <w:highlight w:val="none"/>
                <w:u w:val="none"/>
                <w:lang w:val="en-US" w:eastAsia="zh-CN"/>
              </w:rPr>
              <w:t>/a（0.01m</w:t>
            </w:r>
            <w:r>
              <w:rPr>
                <w:rFonts w:hint="default" w:ascii="Times New Roman" w:hAnsi="Times New Roman" w:cs="Times New Roman"/>
                <w:b w:val="0"/>
                <w:bCs/>
                <w:color w:val="auto"/>
                <w:sz w:val="24"/>
                <w:highlight w:val="none"/>
                <w:u w:val="none"/>
                <w:vertAlign w:val="superscript"/>
                <w:lang w:val="en-US" w:eastAsia="zh-CN"/>
              </w:rPr>
              <w:t>3/</w:t>
            </w:r>
            <w:r>
              <w:rPr>
                <w:rFonts w:hint="default" w:ascii="Times New Roman" w:hAnsi="Times New Roman" w:cs="Times New Roman"/>
                <w:b w:val="0"/>
                <w:bCs/>
                <w:color w:val="auto"/>
                <w:sz w:val="24"/>
                <w:highlight w:val="none"/>
                <w:u w:val="none"/>
                <w:lang w:val="en-US" w:eastAsia="zh-CN"/>
              </w:rPr>
              <w:t>d）</w:t>
            </w:r>
            <w:r>
              <w:rPr>
                <w:rFonts w:hint="default" w:ascii="Times New Roman" w:hAnsi="Times New Roman" w:eastAsia="宋体" w:cs="Times New Roman"/>
                <w:color w:val="auto"/>
                <w:sz w:val="24"/>
                <w:highlight w:val="none"/>
                <w:u w:val="none"/>
                <w:lang w:val="en-US" w:eastAsia="zh-CN"/>
              </w:rPr>
              <w:t>，类比同类项目，碱喷淋废水主要污染物浓度为</w:t>
            </w:r>
            <w:r>
              <w:rPr>
                <w:rFonts w:hint="default" w:ascii="Times New Roman" w:hAnsi="Times New Roman" w:eastAsia="宋体" w:cs="Times New Roman"/>
                <w:bCs/>
                <w:color w:val="auto"/>
                <w:spacing w:val="0"/>
                <w:w w:val="100"/>
                <w:kern w:val="2"/>
                <w:position w:val="0"/>
                <w:sz w:val="24"/>
                <w:szCs w:val="24"/>
                <w:highlight w:val="none"/>
                <w:lang w:val="en-US" w:eastAsia="zh-CN" w:bidi="ar-SA"/>
              </w:rPr>
              <w:t>COD</w:t>
            </w:r>
            <w:r>
              <w:rPr>
                <w:rFonts w:hint="eastAsia" w:ascii="Times New Roman" w:hAnsi="Times New Roman" w:eastAsia="宋体" w:cs="Times New Roman"/>
                <w:bCs/>
                <w:color w:val="auto"/>
                <w:spacing w:val="0"/>
                <w:w w:val="100"/>
                <w:kern w:val="2"/>
                <w:position w:val="0"/>
                <w:sz w:val="24"/>
                <w:szCs w:val="24"/>
                <w:highlight w:val="none"/>
                <w:lang w:val="en-US" w:eastAsia="zh-CN" w:bidi="ar-SA"/>
              </w:rPr>
              <w:t xml:space="preserve">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20mg/L、BOD</w:t>
            </w:r>
            <w:r>
              <w:rPr>
                <w:rFonts w:hint="default" w:ascii="Times New Roman" w:hAnsi="Times New Roman" w:eastAsia="宋体" w:cs="Times New Roman"/>
                <w:bCs/>
                <w:color w:val="auto"/>
                <w:spacing w:val="0"/>
                <w:w w:val="100"/>
                <w:kern w:val="2"/>
                <w:position w:val="0"/>
                <w:sz w:val="24"/>
                <w:szCs w:val="24"/>
                <w:highlight w:val="none"/>
                <w:vertAlign w:val="subscript"/>
                <w:lang w:val="en-US" w:eastAsia="zh-CN" w:bidi="ar-SA"/>
              </w:rPr>
              <w:t>5</w:t>
            </w:r>
            <w:r>
              <w:rPr>
                <w:rFonts w:hint="eastAsia" w:ascii="Times New Roman" w:hAnsi="Times New Roman" w:eastAsia="宋体" w:cs="Times New Roman"/>
                <w:bCs/>
                <w:color w:val="auto"/>
                <w:spacing w:val="0"/>
                <w:w w:val="100"/>
                <w:kern w:val="2"/>
                <w:position w:val="0"/>
                <w:sz w:val="24"/>
                <w:szCs w:val="24"/>
                <w:highlight w:val="none"/>
                <w:vertAlign w:val="baseline"/>
                <w:lang w:val="en-US" w:eastAsia="zh-CN" w:bidi="ar-SA"/>
              </w:rPr>
              <w:t xml:space="preserve">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4mg/L、SS</w:t>
            </w:r>
            <w:r>
              <w:rPr>
                <w:rFonts w:hint="eastAsia" w:ascii="Times New Roman" w:hAnsi="Times New Roman" w:eastAsia="宋体" w:cs="Times New Roman"/>
                <w:bCs/>
                <w:color w:val="auto"/>
                <w:spacing w:val="0"/>
                <w:w w:val="100"/>
                <w:kern w:val="2"/>
                <w:position w:val="0"/>
                <w:sz w:val="24"/>
                <w:szCs w:val="24"/>
                <w:highlight w:val="none"/>
                <w:lang w:val="en-US" w:eastAsia="zh-CN" w:bidi="ar-SA"/>
              </w:rPr>
              <w:t xml:space="preserve">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50mg/L、NH</w:t>
            </w:r>
            <w:r>
              <w:rPr>
                <w:rFonts w:hint="default" w:ascii="Times New Roman" w:hAnsi="Times New Roman" w:eastAsia="宋体" w:cs="Times New Roman"/>
                <w:bCs/>
                <w:color w:val="auto"/>
                <w:spacing w:val="0"/>
                <w:w w:val="100"/>
                <w:kern w:val="2"/>
                <w:position w:val="0"/>
                <w:sz w:val="24"/>
                <w:szCs w:val="24"/>
                <w:highlight w:val="none"/>
                <w:vertAlign w:val="subscript"/>
                <w:lang w:val="en-US" w:eastAsia="zh-CN" w:bidi="ar-SA"/>
              </w:rPr>
              <w:t>3</w:t>
            </w:r>
            <w:r>
              <w:rPr>
                <w:rFonts w:hint="default" w:ascii="Times New Roman" w:hAnsi="Times New Roman" w:eastAsia="宋体" w:cs="Times New Roman"/>
                <w:bCs/>
                <w:color w:val="auto"/>
                <w:spacing w:val="0"/>
                <w:w w:val="100"/>
                <w:kern w:val="2"/>
                <w:position w:val="0"/>
                <w:sz w:val="24"/>
                <w:szCs w:val="24"/>
                <w:highlight w:val="none"/>
                <w:lang w:val="en-US" w:eastAsia="zh-CN" w:bidi="ar-SA"/>
              </w:rPr>
              <w:t>-N</w:t>
            </w:r>
            <w:r>
              <w:rPr>
                <w:rFonts w:hint="eastAsia" w:ascii="Times New Roman" w:hAnsi="Times New Roman" w:eastAsia="宋体" w:cs="Times New Roman"/>
                <w:bCs/>
                <w:color w:val="auto"/>
                <w:spacing w:val="0"/>
                <w:w w:val="100"/>
                <w:kern w:val="2"/>
                <w:position w:val="0"/>
                <w:sz w:val="24"/>
                <w:szCs w:val="24"/>
                <w:highlight w:val="none"/>
                <w:lang w:val="en-US" w:eastAsia="zh-CN" w:bidi="ar-SA"/>
              </w:rPr>
              <w:t xml:space="preserve"> </w:t>
            </w:r>
            <w:r>
              <w:rPr>
                <w:rFonts w:hint="default" w:ascii="Times New Roman" w:hAnsi="Times New Roman" w:eastAsia="宋体" w:cs="Times New Roman"/>
                <w:bCs/>
                <w:color w:val="auto"/>
                <w:spacing w:val="0"/>
                <w:w w:val="100"/>
                <w:kern w:val="2"/>
                <w:position w:val="0"/>
                <w:sz w:val="24"/>
                <w:szCs w:val="24"/>
                <w:highlight w:val="none"/>
                <w:lang w:val="en-US" w:eastAsia="zh-CN" w:bidi="ar-SA"/>
              </w:rPr>
              <w:t>1mg/L，</w:t>
            </w:r>
            <w:r>
              <w:rPr>
                <w:rFonts w:hint="default" w:ascii="Times New Roman" w:hAnsi="Times New Roman" w:cs="Times New Roman"/>
                <w:b w:val="0"/>
                <w:bCs/>
                <w:color w:val="auto"/>
                <w:sz w:val="24"/>
                <w:highlight w:val="none"/>
                <w:u w:val="none"/>
                <w:lang w:val="en-US" w:eastAsia="zh-CN"/>
              </w:rPr>
              <w:t>碱喷淋废水与实验室废水</w:t>
            </w:r>
            <w:r>
              <w:rPr>
                <w:rFonts w:hint="default" w:ascii="Times New Roman" w:hAnsi="Times New Roman" w:eastAsia="宋体" w:cs="Times New Roman"/>
                <w:color w:val="auto"/>
                <w:sz w:val="24"/>
                <w:highlight w:val="none"/>
                <w:lang w:val="en-US" w:eastAsia="zh-CN"/>
              </w:rPr>
              <w:t>经酸碱中和池中和处理后进入化粪池暂存后</w:t>
            </w:r>
            <w:r>
              <w:rPr>
                <w:rFonts w:hint="default" w:ascii="Times New Roman" w:hAnsi="Times New Roman" w:cs="Times New Roman"/>
                <w:b w:val="0"/>
                <w:bCs/>
                <w:color w:val="auto"/>
                <w:sz w:val="24"/>
                <w:highlight w:val="none"/>
                <w:u w:val="none"/>
                <w:lang w:val="en-US" w:eastAsia="zh-CN"/>
              </w:rPr>
              <w:t>排入市政污水管网。</w:t>
            </w:r>
          </w:p>
          <w:p w14:paraId="2F049DE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w w:val="100"/>
                <w:kern w:val="2"/>
                <w:position w:val="0"/>
                <w:sz w:val="24"/>
                <w:szCs w:val="24"/>
                <w:highlight w:val="none"/>
                <w:lang w:val="en-US" w:eastAsia="zh-CN" w:bidi="ar-SA"/>
              </w:rPr>
            </w:pPr>
            <w:r>
              <w:rPr>
                <w:rFonts w:hint="default" w:ascii="Times New Roman" w:hAnsi="Times New Roman" w:eastAsia="宋体" w:cs="Times New Roman"/>
                <w:bCs/>
                <w:color w:val="auto"/>
                <w:spacing w:val="0"/>
                <w:w w:val="100"/>
                <w:kern w:val="2"/>
                <w:position w:val="0"/>
                <w:sz w:val="24"/>
                <w:szCs w:val="24"/>
                <w:highlight w:val="none"/>
                <w:lang w:val="en-US" w:eastAsia="zh-CN" w:bidi="ar-SA"/>
              </w:rPr>
              <w:t>本项目师生生活污水及其他经预处理的废水最终排入化粪池进行预处理</w:t>
            </w:r>
            <w:r>
              <w:rPr>
                <w:rFonts w:hint="default" w:ascii="Times New Roman" w:hAnsi="Times New Roman" w:cs="Times New Roman"/>
                <w:bCs/>
                <w:color w:val="auto"/>
                <w:spacing w:val="0"/>
                <w:w w:val="100"/>
                <w:kern w:val="2"/>
                <w:position w:val="0"/>
                <w:sz w:val="24"/>
                <w:szCs w:val="24"/>
                <w:highlight w:val="none"/>
                <w:lang w:val="en-US" w:eastAsia="zh-CN" w:bidi="ar-SA"/>
              </w:rPr>
              <w:t>，进而</w:t>
            </w:r>
            <w:r>
              <w:rPr>
                <w:rFonts w:hint="default" w:ascii="Times New Roman" w:hAnsi="Times New Roman" w:eastAsia="宋体" w:cs="Times New Roman"/>
                <w:bCs/>
                <w:color w:val="auto"/>
                <w:spacing w:val="0"/>
                <w:w w:val="100"/>
                <w:kern w:val="2"/>
                <w:position w:val="0"/>
                <w:sz w:val="24"/>
                <w:szCs w:val="24"/>
                <w:highlight w:val="none"/>
                <w:lang w:val="en-US" w:eastAsia="zh-CN" w:bidi="ar-SA"/>
              </w:rPr>
              <w:t>排入市政污水管网进入</w:t>
            </w:r>
            <w:r>
              <w:rPr>
                <w:rFonts w:hint="eastAsia" w:cs="Times New Roman"/>
                <w:color w:val="auto"/>
                <w:highlight w:val="none"/>
                <w:lang w:val="en-US" w:eastAsia="zh-CN"/>
              </w:rPr>
              <w:t>壶关县第二</w:t>
            </w:r>
            <w:r>
              <w:rPr>
                <w:rFonts w:hint="default" w:ascii="Times New Roman" w:hAnsi="Times New Roman" w:cs="Times New Roman"/>
                <w:color w:val="auto"/>
                <w:highlight w:val="none"/>
                <w:lang w:val="en-US" w:eastAsia="zh-CN"/>
              </w:rPr>
              <w:t>污水处理厂</w:t>
            </w:r>
            <w:r>
              <w:rPr>
                <w:rFonts w:hint="default" w:ascii="Times New Roman" w:hAnsi="Times New Roman" w:eastAsia="宋体" w:cs="Times New Roman"/>
                <w:bCs/>
                <w:color w:val="auto"/>
                <w:spacing w:val="0"/>
                <w:w w:val="100"/>
                <w:kern w:val="2"/>
                <w:position w:val="0"/>
                <w:sz w:val="24"/>
                <w:szCs w:val="24"/>
                <w:highlight w:val="none"/>
                <w:lang w:val="en-US" w:eastAsia="zh-CN" w:bidi="ar-SA"/>
              </w:rPr>
              <w:t>进一步处理</w:t>
            </w:r>
            <w:r>
              <w:rPr>
                <w:rFonts w:hint="default" w:ascii="Times New Roman" w:hAnsi="Times New Roman" w:cs="Times New Roman"/>
                <w:bCs/>
                <w:color w:val="auto"/>
                <w:spacing w:val="0"/>
                <w:w w:val="100"/>
                <w:kern w:val="2"/>
                <w:position w:val="0"/>
                <w:sz w:val="24"/>
                <w:szCs w:val="24"/>
                <w:highlight w:val="none"/>
                <w:lang w:val="en-US" w:eastAsia="zh-CN" w:bidi="ar-SA"/>
              </w:rPr>
              <w:t>。</w:t>
            </w:r>
            <w:r>
              <w:rPr>
                <w:rFonts w:hint="default" w:ascii="Times New Roman" w:hAnsi="Times New Roman" w:eastAsia="宋体" w:cs="Times New Roman"/>
                <w:bCs/>
                <w:color w:val="auto"/>
                <w:spacing w:val="0"/>
                <w:w w:val="100"/>
                <w:kern w:val="2"/>
                <w:position w:val="0"/>
                <w:sz w:val="24"/>
                <w:szCs w:val="24"/>
                <w:highlight w:val="none"/>
                <w:lang w:val="en-US" w:eastAsia="zh-CN" w:bidi="ar-SA"/>
              </w:rPr>
              <w:t>化粪池对生活污水进入化粪池经过12~24h的沉淀，可去除</w:t>
            </w:r>
            <w:r>
              <w:rPr>
                <w:rFonts w:hint="eastAsia" w:cs="Times New Roman"/>
                <w:bCs/>
                <w:color w:val="auto"/>
                <w:spacing w:val="0"/>
                <w:w w:val="100"/>
                <w:kern w:val="2"/>
                <w:position w:val="0"/>
                <w:sz w:val="24"/>
                <w:szCs w:val="24"/>
                <w:highlight w:val="none"/>
                <w:lang w:val="en-US" w:eastAsia="zh-CN" w:bidi="ar-SA"/>
              </w:rPr>
              <w:t>3</w:t>
            </w:r>
            <w:r>
              <w:rPr>
                <w:rFonts w:hint="default" w:ascii="Times New Roman" w:hAnsi="Times New Roman" w:eastAsia="宋体" w:cs="Times New Roman"/>
                <w:bCs/>
                <w:color w:val="auto"/>
                <w:spacing w:val="0"/>
                <w:w w:val="100"/>
                <w:kern w:val="2"/>
                <w:position w:val="0"/>
                <w:sz w:val="24"/>
                <w:szCs w:val="24"/>
                <w:highlight w:val="none"/>
                <w:lang w:val="en-US" w:eastAsia="zh-CN" w:bidi="ar-SA"/>
              </w:rPr>
              <w:t>0%的悬浮物，本项目运营期废水污染物产排情况见下表。</w:t>
            </w:r>
          </w:p>
          <w:p w14:paraId="3419746C">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en-US" w:eastAsia="en-US"/>
              </w:rPr>
            </w:pPr>
            <w:r>
              <w:rPr>
                <w:rFonts w:hint="default" w:ascii="Times New Roman" w:hAnsi="Times New Roman" w:eastAsia="宋体" w:cs="Times New Roman"/>
                <w:b/>
                <w:bCs/>
                <w:color w:val="auto"/>
                <w:kern w:val="2"/>
                <w:sz w:val="21"/>
                <w:szCs w:val="21"/>
                <w:highlight w:val="none"/>
                <w:lang w:val="en-US" w:eastAsia="zh-CN" w:bidi="ar"/>
              </w:rPr>
              <w:t>表</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STYLEREF 1 \s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4</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default" w:ascii="Times New Roman" w:hAnsi="Times New Roman" w:eastAsia="宋体" w:cs="Times New Roman"/>
                <w:b/>
                <w:bCs/>
                <w:color w:val="auto"/>
                <w:kern w:val="2"/>
                <w:sz w:val="21"/>
                <w:szCs w:val="21"/>
                <w:highlight w:val="none"/>
                <w:lang w:val="en-US" w:eastAsia="zh-CN" w:bidi="ar"/>
              </w:rPr>
              <w:t>-</w:t>
            </w:r>
            <w:r>
              <w:rPr>
                <w:rFonts w:hint="default" w:ascii="Times New Roman" w:hAnsi="Times New Roman" w:eastAsia="宋体" w:cs="Times New Roman"/>
                <w:b/>
                <w:bCs/>
                <w:color w:val="auto"/>
                <w:kern w:val="2"/>
                <w:sz w:val="21"/>
                <w:szCs w:val="21"/>
                <w:highlight w:val="none"/>
                <w:lang w:val="en-US" w:eastAsia="zh-CN" w:bidi="ar"/>
              </w:rPr>
              <w:fldChar w:fldCharType="begin"/>
            </w:r>
            <w:r>
              <w:rPr>
                <w:rFonts w:hint="default" w:ascii="Times New Roman" w:hAnsi="Times New Roman" w:eastAsia="宋体" w:cs="Times New Roman"/>
                <w:b/>
                <w:bCs/>
                <w:color w:val="auto"/>
                <w:kern w:val="2"/>
                <w:sz w:val="21"/>
                <w:szCs w:val="21"/>
                <w:highlight w:val="none"/>
                <w:lang w:val="en-US" w:eastAsia="zh-CN" w:bidi="ar"/>
              </w:rPr>
              <w:instrText xml:space="preserve"> SEQ 表 \* ARABIC \s 1 </w:instrText>
            </w:r>
            <w:r>
              <w:rPr>
                <w:rFonts w:hint="default" w:ascii="Times New Roman" w:hAnsi="Times New Roman" w:eastAsia="宋体" w:cs="Times New Roman"/>
                <w:b/>
                <w:bCs/>
                <w:color w:val="auto"/>
                <w:kern w:val="2"/>
                <w:sz w:val="21"/>
                <w:szCs w:val="21"/>
                <w:highlight w:val="none"/>
                <w:lang w:val="en-US" w:eastAsia="zh-CN" w:bidi="ar"/>
              </w:rPr>
              <w:fldChar w:fldCharType="separate"/>
            </w:r>
            <w:r>
              <w:rPr>
                <w:rFonts w:hint="default" w:ascii="Times New Roman" w:hAnsi="Times New Roman" w:eastAsia="宋体" w:cs="Times New Roman"/>
                <w:b/>
                <w:bCs/>
                <w:color w:val="auto"/>
                <w:kern w:val="2"/>
                <w:sz w:val="21"/>
                <w:szCs w:val="21"/>
                <w:highlight w:val="none"/>
                <w:lang w:val="en-US" w:eastAsia="zh-CN" w:bidi="ar"/>
              </w:rPr>
              <w:t>10</w:t>
            </w:r>
            <w:r>
              <w:rPr>
                <w:rFonts w:hint="default" w:ascii="Times New Roman" w:hAnsi="Times New Roman" w:eastAsia="宋体" w:cs="Times New Roman"/>
                <w:b/>
                <w:bCs/>
                <w:color w:val="auto"/>
                <w:kern w:val="2"/>
                <w:sz w:val="21"/>
                <w:szCs w:val="21"/>
                <w:highlight w:val="none"/>
                <w:lang w:val="en-US" w:eastAsia="zh-CN" w:bidi="ar"/>
              </w:rPr>
              <w:fldChar w:fldCharType="end"/>
            </w:r>
            <w:r>
              <w:rPr>
                <w:rFonts w:hint="eastAsia" w:ascii="Times New Roman" w:hAnsi="Times New Roman" w:eastAsia="宋体" w:cs="Times New Roman"/>
                <w:b/>
                <w:bCs/>
                <w:color w:val="auto"/>
                <w:kern w:val="2"/>
                <w:sz w:val="21"/>
                <w:szCs w:val="21"/>
                <w:highlight w:val="none"/>
                <w:lang w:val="en-US" w:eastAsia="zh-CN" w:bidi="ar"/>
              </w:rPr>
              <w:t xml:space="preserve"> </w:t>
            </w:r>
            <w:r>
              <w:rPr>
                <w:rFonts w:hint="default" w:ascii="Times New Roman" w:hAnsi="Times New Roman" w:eastAsia="宋体" w:cs="Times New Roman"/>
                <w:color w:val="auto"/>
                <w:sz w:val="21"/>
                <w:szCs w:val="21"/>
                <w:highlight w:val="none"/>
                <w:lang w:val="en-US" w:eastAsia="zh-CN"/>
              </w:rPr>
              <w:t>本</w:t>
            </w:r>
            <w:r>
              <w:rPr>
                <w:rFonts w:hint="default" w:ascii="Times New Roman" w:hAnsi="Times New Roman" w:eastAsia="宋体" w:cs="Times New Roman"/>
                <w:color w:val="auto"/>
                <w:sz w:val="21"/>
                <w:szCs w:val="21"/>
                <w:highlight w:val="none"/>
                <w:lang w:val="en-US" w:eastAsia="en-US"/>
              </w:rPr>
              <w:t>项目</w:t>
            </w:r>
            <w:r>
              <w:rPr>
                <w:rFonts w:hint="default" w:ascii="Times New Roman" w:hAnsi="Times New Roman" w:eastAsia="宋体" w:cs="Times New Roman"/>
                <w:color w:val="auto"/>
                <w:sz w:val="21"/>
                <w:szCs w:val="21"/>
                <w:highlight w:val="none"/>
                <w:lang w:val="en-US" w:eastAsia="zh-CN"/>
              </w:rPr>
              <w:t>运营期废水</w:t>
            </w:r>
            <w:r>
              <w:rPr>
                <w:rFonts w:hint="default" w:ascii="Times New Roman" w:hAnsi="Times New Roman" w:eastAsia="宋体" w:cs="Times New Roman"/>
                <w:color w:val="auto"/>
                <w:sz w:val="21"/>
                <w:szCs w:val="21"/>
                <w:highlight w:val="none"/>
                <w:lang w:val="en-US" w:eastAsia="en-US"/>
              </w:rPr>
              <w:t>产排情况一览表</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684"/>
              <w:gridCol w:w="1912"/>
              <w:gridCol w:w="899"/>
              <w:gridCol w:w="921"/>
              <w:gridCol w:w="898"/>
              <w:gridCol w:w="1005"/>
              <w:gridCol w:w="1284"/>
            </w:tblGrid>
            <w:tr w14:paraId="637C2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90" w:type="pct"/>
                  <w:gridSpan w:val="2"/>
                  <w:vMerge w:val="restart"/>
                  <w:shd w:val="clear" w:color="auto" w:fill="auto"/>
                  <w:vAlign w:val="center"/>
                </w:tcPr>
                <w:p w14:paraId="34EC6DF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废水类别</w:t>
                  </w:r>
                </w:p>
              </w:tc>
              <w:tc>
                <w:tcPr>
                  <w:tcW w:w="2909" w:type="pct"/>
                  <w:gridSpan w:val="5"/>
                  <w:shd w:val="clear" w:color="auto" w:fill="auto"/>
                  <w:vAlign w:val="center"/>
                </w:tcPr>
                <w:p w14:paraId="3AE163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污染物</w:t>
                  </w:r>
                </w:p>
              </w:tc>
            </w:tr>
            <w:tr w14:paraId="569D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90" w:type="pct"/>
                  <w:gridSpan w:val="2"/>
                  <w:vMerge w:val="continue"/>
                  <w:shd w:val="clear" w:color="auto" w:fill="auto"/>
                  <w:vAlign w:val="center"/>
                </w:tcPr>
                <w:p w14:paraId="71526B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i w:val="0"/>
                      <w:iCs w:val="0"/>
                      <w:color w:val="auto"/>
                      <w:sz w:val="21"/>
                      <w:szCs w:val="21"/>
                      <w:highlight w:val="none"/>
                      <w:u w:val="none"/>
                    </w:rPr>
                  </w:pPr>
                </w:p>
              </w:tc>
              <w:tc>
                <w:tcPr>
                  <w:tcW w:w="522" w:type="pct"/>
                  <w:shd w:val="clear" w:color="auto" w:fill="auto"/>
                  <w:vAlign w:val="center"/>
                </w:tcPr>
                <w:p w14:paraId="693EAB8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COD</w:t>
                  </w:r>
                </w:p>
              </w:tc>
              <w:tc>
                <w:tcPr>
                  <w:tcW w:w="535" w:type="pct"/>
                  <w:shd w:val="clear" w:color="auto" w:fill="auto"/>
                  <w:vAlign w:val="center"/>
                </w:tcPr>
                <w:p w14:paraId="2D203EA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BOD</w:t>
                  </w:r>
                  <w:r>
                    <w:rPr>
                      <w:rFonts w:hint="default" w:ascii="Times New Roman" w:hAnsi="Times New Roman" w:eastAsia="宋体" w:cs="Times New Roman"/>
                      <w:b/>
                      <w:bCs/>
                      <w:i w:val="0"/>
                      <w:iCs w:val="0"/>
                      <w:color w:val="auto"/>
                      <w:kern w:val="0"/>
                      <w:sz w:val="21"/>
                      <w:szCs w:val="21"/>
                      <w:highlight w:val="none"/>
                      <w:u w:val="none"/>
                      <w:vertAlign w:val="subscript"/>
                      <w:lang w:val="en-US" w:eastAsia="zh-CN" w:bidi="ar"/>
                    </w:rPr>
                    <w:t>5</w:t>
                  </w:r>
                </w:p>
              </w:tc>
              <w:tc>
                <w:tcPr>
                  <w:tcW w:w="522" w:type="pct"/>
                  <w:shd w:val="clear" w:color="auto" w:fill="auto"/>
                  <w:vAlign w:val="center"/>
                </w:tcPr>
                <w:p w14:paraId="336CE8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SS</w:t>
                  </w:r>
                </w:p>
              </w:tc>
              <w:tc>
                <w:tcPr>
                  <w:tcW w:w="584" w:type="pct"/>
                  <w:shd w:val="clear" w:color="auto" w:fill="auto"/>
                  <w:vAlign w:val="center"/>
                </w:tcPr>
                <w:p w14:paraId="303B5B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NH</w:t>
                  </w:r>
                  <w:r>
                    <w:rPr>
                      <w:rFonts w:hint="default" w:ascii="Times New Roman" w:hAnsi="Times New Roman" w:eastAsia="宋体" w:cs="Times New Roman"/>
                      <w:b/>
                      <w:bCs/>
                      <w:i w:val="0"/>
                      <w:iCs w:val="0"/>
                      <w:color w:val="auto"/>
                      <w:kern w:val="0"/>
                      <w:sz w:val="21"/>
                      <w:szCs w:val="21"/>
                      <w:highlight w:val="none"/>
                      <w:u w:val="none"/>
                      <w:vertAlign w:val="subscript"/>
                      <w:lang w:val="en-US" w:eastAsia="zh-CN" w:bidi="ar"/>
                    </w:rPr>
                    <w:t>3</w:t>
                  </w:r>
                  <w:r>
                    <w:rPr>
                      <w:rFonts w:hint="default" w:ascii="Times New Roman" w:hAnsi="Times New Roman" w:eastAsia="宋体" w:cs="Times New Roman"/>
                      <w:b/>
                      <w:bCs/>
                      <w:i w:val="0"/>
                      <w:iCs w:val="0"/>
                      <w:color w:val="auto"/>
                      <w:kern w:val="0"/>
                      <w:sz w:val="21"/>
                      <w:szCs w:val="21"/>
                      <w:highlight w:val="none"/>
                      <w:u w:val="none"/>
                      <w:lang w:val="en-US" w:eastAsia="zh-CN" w:bidi="ar"/>
                    </w:rPr>
                    <w:t>-N</w:t>
                  </w:r>
                </w:p>
              </w:tc>
              <w:tc>
                <w:tcPr>
                  <w:tcW w:w="745" w:type="pct"/>
                  <w:shd w:val="clear" w:color="auto" w:fill="auto"/>
                  <w:vAlign w:val="center"/>
                </w:tcPr>
                <w:p w14:paraId="5F33A2B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动植物油</w:t>
                  </w:r>
                </w:p>
              </w:tc>
            </w:tr>
            <w:tr w14:paraId="7D953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pct"/>
                  <w:vMerge w:val="restart"/>
                  <w:shd w:val="clear" w:color="auto" w:fill="auto"/>
                  <w:vAlign w:val="center"/>
                </w:tcPr>
                <w:p w14:paraId="2C6155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师生日常生活污水（32500m</w:t>
                  </w:r>
                  <w:r>
                    <w:rPr>
                      <w:rStyle w:val="65"/>
                      <w:rFonts w:hint="default" w:ascii="Times New Roman" w:hAnsi="Times New Roman" w:eastAsia="宋体" w:cs="Times New Roman"/>
                      <w:color w:val="auto"/>
                      <w:sz w:val="21"/>
                      <w:szCs w:val="21"/>
                      <w:highlight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/a）</w:t>
                  </w:r>
                </w:p>
              </w:tc>
              <w:tc>
                <w:tcPr>
                  <w:tcW w:w="1111" w:type="pct"/>
                  <w:shd w:val="clear" w:color="auto" w:fill="auto"/>
                  <w:vAlign w:val="center"/>
                </w:tcPr>
                <w:p w14:paraId="00D98F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产生浓度（mg/L）</w:t>
                  </w:r>
                </w:p>
              </w:tc>
              <w:tc>
                <w:tcPr>
                  <w:tcW w:w="522" w:type="pct"/>
                  <w:shd w:val="clear" w:color="auto" w:fill="auto"/>
                  <w:vAlign w:val="center"/>
                </w:tcPr>
                <w:p w14:paraId="75B442E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350</w:t>
                  </w:r>
                </w:p>
              </w:tc>
              <w:tc>
                <w:tcPr>
                  <w:tcW w:w="535" w:type="pct"/>
                  <w:shd w:val="clear" w:color="auto" w:fill="auto"/>
                  <w:vAlign w:val="center"/>
                </w:tcPr>
                <w:p w14:paraId="002FF3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180</w:t>
                  </w:r>
                </w:p>
              </w:tc>
              <w:tc>
                <w:tcPr>
                  <w:tcW w:w="522" w:type="pct"/>
                  <w:shd w:val="clear" w:color="auto" w:fill="auto"/>
                  <w:vAlign w:val="center"/>
                </w:tcPr>
                <w:p w14:paraId="71EF5A1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200</w:t>
                  </w:r>
                </w:p>
              </w:tc>
              <w:tc>
                <w:tcPr>
                  <w:tcW w:w="584" w:type="pct"/>
                  <w:shd w:val="clear" w:color="auto" w:fill="auto"/>
                  <w:vAlign w:val="center"/>
                </w:tcPr>
                <w:p w14:paraId="1347F2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25</w:t>
                  </w:r>
                </w:p>
              </w:tc>
              <w:tc>
                <w:tcPr>
                  <w:tcW w:w="745" w:type="pct"/>
                  <w:shd w:val="clear" w:color="auto" w:fill="auto"/>
                  <w:vAlign w:val="center"/>
                </w:tcPr>
                <w:p w14:paraId="6BE3D1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r>
            <w:tr w14:paraId="09DB6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pct"/>
                  <w:vMerge w:val="continue"/>
                  <w:shd w:val="clear" w:color="auto" w:fill="auto"/>
                  <w:vAlign w:val="center"/>
                </w:tcPr>
                <w:p w14:paraId="49A8D8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i w:val="0"/>
                      <w:iCs w:val="0"/>
                      <w:color w:val="auto"/>
                      <w:sz w:val="21"/>
                      <w:szCs w:val="21"/>
                      <w:highlight w:val="none"/>
                      <w:u w:val="none"/>
                    </w:rPr>
                  </w:pPr>
                </w:p>
              </w:tc>
              <w:tc>
                <w:tcPr>
                  <w:tcW w:w="1111" w:type="pct"/>
                  <w:shd w:val="clear" w:color="auto" w:fill="auto"/>
                  <w:vAlign w:val="center"/>
                </w:tcPr>
                <w:p w14:paraId="7C98CA7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产生量（t/a）</w:t>
                  </w:r>
                </w:p>
              </w:tc>
              <w:tc>
                <w:tcPr>
                  <w:tcW w:w="522" w:type="pct"/>
                  <w:shd w:val="clear" w:color="auto" w:fill="auto"/>
                  <w:vAlign w:val="center"/>
                </w:tcPr>
                <w:p w14:paraId="47C67EA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11.375</w:t>
                  </w:r>
                </w:p>
              </w:tc>
              <w:tc>
                <w:tcPr>
                  <w:tcW w:w="535" w:type="pct"/>
                  <w:shd w:val="clear" w:color="auto" w:fill="auto"/>
                  <w:vAlign w:val="center"/>
                </w:tcPr>
                <w:p w14:paraId="74EB337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5.85</w:t>
                  </w:r>
                </w:p>
              </w:tc>
              <w:tc>
                <w:tcPr>
                  <w:tcW w:w="522" w:type="pct"/>
                  <w:shd w:val="clear" w:color="auto" w:fill="auto"/>
                  <w:vAlign w:val="center"/>
                </w:tcPr>
                <w:p w14:paraId="4CBEC41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6.5</w:t>
                  </w:r>
                </w:p>
              </w:tc>
              <w:tc>
                <w:tcPr>
                  <w:tcW w:w="584" w:type="pct"/>
                  <w:shd w:val="clear" w:color="auto" w:fill="auto"/>
                  <w:vAlign w:val="center"/>
                </w:tcPr>
                <w:p w14:paraId="02ABAE6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0.8125</w:t>
                  </w:r>
                </w:p>
              </w:tc>
              <w:tc>
                <w:tcPr>
                  <w:tcW w:w="745" w:type="pct"/>
                  <w:shd w:val="clear" w:color="auto" w:fill="auto"/>
                  <w:vAlign w:val="center"/>
                </w:tcPr>
                <w:p w14:paraId="39958B8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r>
            <w:tr w14:paraId="628BC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pct"/>
                  <w:vMerge w:val="restart"/>
                  <w:shd w:val="clear" w:color="auto" w:fill="auto"/>
                  <w:vAlign w:val="center"/>
                </w:tcPr>
                <w:p w14:paraId="7B0692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食堂废水</w:t>
                  </w:r>
                </w:p>
                <w:p w14:paraId="67EE9F3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（12286m</w:t>
                  </w:r>
                  <w:r>
                    <w:rPr>
                      <w:rStyle w:val="65"/>
                      <w:rFonts w:hint="default" w:ascii="Times New Roman" w:hAnsi="Times New Roman" w:eastAsia="宋体" w:cs="Times New Roman"/>
                      <w:color w:val="auto"/>
                      <w:sz w:val="21"/>
                      <w:szCs w:val="21"/>
                      <w:highlight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/a）</w:t>
                  </w:r>
                </w:p>
              </w:tc>
              <w:tc>
                <w:tcPr>
                  <w:tcW w:w="1111" w:type="pct"/>
                  <w:shd w:val="clear" w:color="auto" w:fill="auto"/>
                  <w:vAlign w:val="center"/>
                </w:tcPr>
                <w:p w14:paraId="78A392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产生浓度（mg/L）</w:t>
                  </w:r>
                </w:p>
              </w:tc>
              <w:tc>
                <w:tcPr>
                  <w:tcW w:w="522" w:type="pct"/>
                  <w:shd w:val="clear" w:color="auto" w:fill="auto"/>
                  <w:vAlign w:val="center"/>
                </w:tcPr>
                <w:p w14:paraId="3AC1E62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800</w:t>
                  </w:r>
                </w:p>
              </w:tc>
              <w:tc>
                <w:tcPr>
                  <w:tcW w:w="535" w:type="pct"/>
                  <w:shd w:val="clear" w:color="auto" w:fill="auto"/>
                  <w:vAlign w:val="center"/>
                </w:tcPr>
                <w:p w14:paraId="3C836CC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300</w:t>
                  </w:r>
                </w:p>
              </w:tc>
              <w:tc>
                <w:tcPr>
                  <w:tcW w:w="522" w:type="pct"/>
                  <w:shd w:val="clear" w:color="auto" w:fill="auto"/>
                  <w:vAlign w:val="center"/>
                </w:tcPr>
                <w:p w14:paraId="56DE816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300</w:t>
                  </w:r>
                </w:p>
              </w:tc>
              <w:tc>
                <w:tcPr>
                  <w:tcW w:w="584" w:type="pct"/>
                  <w:shd w:val="clear" w:color="auto" w:fill="auto"/>
                  <w:vAlign w:val="center"/>
                </w:tcPr>
                <w:p w14:paraId="0418CEC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30</w:t>
                  </w:r>
                </w:p>
              </w:tc>
              <w:tc>
                <w:tcPr>
                  <w:tcW w:w="745" w:type="pct"/>
                  <w:shd w:val="clear" w:color="auto" w:fill="auto"/>
                  <w:vAlign w:val="center"/>
                </w:tcPr>
                <w:p w14:paraId="7772E2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80</w:t>
                  </w:r>
                </w:p>
              </w:tc>
            </w:tr>
            <w:tr w14:paraId="44C7C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pct"/>
                  <w:vMerge w:val="continue"/>
                  <w:shd w:val="clear" w:color="auto" w:fill="auto"/>
                  <w:vAlign w:val="center"/>
                </w:tcPr>
                <w:p w14:paraId="24A4AA0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p>
              </w:tc>
              <w:tc>
                <w:tcPr>
                  <w:tcW w:w="1111" w:type="pct"/>
                  <w:shd w:val="clear" w:color="auto" w:fill="auto"/>
                  <w:vAlign w:val="center"/>
                </w:tcPr>
                <w:p w14:paraId="353DDE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产生量（t/a）</w:t>
                  </w:r>
                </w:p>
              </w:tc>
              <w:tc>
                <w:tcPr>
                  <w:tcW w:w="522" w:type="pct"/>
                  <w:shd w:val="clear" w:color="auto" w:fill="auto"/>
                  <w:vAlign w:val="center"/>
                </w:tcPr>
                <w:p w14:paraId="5C77EB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9.83</w:t>
                  </w:r>
                </w:p>
              </w:tc>
              <w:tc>
                <w:tcPr>
                  <w:tcW w:w="535" w:type="pct"/>
                  <w:shd w:val="clear" w:color="auto" w:fill="auto"/>
                  <w:vAlign w:val="center"/>
                </w:tcPr>
                <w:p w14:paraId="0B5029E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3.69</w:t>
                  </w:r>
                </w:p>
              </w:tc>
              <w:tc>
                <w:tcPr>
                  <w:tcW w:w="522" w:type="pct"/>
                  <w:shd w:val="clear" w:color="auto" w:fill="auto"/>
                  <w:vAlign w:val="center"/>
                </w:tcPr>
                <w:p w14:paraId="3FE6C38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3.69</w:t>
                  </w:r>
                </w:p>
              </w:tc>
              <w:tc>
                <w:tcPr>
                  <w:tcW w:w="584" w:type="pct"/>
                  <w:shd w:val="clear" w:color="auto" w:fill="auto"/>
                  <w:vAlign w:val="center"/>
                </w:tcPr>
                <w:p w14:paraId="485CCD5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0.37</w:t>
                  </w:r>
                </w:p>
              </w:tc>
              <w:tc>
                <w:tcPr>
                  <w:tcW w:w="745" w:type="pct"/>
                  <w:shd w:val="clear" w:color="auto" w:fill="auto"/>
                  <w:vAlign w:val="center"/>
                </w:tcPr>
                <w:p w14:paraId="79CCAE4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0.98</w:t>
                  </w:r>
                </w:p>
              </w:tc>
            </w:tr>
            <w:tr w14:paraId="450FA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pct"/>
                  <w:vMerge w:val="restart"/>
                  <w:shd w:val="clear" w:color="auto" w:fill="auto"/>
                  <w:vAlign w:val="center"/>
                </w:tcPr>
                <w:p w14:paraId="7348096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实验室清洗废水（106m</w:t>
                  </w:r>
                  <w:r>
                    <w:rPr>
                      <w:rStyle w:val="65"/>
                      <w:rFonts w:hint="default" w:ascii="Times New Roman" w:hAnsi="Times New Roman" w:eastAsia="宋体" w:cs="Times New Roman"/>
                      <w:color w:val="auto"/>
                      <w:sz w:val="21"/>
                      <w:szCs w:val="21"/>
                      <w:highlight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/a）</w:t>
                  </w:r>
                </w:p>
              </w:tc>
              <w:tc>
                <w:tcPr>
                  <w:tcW w:w="1111" w:type="pct"/>
                  <w:shd w:val="clear" w:color="auto" w:fill="auto"/>
                  <w:vAlign w:val="center"/>
                </w:tcPr>
                <w:p w14:paraId="38BBA4B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产生浓度（mg/L）</w:t>
                  </w:r>
                </w:p>
              </w:tc>
              <w:tc>
                <w:tcPr>
                  <w:tcW w:w="522" w:type="pct"/>
                  <w:shd w:val="clear" w:color="auto" w:fill="auto"/>
                  <w:vAlign w:val="center"/>
                </w:tcPr>
                <w:p w14:paraId="2FEE9D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w:t>
                  </w:r>
                </w:p>
              </w:tc>
              <w:tc>
                <w:tcPr>
                  <w:tcW w:w="535" w:type="pct"/>
                  <w:shd w:val="clear" w:color="auto" w:fill="auto"/>
                  <w:vAlign w:val="center"/>
                </w:tcPr>
                <w:p w14:paraId="6A9EACD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522" w:type="pct"/>
                  <w:shd w:val="clear" w:color="auto" w:fill="auto"/>
                  <w:vAlign w:val="center"/>
                </w:tcPr>
                <w:p w14:paraId="360A94C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584" w:type="pct"/>
                  <w:shd w:val="clear" w:color="auto" w:fill="auto"/>
                  <w:vAlign w:val="center"/>
                </w:tcPr>
                <w:p w14:paraId="312C5C3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745" w:type="pct"/>
                  <w:shd w:val="clear" w:color="auto" w:fill="auto"/>
                  <w:vAlign w:val="center"/>
                </w:tcPr>
                <w:p w14:paraId="3AC5E4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r>
            <w:tr w14:paraId="000B0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pct"/>
                  <w:vMerge w:val="continue"/>
                  <w:shd w:val="clear" w:color="auto" w:fill="auto"/>
                  <w:vAlign w:val="center"/>
                </w:tcPr>
                <w:p w14:paraId="1C00A6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i w:val="0"/>
                      <w:iCs w:val="0"/>
                      <w:color w:val="auto"/>
                      <w:sz w:val="21"/>
                      <w:szCs w:val="21"/>
                      <w:highlight w:val="none"/>
                      <w:u w:val="none"/>
                    </w:rPr>
                  </w:pPr>
                </w:p>
              </w:tc>
              <w:tc>
                <w:tcPr>
                  <w:tcW w:w="1111" w:type="pct"/>
                  <w:shd w:val="clear" w:color="auto" w:fill="auto"/>
                  <w:vAlign w:val="center"/>
                </w:tcPr>
                <w:p w14:paraId="21679D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产生量（t/a）</w:t>
                  </w:r>
                </w:p>
              </w:tc>
              <w:tc>
                <w:tcPr>
                  <w:tcW w:w="522" w:type="pct"/>
                  <w:shd w:val="clear" w:color="auto" w:fill="auto"/>
                  <w:vAlign w:val="center"/>
                </w:tcPr>
                <w:p w14:paraId="2C01591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w:t>
                  </w:r>
                </w:p>
              </w:tc>
              <w:tc>
                <w:tcPr>
                  <w:tcW w:w="535" w:type="pct"/>
                  <w:shd w:val="clear" w:color="auto" w:fill="auto"/>
                  <w:vAlign w:val="center"/>
                </w:tcPr>
                <w:p w14:paraId="2AB3CA0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0.01</w:t>
                  </w:r>
                </w:p>
              </w:tc>
              <w:tc>
                <w:tcPr>
                  <w:tcW w:w="522" w:type="pct"/>
                  <w:shd w:val="clear" w:color="auto" w:fill="auto"/>
                  <w:vAlign w:val="center"/>
                </w:tcPr>
                <w:p w14:paraId="080850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584" w:type="pct"/>
                  <w:shd w:val="clear" w:color="auto" w:fill="auto"/>
                  <w:vAlign w:val="center"/>
                </w:tcPr>
                <w:p w14:paraId="114260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745" w:type="pct"/>
                  <w:shd w:val="clear" w:color="auto" w:fill="auto"/>
                  <w:vAlign w:val="center"/>
                </w:tcPr>
                <w:p w14:paraId="2935C4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r>
            <w:tr w14:paraId="31507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pct"/>
                  <w:vMerge w:val="restart"/>
                  <w:shd w:val="clear" w:color="auto" w:fill="auto"/>
                  <w:vAlign w:val="center"/>
                </w:tcPr>
                <w:p w14:paraId="1B35ECE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碱喷淋废水（2m</w:t>
                  </w:r>
                  <w:r>
                    <w:rPr>
                      <w:rStyle w:val="65"/>
                      <w:rFonts w:hint="default" w:ascii="Times New Roman" w:hAnsi="Times New Roman" w:eastAsia="宋体" w:cs="Times New Roman"/>
                      <w:color w:val="auto"/>
                      <w:sz w:val="21"/>
                      <w:szCs w:val="21"/>
                      <w:highlight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/a）</w:t>
                  </w:r>
                </w:p>
              </w:tc>
              <w:tc>
                <w:tcPr>
                  <w:tcW w:w="1111" w:type="pct"/>
                  <w:shd w:val="clear" w:color="auto" w:fill="auto"/>
                  <w:vAlign w:val="center"/>
                </w:tcPr>
                <w:p w14:paraId="0A5856C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产生浓度（mg/L）</w:t>
                  </w:r>
                </w:p>
              </w:tc>
              <w:tc>
                <w:tcPr>
                  <w:tcW w:w="522" w:type="pct"/>
                  <w:shd w:val="clear" w:color="auto" w:fill="auto"/>
                  <w:vAlign w:val="center"/>
                </w:tcPr>
                <w:p w14:paraId="7A9AAD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535" w:type="pct"/>
                  <w:shd w:val="clear" w:color="auto" w:fill="auto"/>
                  <w:vAlign w:val="center"/>
                </w:tcPr>
                <w:p w14:paraId="6CF8BA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522" w:type="pct"/>
                  <w:shd w:val="clear" w:color="auto" w:fill="auto"/>
                  <w:vAlign w:val="center"/>
                </w:tcPr>
                <w:p w14:paraId="238AD2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584" w:type="pct"/>
                  <w:shd w:val="clear" w:color="auto" w:fill="auto"/>
                  <w:vAlign w:val="center"/>
                </w:tcPr>
                <w:p w14:paraId="143500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45" w:type="pct"/>
                  <w:shd w:val="clear" w:color="auto" w:fill="auto"/>
                  <w:vAlign w:val="center"/>
                </w:tcPr>
                <w:p w14:paraId="55A909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r>
            <w:tr w14:paraId="5F310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pct"/>
                  <w:vMerge w:val="continue"/>
                  <w:shd w:val="clear" w:color="auto" w:fill="auto"/>
                  <w:vAlign w:val="center"/>
                </w:tcPr>
                <w:p w14:paraId="65F954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i w:val="0"/>
                      <w:iCs w:val="0"/>
                      <w:color w:val="auto"/>
                      <w:sz w:val="21"/>
                      <w:szCs w:val="21"/>
                      <w:highlight w:val="none"/>
                      <w:u w:val="none"/>
                    </w:rPr>
                  </w:pPr>
                </w:p>
              </w:tc>
              <w:tc>
                <w:tcPr>
                  <w:tcW w:w="1111" w:type="pct"/>
                  <w:shd w:val="clear" w:color="auto" w:fill="auto"/>
                  <w:vAlign w:val="center"/>
                </w:tcPr>
                <w:p w14:paraId="30DE886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产生量（t/a）</w:t>
                  </w:r>
                </w:p>
              </w:tc>
              <w:tc>
                <w:tcPr>
                  <w:tcW w:w="522" w:type="pct"/>
                  <w:shd w:val="clear" w:color="auto" w:fill="auto"/>
                  <w:vAlign w:val="center"/>
                </w:tcPr>
                <w:p w14:paraId="037981A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0.00004</w:t>
                  </w:r>
                </w:p>
              </w:tc>
              <w:tc>
                <w:tcPr>
                  <w:tcW w:w="535" w:type="pct"/>
                  <w:shd w:val="clear" w:color="auto" w:fill="auto"/>
                  <w:vAlign w:val="center"/>
                </w:tcPr>
                <w:p w14:paraId="61A2221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0.00001</w:t>
                  </w:r>
                </w:p>
              </w:tc>
              <w:tc>
                <w:tcPr>
                  <w:tcW w:w="522" w:type="pct"/>
                  <w:shd w:val="clear" w:color="auto" w:fill="auto"/>
                  <w:vAlign w:val="center"/>
                </w:tcPr>
                <w:p w14:paraId="437FCB4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0.0001</w:t>
                  </w:r>
                </w:p>
              </w:tc>
              <w:tc>
                <w:tcPr>
                  <w:tcW w:w="584" w:type="pct"/>
                  <w:shd w:val="clear" w:color="auto" w:fill="auto"/>
                  <w:vAlign w:val="center"/>
                </w:tcPr>
                <w:p w14:paraId="3C961A6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0.000002</w:t>
                  </w:r>
                </w:p>
              </w:tc>
              <w:tc>
                <w:tcPr>
                  <w:tcW w:w="745" w:type="pct"/>
                  <w:shd w:val="clear" w:color="auto" w:fill="auto"/>
                  <w:vAlign w:val="center"/>
                </w:tcPr>
                <w:p w14:paraId="0AE97D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r>
            <w:tr w14:paraId="6CB62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pct"/>
                  <w:vMerge w:val="restart"/>
                  <w:shd w:val="clear" w:color="auto" w:fill="auto"/>
                  <w:vAlign w:val="center"/>
                </w:tcPr>
                <w:p w14:paraId="6EE6821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混合废水（44894m</w:t>
                  </w:r>
                  <w:r>
                    <w:rPr>
                      <w:rStyle w:val="65"/>
                      <w:rFonts w:hint="default" w:ascii="Times New Roman" w:hAnsi="Times New Roman" w:eastAsia="宋体" w:cs="Times New Roman"/>
                      <w:color w:val="auto"/>
                      <w:sz w:val="21"/>
                      <w:szCs w:val="21"/>
                      <w:highlight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/a）</w:t>
                  </w:r>
                </w:p>
              </w:tc>
              <w:tc>
                <w:tcPr>
                  <w:tcW w:w="1111" w:type="pct"/>
                  <w:shd w:val="clear" w:color="auto" w:fill="auto"/>
                  <w:vAlign w:val="center"/>
                </w:tcPr>
                <w:p w14:paraId="1C274C9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产生浓度（mg/L）</w:t>
                  </w:r>
                </w:p>
              </w:tc>
              <w:tc>
                <w:tcPr>
                  <w:tcW w:w="522" w:type="pct"/>
                  <w:shd w:val="clear" w:color="auto" w:fill="auto"/>
                  <w:vAlign w:val="center"/>
                </w:tcPr>
                <w:p w14:paraId="25CB7A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472.55</w:t>
                  </w:r>
                </w:p>
              </w:tc>
              <w:tc>
                <w:tcPr>
                  <w:tcW w:w="535" w:type="pct"/>
                  <w:shd w:val="clear" w:color="auto" w:fill="auto"/>
                  <w:vAlign w:val="center"/>
                </w:tcPr>
                <w:p w14:paraId="3A6AB3C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212.53</w:t>
                  </w:r>
                </w:p>
              </w:tc>
              <w:tc>
                <w:tcPr>
                  <w:tcW w:w="522" w:type="pct"/>
                  <w:shd w:val="clear" w:color="auto" w:fill="auto"/>
                  <w:vAlign w:val="center"/>
                </w:tcPr>
                <w:p w14:paraId="57ACA6E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226.94</w:t>
                  </w:r>
                </w:p>
              </w:tc>
              <w:tc>
                <w:tcPr>
                  <w:tcW w:w="584" w:type="pct"/>
                  <w:shd w:val="clear" w:color="auto" w:fill="auto"/>
                  <w:vAlign w:val="center"/>
                </w:tcPr>
                <w:p w14:paraId="31C723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26.32</w:t>
                  </w:r>
                </w:p>
              </w:tc>
              <w:tc>
                <w:tcPr>
                  <w:tcW w:w="745" w:type="pct"/>
                  <w:shd w:val="clear" w:color="auto" w:fill="auto"/>
                  <w:vAlign w:val="center"/>
                </w:tcPr>
                <w:p w14:paraId="0462831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21.89</w:t>
                  </w:r>
                </w:p>
              </w:tc>
            </w:tr>
            <w:tr w14:paraId="22233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pct"/>
                  <w:vMerge w:val="continue"/>
                  <w:shd w:val="clear" w:color="auto" w:fill="auto"/>
                  <w:vAlign w:val="center"/>
                </w:tcPr>
                <w:p w14:paraId="6A5D2A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i w:val="0"/>
                      <w:iCs w:val="0"/>
                      <w:color w:val="auto"/>
                      <w:sz w:val="21"/>
                      <w:szCs w:val="21"/>
                      <w:highlight w:val="none"/>
                      <w:u w:val="none"/>
                    </w:rPr>
                  </w:pPr>
                </w:p>
              </w:tc>
              <w:tc>
                <w:tcPr>
                  <w:tcW w:w="1111" w:type="pct"/>
                  <w:shd w:val="clear" w:color="auto" w:fill="auto"/>
                  <w:vAlign w:val="center"/>
                </w:tcPr>
                <w:p w14:paraId="5D8373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产生量（t/a）</w:t>
                  </w:r>
                </w:p>
              </w:tc>
              <w:tc>
                <w:tcPr>
                  <w:tcW w:w="522" w:type="pct"/>
                  <w:shd w:val="clear" w:color="auto" w:fill="auto"/>
                  <w:vAlign w:val="center"/>
                </w:tcPr>
                <w:p w14:paraId="200AA2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21.21</w:t>
                  </w:r>
                </w:p>
              </w:tc>
              <w:tc>
                <w:tcPr>
                  <w:tcW w:w="535" w:type="pct"/>
                  <w:shd w:val="clear" w:color="auto" w:fill="auto"/>
                  <w:vAlign w:val="center"/>
                </w:tcPr>
                <w:p w14:paraId="35C1D4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9.54</w:t>
                  </w:r>
                </w:p>
              </w:tc>
              <w:tc>
                <w:tcPr>
                  <w:tcW w:w="522" w:type="pct"/>
                  <w:shd w:val="clear" w:color="auto" w:fill="auto"/>
                  <w:vAlign w:val="center"/>
                </w:tcPr>
                <w:p w14:paraId="19C37D3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10.19</w:t>
                  </w:r>
                </w:p>
              </w:tc>
              <w:tc>
                <w:tcPr>
                  <w:tcW w:w="584" w:type="pct"/>
                  <w:shd w:val="clear" w:color="auto" w:fill="auto"/>
                  <w:vAlign w:val="center"/>
                </w:tcPr>
                <w:p w14:paraId="056D6AE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1.18</w:t>
                  </w:r>
                </w:p>
              </w:tc>
              <w:tc>
                <w:tcPr>
                  <w:tcW w:w="745" w:type="pct"/>
                  <w:shd w:val="clear" w:color="auto" w:fill="auto"/>
                  <w:vAlign w:val="center"/>
                </w:tcPr>
                <w:p w14:paraId="20B678D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0.98</w:t>
                  </w:r>
                </w:p>
              </w:tc>
            </w:tr>
            <w:tr w14:paraId="4A0F5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90" w:type="pct"/>
                  <w:gridSpan w:val="2"/>
                  <w:shd w:val="clear" w:color="auto" w:fill="auto"/>
                  <w:vAlign w:val="center"/>
                </w:tcPr>
                <w:p w14:paraId="2BF033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化粪池去除效率%（动植物油除外）</w:t>
                  </w:r>
                </w:p>
              </w:tc>
              <w:tc>
                <w:tcPr>
                  <w:tcW w:w="522" w:type="pct"/>
                  <w:shd w:val="clear" w:color="auto" w:fill="auto"/>
                  <w:vAlign w:val="center"/>
                </w:tcPr>
                <w:p w14:paraId="293C5D3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15</w:t>
                  </w:r>
                </w:p>
              </w:tc>
              <w:tc>
                <w:tcPr>
                  <w:tcW w:w="535" w:type="pct"/>
                  <w:shd w:val="clear" w:color="auto" w:fill="auto"/>
                  <w:vAlign w:val="center"/>
                </w:tcPr>
                <w:p w14:paraId="325E002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w:t>
                  </w:r>
                </w:p>
              </w:tc>
              <w:tc>
                <w:tcPr>
                  <w:tcW w:w="522" w:type="pct"/>
                  <w:shd w:val="clear" w:color="auto" w:fill="auto"/>
                  <w:vAlign w:val="center"/>
                </w:tcPr>
                <w:p w14:paraId="33D6180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30</w:t>
                  </w:r>
                </w:p>
              </w:tc>
              <w:tc>
                <w:tcPr>
                  <w:tcW w:w="584" w:type="pct"/>
                  <w:shd w:val="clear" w:color="auto" w:fill="auto"/>
                  <w:vAlign w:val="center"/>
                </w:tcPr>
                <w:p w14:paraId="4A5FBCF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745" w:type="pct"/>
                  <w:shd w:val="clear" w:color="auto" w:fill="auto"/>
                  <w:vAlign w:val="center"/>
                </w:tcPr>
                <w:p w14:paraId="19574A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cs="Times New Roman"/>
                      <w:i w:val="0"/>
                      <w:iCs w:val="0"/>
                      <w:color w:val="auto"/>
                      <w:kern w:val="0"/>
                      <w:sz w:val="21"/>
                      <w:szCs w:val="21"/>
                      <w:highlight w:val="none"/>
                      <w:u w:val="none"/>
                      <w:lang w:val="en-US" w:eastAsia="zh-CN" w:bidi="ar"/>
                    </w:rPr>
                    <w:t>9</w:t>
                  </w:r>
                  <w:r>
                    <w:rPr>
                      <w:rFonts w:hint="default" w:ascii="Times New Roman" w:hAnsi="Times New Roman" w:eastAsia="宋体" w:cs="Times New Roman"/>
                      <w:i w:val="0"/>
                      <w:iCs w:val="0"/>
                      <w:color w:val="auto"/>
                      <w:kern w:val="0"/>
                      <w:sz w:val="21"/>
                      <w:szCs w:val="21"/>
                      <w:highlight w:val="none"/>
                      <w:u w:val="none"/>
                      <w:lang w:val="en-US" w:eastAsia="zh-CN" w:bidi="ar"/>
                    </w:rPr>
                    <w:t>0（隔油池）</w:t>
                  </w:r>
                </w:p>
              </w:tc>
            </w:tr>
            <w:tr w14:paraId="36A89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pct"/>
                  <w:vMerge w:val="restart"/>
                  <w:shd w:val="clear" w:color="auto" w:fill="auto"/>
                  <w:vAlign w:val="center"/>
                </w:tcPr>
                <w:p w14:paraId="422BA4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处理后的混合废水（44894m</w:t>
                  </w:r>
                  <w:r>
                    <w:rPr>
                      <w:rStyle w:val="65"/>
                      <w:rFonts w:hint="default" w:ascii="Times New Roman" w:hAnsi="Times New Roman" w:eastAsia="宋体" w:cs="Times New Roman"/>
                      <w:color w:val="auto"/>
                      <w:sz w:val="21"/>
                      <w:szCs w:val="21"/>
                      <w:highlight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/a）</w:t>
                  </w:r>
                </w:p>
              </w:tc>
              <w:tc>
                <w:tcPr>
                  <w:tcW w:w="1111" w:type="pct"/>
                  <w:shd w:val="clear" w:color="auto" w:fill="auto"/>
                  <w:vAlign w:val="center"/>
                </w:tcPr>
                <w:p w14:paraId="56ECB0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排放浓度（mg/L）</w:t>
                  </w:r>
                </w:p>
              </w:tc>
              <w:tc>
                <w:tcPr>
                  <w:tcW w:w="522" w:type="pct"/>
                  <w:shd w:val="clear" w:color="auto" w:fill="auto"/>
                  <w:vAlign w:val="center"/>
                </w:tcPr>
                <w:p w14:paraId="0B368DD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401.66</w:t>
                  </w:r>
                </w:p>
              </w:tc>
              <w:tc>
                <w:tcPr>
                  <w:tcW w:w="535" w:type="pct"/>
                  <w:shd w:val="clear" w:color="auto" w:fill="auto"/>
                  <w:vAlign w:val="center"/>
                </w:tcPr>
                <w:p w14:paraId="152C0E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193.40</w:t>
                  </w:r>
                </w:p>
              </w:tc>
              <w:tc>
                <w:tcPr>
                  <w:tcW w:w="522" w:type="pct"/>
                  <w:shd w:val="clear" w:color="auto" w:fill="auto"/>
                  <w:vAlign w:val="center"/>
                </w:tcPr>
                <w:p w14:paraId="613E4C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158.85</w:t>
                  </w:r>
                </w:p>
              </w:tc>
              <w:tc>
                <w:tcPr>
                  <w:tcW w:w="584" w:type="pct"/>
                  <w:shd w:val="clear" w:color="auto" w:fill="auto"/>
                  <w:vAlign w:val="center"/>
                </w:tcPr>
                <w:p w14:paraId="37B07DE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25.53</w:t>
                  </w:r>
                </w:p>
              </w:tc>
              <w:tc>
                <w:tcPr>
                  <w:tcW w:w="745" w:type="pct"/>
                  <w:shd w:val="clear" w:color="auto" w:fill="auto"/>
                  <w:vAlign w:val="center"/>
                </w:tcPr>
                <w:p w14:paraId="0912837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2.19</w:t>
                  </w:r>
                </w:p>
              </w:tc>
            </w:tr>
            <w:tr w14:paraId="5E90D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pct"/>
                  <w:vMerge w:val="continue"/>
                  <w:shd w:val="clear" w:color="auto" w:fill="auto"/>
                  <w:vAlign w:val="center"/>
                </w:tcPr>
                <w:p w14:paraId="2867F6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i w:val="0"/>
                      <w:iCs w:val="0"/>
                      <w:color w:val="auto"/>
                      <w:sz w:val="21"/>
                      <w:szCs w:val="21"/>
                      <w:highlight w:val="none"/>
                      <w:u w:val="none"/>
                    </w:rPr>
                  </w:pPr>
                </w:p>
              </w:tc>
              <w:tc>
                <w:tcPr>
                  <w:tcW w:w="1111" w:type="pct"/>
                  <w:shd w:val="clear" w:color="auto" w:fill="auto"/>
                  <w:vAlign w:val="center"/>
                </w:tcPr>
                <w:p w14:paraId="7580A22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排放量（t/a）</w:t>
                  </w:r>
                </w:p>
              </w:tc>
              <w:tc>
                <w:tcPr>
                  <w:tcW w:w="522" w:type="pct"/>
                  <w:shd w:val="clear" w:color="auto" w:fill="auto"/>
                  <w:vAlign w:val="center"/>
                </w:tcPr>
                <w:p w14:paraId="39FF33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18.03</w:t>
                  </w:r>
                </w:p>
              </w:tc>
              <w:tc>
                <w:tcPr>
                  <w:tcW w:w="535" w:type="pct"/>
                  <w:shd w:val="clear" w:color="auto" w:fill="auto"/>
                  <w:vAlign w:val="center"/>
                </w:tcPr>
                <w:p w14:paraId="2CF56B6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8.68</w:t>
                  </w:r>
                </w:p>
              </w:tc>
              <w:tc>
                <w:tcPr>
                  <w:tcW w:w="522" w:type="pct"/>
                  <w:shd w:val="clear" w:color="auto" w:fill="auto"/>
                  <w:vAlign w:val="center"/>
                </w:tcPr>
                <w:p w14:paraId="4DC6F5E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7.13</w:t>
                  </w:r>
                </w:p>
              </w:tc>
              <w:tc>
                <w:tcPr>
                  <w:tcW w:w="584" w:type="pct"/>
                  <w:shd w:val="clear" w:color="auto" w:fill="auto"/>
                  <w:vAlign w:val="center"/>
                </w:tcPr>
                <w:p w14:paraId="41DEBF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1.15</w:t>
                  </w:r>
                </w:p>
              </w:tc>
              <w:tc>
                <w:tcPr>
                  <w:tcW w:w="745" w:type="pct"/>
                  <w:shd w:val="clear" w:color="auto" w:fill="auto"/>
                  <w:vAlign w:val="center"/>
                </w:tcPr>
                <w:p w14:paraId="645271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0.10</w:t>
                  </w:r>
                </w:p>
              </w:tc>
            </w:tr>
            <w:tr w14:paraId="24416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90" w:type="pct"/>
                  <w:gridSpan w:val="2"/>
                  <w:shd w:val="clear" w:color="auto" w:fill="auto"/>
                  <w:vAlign w:val="center"/>
                </w:tcPr>
                <w:p w14:paraId="5F33AA4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《污水排入城镇下水道水质标准》（GB/T31962-2015）</w:t>
                  </w:r>
                  <w:r>
                    <w:rPr>
                      <w:rFonts w:hint="eastAsia" w:cs="Times New Roman"/>
                      <w:i w:val="0"/>
                      <w:iCs w:val="0"/>
                      <w:color w:val="auto"/>
                      <w:kern w:val="0"/>
                      <w:sz w:val="21"/>
                      <w:szCs w:val="21"/>
                      <w:highlight w:val="none"/>
                      <w:u w:val="none"/>
                      <w:lang w:val="en-US" w:eastAsia="zh-CN" w:bidi="ar"/>
                    </w:rPr>
                    <w:t>A级标准</w:t>
                  </w:r>
                </w:p>
              </w:tc>
              <w:tc>
                <w:tcPr>
                  <w:tcW w:w="522" w:type="pct"/>
                  <w:shd w:val="clear" w:color="auto" w:fill="auto"/>
                  <w:vAlign w:val="center"/>
                </w:tcPr>
                <w:p w14:paraId="0FF51E5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500</w:t>
                  </w:r>
                </w:p>
              </w:tc>
              <w:tc>
                <w:tcPr>
                  <w:tcW w:w="535" w:type="pct"/>
                  <w:shd w:val="clear" w:color="auto" w:fill="auto"/>
                  <w:vAlign w:val="center"/>
                </w:tcPr>
                <w:p w14:paraId="48F16A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350</w:t>
                  </w:r>
                </w:p>
              </w:tc>
              <w:tc>
                <w:tcPr>
                  <w:tcW w:w="522" w:type="pct"/>
                  <w:shd w:val="clear" w:color="auto" w:fill="auto"/>
                  <w:vAlign w:val="center"/>
                </w:tcPr>
                <w:p w14:paraId="380A204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400</w:t>
                  </w:r>
                </w:p>
              </w:tc>
              <w:tc>
                <w:tcPr>
                  <w:tcW w:w="584" w:type="pct"/>
                  <w:shd w:val="clear" w:color="auto" w:fill="auto"/>
                  <w:vAlign w:val="center"/>
                </w:tcPr>
                <w:p w14:paraId="28782AA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45</w:t>
                  </w:r>
                </w:p>
              </w:tc>
              <w:tc>
                <w:tcPr>
                  <w:tcW w:w="745" w:type="pct"/>
                  <w:shd w:val="clear" w:color="auto" w:fill="auto"/>
                  <w:vAlign w:val="center"/>
                </w:tcPr>
                <w:p w14:paraId="4DCF84B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100</w:t>
                  </w:r>
                </w:p>
              </w:tc>
            </w:tr>
            <w:tr w14:paraId="1842D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90" w:type="pct"/>
                  <w:gridSpan w:val="2"/>
                  <w:shd w:val="clear" w:color="auto" w:fill="auto"/>
                  <w:vAlign w:val="center"/>
                </w:tcPr>
                <w:p w14:paraId="2772FD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壶关县第二污水处理厂进水水质指标</w:t>
                  </w:r>
                </w:p>
              </w:tc>
              <w:tc>
                <w:tcPr>
                  <w:tcW w:w="522" w:type="pct"/>
                  <w:shd w:val="clear" w:color="auto" w:fill="auto"/>
                  <w:vAlign w:val="center"/>
                </w:tcPr>
                <w:p w14:paraId="28B5EE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500</w:t>
                  </w:r>
                </w:p>
              </w:tc>
              <w:tc>
                <w:tcPr>
                  <w:tcW w:w="535" w:type="pct"/>
                  <w:shd w:val="clear" w:color="auto" w:fill="auto"/>
                  <w:vAlign w:val="center"/>
                </w:tcPr>
                <w:p w14:paraId="54C4EE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22" w:type="pct"/>
                  <w:shd w:val="clear" w:color="auto" w:fill="auto"/>
                  <w:vAlign w:val="center"/>
                </w:tcPr>
                <w:p w14:paraId="5916311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eastAsia" w:cs="Times New Roman"/>
                      <w:i w:val="0"/>
                      <w:iCs w:val="0"/>
                      <w:color w:val="auto"/>
                      <w:kern w:val="0"/>
                      <w:sz w:val="21"/>
                      <w:szCs w:val="21"/>
                      <w:highlight w:val="none"/>
                      <w:u w:val="none"/>
                      <w:lang w:val="en-US" w:eastAsia="zh-CN" w:bidi="ar"/>
                    </w:rPr>
                    <w:t>335</w:t>
                  </w:r>
                </w:p>
              </w:tc>
              <w:tc>
                <w:tcPr>
                  <w:tcW w:w="584" w:type="pct"/>
                  <w:shd w:val="clear" w:color="auto" w:fill="auto"/>
                  <w:vAlign w:val="center"/>
                </w:tcPr>
                <w:p w14:paraId="2A5703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eastAsia" w:cs="Times New Roman"/>
                      <w:i w:val="0"/>
                      <w:iCs w:val="0"/>
                      <w:color w:val="auto"/>
                      <w:kern w:val="0"/>
                      <w:sz w:val="21"/>
                      <w:szCs w:val="21"/>
                      <w:highlight w:val="none"/>
                      <w:u w:val="none"/>
                      <w:lang w:val="en-US" w:eastAsia="zh-CN" w:bidi="ar"/>
                    </w:rPr>
                    <w:t>120</w:t>
                  </w:r>
                </w:p>
              </w:tc>
              <w:tc>
                <w:tcPr>
                  <w:tcW w:w="745" w:type="pct"/>
                  <w:shd w:val="clear" w:color="auto" w:fill="auto"/>
                  <w:vAlign w:val="center"/>
                </w:tcPr>
                <w:p w14:paraId="6C89E60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r>
          </w:tbl>
          <w:p w14:paraId="52571574">
            <w:pPr>
              <w:pStyle w:val="31"/>
              <w:keepNext w:val="0"/>
              <w:keepLines w:val="0"/>
              <w:pageBreakBefore w:val="0"/>
              <w:widowControl w:val="0"/>
              <w:kinsoku/>
              <w:wordWrap/>
              <w:overflowPunct/>
              <w:topLinePunct w:val="0"/>
              <w:autoSpaceDE/>
              <w:autoSpaceDN/>
              <w:bidi w:val="0"/>
              <w:adjustRightInd/>
              <w:snapToGrid/>
              <w:spacing w:beforeLines="0" w:afterLines="0" w:line="360" w:lineRule="auto"/>
              <w:jc w:val="left"/>
              <w:textAlignment w:val="auto"/>
              <w:rPr>
                <w:rFonts w:hint="default" w:ascii="Times New Roman" w:hAnsi="Times New Roman" w:eastAsia="宋体" w:cs="Times New Roman"/>
                <w:b w:val="0"/>
                <w:bCs/>
                <w:color w:val="auto"/>
                <w:highlight w:val="none"/>
                <w:lang w:val="en-US" w:eastAsia="zh-CN"/>
              </w:rPr>
            </w:pPr>
            <w:r>
              <w:rPr>
                <w:rFonts w:hint="default" w:ascii="Times New Roman" w:hAnsi="Times New Roman" w:eastAsia="宋体" w:cs="Times New Roman"/>
                <w:b w:val="0"/>
                <w:bCs/>
                <w:color w:val="auto"/>
                <w:highlight w:val="none"/>
                <w:lang w:val="en-US" w:eastAsia="zh-CN"/>
              </w:rPr>
              <w:t>由上表可知，本项目总排口废水污染物排放浓度为COD</w:t>
            </w:r>
            <w:r>
              <w:rPr>
                <w:rFonts w:hint="eastAsia" w:ascii="Times New Roman" w:hAnsi="Times New Roman" w:eastAsia="宋体" w:cs="Times New Roman"/>
                <w:b w:val="0"/>
                <w:bCs/>
                <w:color w:val="auto"/>
                <w:highlight w:val="none"/>
                <w:lang w:val="en-US" w:eastAsia="zh-CN"/>
              </w:rPr>
              <w:t xml:space="preserve"> 401.66</w:t>
            </w:r>
            <w:r>
              <w:rPr>
                <w:rFonts w:hint="default" w:ascii="Times New Roman" w:hAnsi="Times New Roman" w:eastAsia="宋体" w:cs="Times New Roman"/>
                <w:b w:val="0"/>
                <w:bCs/>
                <w:color w:val="auto"/>
                <w:highlight w:val="none"/>
                <w:lang w:val="en-US" w:eastAsia="zh-CN"/>
              </w:rPr>
              <w:t>mg/L、BOD</w:t>
            </w:r>
            <w:r>
              <w:rPr>
                <w:rFonts w:hint="default" w:ascii="Times New Roman" w:hAnsi="Times New Roman" w:eastAsia="宋体" w:cs="Times New Roman"/>
                <w:b w:val="0"/>
                <w:bCs/>
                <w:color w:val="auto"/>
                <w:highlight w:val="none"/>
                <w:vertAlign w:val="subscript"/>
                <w:lang w:val="en-US" w:eastAsia="zh-CN"/>
              </w:rPr>
              <w:t>5</w:t>
            </w:r>
            <w:r>
              <w:rPr>
                <w:rFonts w:hint="eastAsia" w:ascii="Times New Roman" w:hAnsi="Times New Roman" w:eastAsia="宋体" w:cs="Times New Roman"/>
                <w:b w:val="0"/>
                <w:bCs/>
                <w:color w:val="auto"/>
                <w:highlight w:val="none"/>
                <w:vertAlign w:val="subscript"/>
                <w:lang w:val="en-US" w:eastAsia="zh-CN"/>
              </w:rPr>
              <w:t xml:space="preserve"> </w:t>
            </w:r>
            <w:r>
              <w:rPr>
                <w:rFonts w:hint="eastAsia" w:ascii="Times New Roman" w:hAnsi="Times New Roman" w:eastAsia="宋体" w:cs="Times New Roman"/>
                <w:b w:val="0"/>
                <w:bCs/>
                <w:color w:val="auto"/>
                <w:highlight w:val="none"/>
                <w:lang w:val="en-US" w:eastAsia="zh-CN"/>
              </w:rPr>
              <w:t>193.4</w:t>
            </w:r>
            <w:r>
              <w:rPr>
                <w:rFonts w:hint="default" w:ascii="Times New Roman" w:hAnsi="Times New Roman" w:eastAsia="宋体" w:cs="Times New Roman"/>
                <w:b w:val="0"/>
                <w:bCs/>
                <w:color w:val="auto"/>
                <w:highlight w:val="none"/>
                <w:lang w:val="en-US" w:eastAsia="zh-CN"/>
              </w:rPr>
              <w:t>mg/L、SS</w:t>
            </w:r>
            <w:r>
              <w:rPr>
                <w:rFonts w:hint="eastAsia" w:ascii="Times New Roman" w:hAnsi="Times New Roman" w:eastAsia="宋体" w:cs="Times New Roman"/>
                <w:b w:val="0"/>
                <w:bCs/>
                <w:color w:val="auto"/>
                <w:highlight w:val="none"/>
                <w:lang w:val="en-US" w:eastAsia="zh-CN"/>
              </w:rPr>
              <w:t xml:space="preserve"> 158.85</w:t>
            </w:r>
            <w:r>
              <w:rPr>
                <w:rFonts w:hint="default" w:ascii="Times New Roman" w:hAnsi="Times New Roman" w:eastAsia="宋体" w:cs="Times New Roman"/>
                <w:b w:val="0"/>
                <w:bCs/>
                <w:color w:val="auto"/>
                <w:highlight w:val="none"/>
                <w:lang w:val="en-US" w:eastAsia="zh-CN"/>
              </w:rPr>
              <w:t>mg/L、</w:t>
            </w:r>
            <w:r>
              <w:rPr>
                <w:rFonts w:hint="default" w:ascii="Times New Roman" w:hAnsi="Times New Roman" w:eastAsia="宋体" w:cs="Times New Roman"/>
                <w:b w:val="0"/>
                <w:bCs/>
                <w:color w:val="auto"/>
                <w:highlight w:val="none"/>
                <w:lang w:val="en-US" w:eastAsia="en-US"/>
              </w:rPr>
              <w:t>NH</w:t>
            </w:r>
            <w:r>
              <w:rPr>
                <w:rFonts w:hint="default" w:ascii="Times New Roman" w:hAnsi="Times New Roman" w:eastAsia="宋体" w:cs="Times New Roman"/>
                <w:b w:val="0"/>
                <w:bCs/>
                <w:color w:val="auto"/>
                <w:highlight w:val="none"/>
                <w:vertAlign w:val="subscript"/>
                <w:lang w:val="en-US" w:eastAsia="en-US"/>
              </w:rPr>
              <w:t>3</w:t>
            </w:r>
            <w:r>
              <w:rPr>
                <w:rFonts w:hint="default" w:ascii="Times New Roman" w:hAnsi="Times New Roman" w:eastAsia="宋体" w:cs="Times New Roman"/>
                <w:b w:val="0"/>
                <w:bCs/>
                <w:color w:val="auto"/>
                <w:highlight w:val="none"/>
                <w:lang w:val="en-US" w:eastAsia="en-US"/>
              </w:rPr>
              <w:t>-N</w:t>
            </w:r>
            <w:r>
              <w:rPr>
                <w:rFonts w:hint="eastAsia" w:ascii="Times New Roman" w:hAnsi="Times New Roman" w:eastAsia="宋体" w:cs="Times New Roman"/>
                <w:b w:val="0"/>
                <w:bCs/>
                <w:color w:val="auto"/>
                <w:highlight w:val="none"/>
                <w:lang w:val="en-US" w:eastAsia="zh-CN"/>
              </w:rPr>
              <w:t xml:space="preserve"> 25.53</w:t>
            </w:r>
            <w:r>
              <w:rPr>
                <w:rFonts w:hint="default" w:ascii="Times New Roman" w:hAnsi="Times New Roman" w:eastAsia="宋体" w:cs="Times New Roman"/>
                <w:b w:val="0"/>
                <w:bCs/>
                <w:color w:val="auto"/>
                <w:highlight w:val="none"/>
                <w:lang w:val="en-US" w:eastAsia="zh-CN"/>
              </w:rPr>
              <w:t>mg/L、动植物油</w:t>
            </w:r>
            <w:r>
              <w:rPr>
                <w:rFonts w:hint="eastAsia" w:ascii="Times New Roman" w:hAnsi="Times New Roman" w:eastAsia="宋体" w:cs="Times New Roman"/>
                <w:b w:val="0"/>
                <w:bCs/>
                <w:color w:val="auto"/>
                <w:highlight w:val="none"/>
                <w:lang w:val="en-US" w:eastAsia="zh-CN"/>
              </w:rPr>
              <w:t>2.19</w:t>
            </w:r>
            <w:r>
              <w:rPr>
                <w:rFonts w:hint="default" w:ascii="Times New Roman" w:hAnsi="Times New Roman" w:eastAsia="宋体" w:cs="Times New Roman"/>
                <w:b w:val="0"/>
                <w:bCs/>
                <w:color w:val="auto"/>
                <w:highlight w:val="none"/>
                <w:lang w:val="en-US" w:eastAsia="zh-CN"/>
              </w:rPr>
              <w:t>mg/L；污染物排放量为COD</w:t>
            </w:r>
            <w:r>
              <w:rPr>
                <w:rFonts w:hint="eastAsia" w:ascii="Times New Roman" w:hAnsi="Times New Roman" w:eastAsia="宋体" w:cs="Times New Roman"/>
                <w:b w:val="0"/>
                <w:bCs/>
                <w:color w:val="auto"/>
                <w:highlight w:val="none"/>
                <w:lang w:val="en-US" w:eastAsia="zh-CN"/>
              </w:rPr>
              <w:t xml:space="preserve"> 18.03</w:t>
            </w:r>
            <w:r>
              <w:rPr>
                <w:rFonts w:hint="default" w:ascii="Times New Roman" w:hAnsi="Times New Roman" w:eastAsia="宋体" w:cs="Times New Roman"/>
                <w:b w:val="0"/>
                <w:bCs/>
                <w:color w:val="auto"/>
                <w:highlight w:val="none"/>
                <w:lang w:val="en-US" w:eastAsia="zh-CN"/>
              </w:rPr>
              <w:t>t/a、BOD</w:t>
            </w:r>
            <w:r>
              <w:rPr>
                <w:rFonts w:hint="default" w:ascii="Times New Roman" w:hAnsi="Times New Roman" w:eastAsia="宋体" w:cs="Times New Roman"/>
                <w:b w:val="0"/>
                <w:bCs/>
                <w:color w:val="auto"/>
                <w:highlight w:val="none"/>
                <w:vertAlign w:val="subscript"/>
                <w:lang w:val="en-US" w:eastAsia="zh-CN"/>
              </w:rPr>
              <w:t>5</w:t>
            </w:r>
            <w:r>
              <w:rPr>
                <w:rFonts w:hint="eastAsia" w:ascii="Times New Roman" w:hAnsi="Times New Roman" w:eastAsia="宋体" w:cs="Times New Roman"/>
                <w:b w:val="0"/>
                <w:bCs/>
                <w:color w:val="auto"/>
                <w:highlight w:val="none"/>
                <w:vertAlign w:val="subscript"/>
                <w:lang w:val="en-US" w:eastAsia="zh-CN"/>
              </w:rPr>
              <w:t xml:space="preserve"> </w:t>
            </w:r>
            <w:r>
              <w:rPr>
                <w:rFonts w:hint="eastAsia" w:ascii="Times New Roman" w:hAnsi="Times New Roman" w:eastAsia="宋体" w:cs="Times New Roman"/>
                <w:b w:val="0"/>
                <w:bCs/>
                <w:color w:val="auto"/>
                <w:highlight w:val="none"/>
                <w:lang w:val="en-US" w:eastAsia="zh-CN"/>
              </w:rPr>
              <w:t>8.68</w:t>
            </w:r>
            <w:r>
              <w:rPr>
                <w:rFonts w:hint="default" w:ascii="Times New Roman" w:hAnsi="Times New Roman" w:eastAsia="宋体" w:cs="Times New Roman"/>
                <w:b w:val="0"/>
                <w:bCs/>
                <w:color w:val="auto"/>
                <w:highlight w:val="none"/>
                <w:lang w:val="en-US" w:eastAsia="zh-CN"/>
              </w:rPr>
              <w:t>t/a、SS</w:t>
            </w:r>
            <w:r>
              <w:rPr>
                <w:rFonts w:hint="eastAsia" w:ascii="Times New Roman" w:hAnsi="Times New Roman" w:eastAsia="宋体" w:cs="Times New Roman"/>
                <w:b w:val="0"/>
                <w:bCs/>
                <w:color w:val="auto"/>
                <w:highlight w:val="none"/>
                <w:lang w:val="en-US" w:eastAsia="zh-CN"/>
              </w:rPr>
              <w:t xml:space="preserve"> 7.13</w:t>
            </w:r>
            <w:r>
              <w:rPr>
                <w:rFonts w:hint="default" w:ascii="Times New Roman" w:hAnsi="Times New Roman" w:eastAsia="宋体" w:cs="Times New Roman"/>
                <w:b w:val="0"/>
                <w:bCs/>
                <w:color w:val="auto"/>
                <w:highlight w:val="none"/>
                <w:lang w:val="en-US" w:eastAsia="zh-CN"/>
              </w:rPr>
              <w:t>t/a、</w:t>
            </w:r>
            <w:r>
              <w:rPr>
                <w:rFonts w:hint="default" w:ascii="Times New Roman" w:hAnsi="Times New Roman" w:eastAsia="宋体" w:cs="Times New Roman"/>
                <w:b w:val="0"/>
                <w:bCs/>
                <w:color w:val="auto"/>
                <w:highlight w:val="none"/>
                <w:lang w:val="en-US" w:eastAsia="en-US"/>
              </w:rPr>
              <w:t>NH</w:t>
            </w:r>
            <w:r>
              <w:rPr>
                <w:rFonts w:hint="default" w:ascii="Times New Roman" w:hAnsi="Times New Roman" w:eastAsia="宋体" w:cs="Times New Roman"/>
                <w:b w:val="0"/>
                <w:bCs/>
                <w:color w:val="auto"/>
                <w:highlight w:val="none"/>
                <w:vertAlign w:val="subscript"/>
                <w:lang w:val="en-US" w:eastAsia="en-US"/>
              </w:rPr>
              <w:t>3</w:t>
            </w:r>
            <w:r>
              <w:rPr>
                <w:rFonts w:hint="default" w:ascii="Times New Roman" w:hAnsi="Times New Roman" w:eastAsia="宋体" w:cs="Times New Roman"/>
                <w:b w:val="0"/>
                <w:bCs/>
                <w:color w:val="auto"/>
                <w:highlight w:val="none"/>
                <w:lang w:val="en-US" w:eastAsia="en-US"/>
              </w:rPr>
              <w:t>-N</w:t>
            </w:r>
            <w:r>
              <w:rPr>
                <w:rFonts w:hint="eastAsia" w:ascii="Times New Roman" w:hAnsi="Times New Roman" w:eastAsia="宋体" w:cs="Times New Roman"/>
                <w:b w:val="0"/>
                <w:bCs/>
                <w:color w:val="auto"/>
                <w:highlight w:val="none"/>
                <w:lang w:val="en-US" w:eastAsia="zh-CN"/>
              </w:rPr>
              <w:t xml:space="preserve"> 1.15</w:t>
            </w:r>
            <w:r>
              <w:rPr>
                <w:rFonts w:hint="default" w:ascii="Times New Roman" w:hAnsi="Times New Roman" w:eastAsia="宋体" w:cs="Times New Roman"/>
                <w:b w:val="0"/>
                <w:bCs/>
                <w:color w:val="auto"/>
                <w:highlight w:val="none"/>
                <w:lang w:val="en-US" w:eastAsia="zh-CN"/>
              </w:rPr>
              <w:t>t/a、动植物油</w:t>
            </w:r>
            <w:r>
              <w:rPr>
                <w:rFonts w:hint="eastAsia" w:ascii="Times New Roman" w:hAnsi="Times New Roman" w:eastAsia="宋体" w:cs="Times New Roman"/>
                <w:b w:val="0"/>
                <w:bCs/>
                <w:color w:val="auto"/>
                <w:highlight w:val="none"/>
                <w:lang w:val="en-US" w:eastAsia="zh-CN"/>
              </w:rPr>
              <w:t>0.1</w:t>
            </w:r>
            <w:r>
              <w:rPr>
                <w:rFonts w:hint="default" w:ascii="Times New Roman" w:hAnsi="Times New Roman" w:eastAsia="宋体" w:cs="Times New Roman"/>
                <w:b w:val="0"/>
                <w:bCs/>
                <w:color w:val="auto"/>
                <w:highlight w:val="none"/>
                <w:lang w:val="en-US" w:eastAsia="zh-CN"/>
              </w:rPr>
              <w:t>t/a。本项目校区总排口排放各污染物浓度均能满足《污水排入城镇下水道水质标准》（GB/T31962-2015）</w:t>
            </w:r>
            <w:r>
              <w:rPr>
                <w:rFonts w:hint="eastAsia" w:ascii="Times New Roman" w:hAnsi="Times New Roman" w:eastAsia="宋体" w:cs="Times New Roman"/>
                <w:b w:val="0"/>
                <w:bCs/>
                <w:color w:val="auto"/>
                <w:highlight w:val="none"/>
                <w:lang w:val="en-US" w:eastAsia="zh-CN"/>
              </w:rPr>
              <w:t>A</w:t>
            </w:r>
            <w:r>
              <w:rPr>
                <w:rFonts w:hint="default" w:ascii="Times New Roman" w:hAnsi="Times New Roman" w:eastAsia="宋体" w:cs="Times New Roman"/>
                <w:b w:val="0"/>
                <w:bCs/>
                <w:color w:val="auto"/>
                <w:highlight w:val="none"/>
                <w:lang w:val="en-US" w:eastAsia="zh-CN"/>
              </w:rPr>
              <w:t>级标准及</w:t>
            </w:r>
            <w:r>
              <w:rPr>
                <w:rFonts w:hint="eastAsia" w:ascii="Times New Roman" w:hAnsi="Times New Roman" w:eastAsia="宋体" w:cs="Times New Roman"/>
                <w:b w:val="0"/>
                <w:bCs/>
                <w:color w:val="auto"/>
                <w:highlight w:val="none"/>
                <w:lang w:val="en-US" w:eastAsia="zh-CN"/>
              </w:rPr>
              <w:t>壶关县第二污水处理厂</w:t>
            </w:r>
            <w:r>
              <w:rPr>
                <w:rFonts w:hint="default" w:ascii="Times New Roman" w:hAnsi="Times New Roman" w:eastAsia="宋体" w:cs="Times New Roman"/>
                <w:b w:val="0"/>
                <w:bCs/>
                <w:color w:val="auto"/>
                <w:highlight w:val="none"/>
                <w:lang w:val="en-US" w:eastAsia="zh-CN"/>
              </w:rPr>
              <w:t>进水水质要求。</w:t>
            </w:r>
          </w:p>
          <w:p w14:paraId="7CBFC1E0">
            <w:pPr>
              <w:pStyle w:val="4"/>
              <w:keepNext/>
              <w:keepLines/>
              <w:pageBreakBefore w:val="0"/>
              <w:widowControl w:val="0"/>
              <w:kinsoku/>
              <w:wordWrap/>
              <w:overflowPunct/>
              <w:topLinePunct w:val="0"/>
              <w:autoSpaceDE/>
              <w:autoSpaceDN/>
              <w:bidi w:val="0"/>
              <w:adjustRightInd/>
              <w:snapToGrid/>
              <w:spacing w:before="0" w:beforeLines="0" w:after="0" w:afterLines="0"/>
              <w:ind w:left="0" w:firstLine="482" w:firstLineChars="200"/>
              <w:jc w:val="left"/>
              <w:textAlignment w:val="auto"/>
              <w:rPr>
                <w:rFonts w:hint="default" w:ascii="Times New Roman" w:hAnsi="Times New Roman" w:eastAsia="宋体" w:cs="Times New Roman"/>
                <w:b/>
                <w:bCs/>
                <w:color w:val="auto"/>
                <w:sz w:val="24"/>
                <w:szCs w:val="24"/>
                <w:highlight w:val="none"/>
                <w:lang w:val="en-US" w:eastAsia="zh-CN"/>
              </w:rPr>
            </w:pPr>
            <w:r>
              <w:rPr>
                <w:rFonts w:hint="eastAsia" w:eastAsia="宋体" w:cs="Times New Roman"/>
                <w:b/>
                <w:bCs/>
                <w:color w:val="auto"/>
                <w:sz w:val="24"/>
                <w:szCs w:val="24"/>
                <w:highlight w:val="none"/>
                <w:lang w:val="en-US" w:eastAsia="zh-CN"/>
              </w:rPr>
              <w:t>排入壶关县第二污水处理厂可行性分析</w:t>
            </w:r>
          </w:p>
          <w:p w14:paraId="15BE44A4">
            <w:pPr>
              <w:rPr>
                <w:rFonts w:hint="default"/>
                <w:color w:val="auto"/>
                <w:highlight w:val="none"/>
                <w:lang w:val="en-US" w:eastAsia="zh-CN"/>
              </w:rPr>
            </w:pPr>
            <w:r>
              <w:rPr>
                <w:rFonts w:hint="default"/>
                <w:color w:val="auto"/>
                <w:highlight w:val="none"/>
                <w:lang w:val="en-US" w:eastAsia="zh-CN"/>
              </w:rPr>
              <w:t>本项目废水经预处理后可满足《污水排入城镇下水道水质标准》（GB/T31962-2015）A级标准及壶关县第二污水处理厂进水水质要求。壶关县第二污水处理厂设计处理规模7500m</w:t>
            </w:r>
            <w:r>
              <w:rPr>
                <w:rFonts w:hint="eastAsia"/>
                <w:color w:val="auto"/>
                <w:highlight w:val="none"/>
                <w:vertAlign w:val="superscript"/>
                <w:lang w:val="en-US" w:eastAsia="zh-CN"/>
              </w:rPr>
              <w:t>3</w:t>
            </w:r>
            <w:r>
              <w:rPr>
                <w:rFonts w:hint="default"/>
                <w:color w:val="auto"/>
                <w:highlight w:val="none"/>
                <w:lang w:val="en-US" w:eastAsia="zh-CN"/>
              </w:rPr>
              <w:t>/d，当前实际处理量5000m</w:t>
            </w:r>
            <w:r>
              <w:rPr>
                <w:rFonts w:hint="eastAsia"/>
                <w:color w:val="auto"/>
                <w:highlight w:val="none"/>
                <w:vertAlign w:val="superscript"/>
                <w:lang w:val="en-US" w:eastAsia="zh-CN"/>
              </w:rPr>
              <w:t>3</w:t>
            </w:r>
            <w:r>
              <w:rPr>
                <w:rFonts w:hint="default"/>
                <w:color w:val="auto"/>
                <w:highlight w:val="none"/>
                <w:lang w:val="en-US" w:eastAsia="zh-CN"/>
              </w:rPr>
              <w:t>/d，剩余处理能力充足，采用“格栅+调节池+A</w:t>
            </w:r>
            <w:r>
              <w:rPr>
                <w:rFonts w:hint="eastAsia"/>
                <w:color w:val="auto"/>
                <w:highlight w:val="none"/>
                <w:vertAlign w:val="superscript"/>
                <w:lang w:val="en-US" w:eastAsia="zh-CN"/>
              </w:rPr>
              <w:t>2</w:t>
            </w:r>
            <w:r>
              <w:rPr>
                <w:rFonts w:hint="default"/>
                <w:color w:val="auto"/>
                <w:highlight w:val="none"/>
                <w:lang w:val="en-US" w:eastAsia="zh-CN"/>
              </w:rPr>
              <w:t>/O+A/O+MBR膜+消毒”成熟工艺，出水可稳定达到《山西省污水综合排放标准》（DB14/1928-2019）地表水Ⅴ类（COD、氨氮、总磷）及《城镇污水处理厂污染物排放标准》（GB18918-2002）一级A标准要求。本项目废水排放量224.47m</w:t>
            </w:r>
            <w:r>
              <w:rPr>
                <w:rFonts w:hint="eastAsia"/>
                <w:color w:val="auto"/>
                <w:highlight w:val="none"/>
                <w:vertAlign w:val="superscript"/>
                <w:lang w:val="en-US" w:eastAsia="zh-CN"/>
              </w:rPr>
              <w:t>3</w:t>
            </w:r>
            <w:r>
              <w:rPr>
                <w:rFonts w:hint="eastAsia"/>
                <w:color w:val="auto"/>
                <w:highlight w:val="none"/>
                <w:vertAlign w:val="baseline"/>
                <w:lang w:val="en-US" w:eastAsia="zh-CN"/>
              </w:rPr>
              <w:t>/d</w:t>
            </w:r>
            <w:r>
              <w:rPr>
                <w:rFonts w:hint="default"/>
                <w:color w:val="auto"/>
                <w:highlight w:val="none"/>
                <w:lang w:val="en-US" w:eastAsia="zh-CN"/>
              </w:rPr>
              <w:t>，占污水处理厂</w:t>
            </w:r>
            <w:r>
              <w:rPr>
                <w:rFonts w:hint="eastAsia"/>
                <w:color w:val="auto"/>
                <w:highlight w:val="none"/>
                <w:lang w:val="en-US" w:eastAsia="zh-CN"/>
              </w:rPr>
              <w:t>剩余</w:t>
            </w:r>
            <w:r>
              <w:rPr>
                <w:rFonts w:hint="default"/>
                <w:color w:val="auto"/>
                <w:highlight w:val="none"/>
                <w:lang w:val="en-US" w:eastAsia="zh-CN"/>
              </w:rPr>
              <w:t>规模的</w:t>
            </w:r>
            <w:r>
              <w:rPr>
                <w:rFonts w:hint="eastAsia"/>
                <w:color w:val="auto"/>
                <w:highlight w:val="none"/>
                <w:lang w:val="en-US" w:eastAsia="zh-CN"/>
              </w:rPr>
              <w:t>8.98</w:t>
            </w:r>
            <w:r>
              <w:rPr>
                <w:rFonts w:hint="default"/>
                <w:color w:val="auto"/>
                <w:highlight w:val="none"/>
                <w:lang w:val="en-US" w:eastAsia="zh-CN"/>
              </w:rPr>
              <w:t>%，接纳余量充足；区域污水管网已覆盖项目选址，废水可顺利接入</w:t>
            </w:r>
            <w:r>
              <w:rPr>
                <w:rFonts w:hint="eastAsia"/>
                <w:color w:val="auto"/>
                <w:highlight w:val="none"/>
                <w:lang w:val="en-US" w:eastAsia="zh-CN"/>
              </w:rPr>
              <w:t>市政污水管网</w:t>
            </w:r>
            <w:r>
              <w:rPr>
                <w:rFonts w:hint="default"/>
                <w:color w:val="auto"/>
                <w:highlight w:val="none"/>
                <w:lang w:val="en-US" w:eastAsia="zh-CN"/>
              </w:rPr>
              <w:t>，污水排放可行。</w:t>
            </w:r>
          </w:p>
          <w:p w14:paraId="1AFF3C50">
            <w:pPr>
              <w:pStyle w:val="3"/>
              <w:keepNext w:val="0"/>
              <w:keepLines w:val="0"/>
              <w:pageBreakBefore w:val="0"/>
              <w:widowControl w:val="0"/>
              <w:kinsoku/>
              <w:wordWrap/>
              <w:overflowPunct/>
              <w:topLinePunct w:val="0"/>
              <w:autoSpaceDE/>
              <w:autoSpaceDN/>
              <w:bidi w:val="0"/>
              <w:adjustRightInd/>
              <w:snapToGrid/>
              <w:ind w:left="0" w:leftChars="0" w:firstLine="482" w:firstLineChars="200"/>
              <w:jc w:val="left"/>
              <w:textAlignment w:val="auto"/>
              <w:rPr>
                <w:rFonts w:hint="eastAsia"/>
                <w:b/>
                <w:bCs/>
                <w:color w:val="auto"/>
                <w:highlight w:val="none"/>
                <w:lang w:val="en-US" w:eastAsia="zh-CN"/>
              </w:rPr>
            </w:pPr>
            <w:bookmarkStart w:id="47" w:name="_Toc1040"/>
            <w:bookmarkStart w:id="48" w:name="_Toc10050"/>
            <w:r>
              <w:rPr>
                <w:rFonts w:hint="eastAsia"/>
                <w:b/>
                <w:bCs/>
                <w:color w:val="auto"/>
                <w:highlight w:val="none"/>
                <w:lang w:val="en-US" w:eastAsia="zh-CN"/>
              </w:rPr>
              <w:t>噪声</w:t>
            </w:r>
            <w:bookmarkEnd w:id="47"/>
            <w:bookmarkEnd w:id="48"/>
          </w:p>
          <w:p w14:paraId="306589D3">
            <w:pPr>
              <w:numPr>
                <w:ilvl w:val="0"/>
                <w:numId w:val="12"/>
              </w:numPr>
              <w:bidi w:val="0"/>
              <w:jc w:val="left"/>
              <w:rPr>
                <w:rFonts w:hint="eastAsia"/>
                <w:color w:val="auto"/>
                <w:highlight w:val="none"/>
                <w:lang w:eastAsia="zh-CN"/>
              </w:rPr>
            </w:pPr>
            <w:r>
              <w:rPr>
                <w:rFonts w:hint="eastAsia"/>
                <w:color w:val="auto"/>
                <w:highlight w:val="none"/>
                <w:lang w:eastAsia="zh-CN"/>
              </w:rPr>
              <w:t>噪声源</w:t>
            </w:r>
          </w:p>
          <w:p w14:paraId="357D1609">
            <w:pPr>
              <w:bidi w:val="0"/>
              <w:jc w:val="left"/>
              <w:rPr>
                <w:rFonts w:hint="eastAsia"/>
                <w:color w:val="auto"/>
                <w:highlight w:val="none"/>
                <w:lang w:eastAsia="zh-CN"/>
              </w:rPr>
            </w:pPr>
            <w:r>
              <w:rPr>
                <w:rFonts w:hint="eastAsia"/>
                <w:color w:val="auto"/>
                <w:highlight w:val="none"/>
                <w:lang w:eastAsia="zh-CN"/>
              </w:rPr>
              <w:t>本项目噪声源主要为</w:t>
            </w:r>
            <w:r>
              <w:rPr>
                <w:rFonts w:hint="eastAsia"/>
                <w:color w:val="auto"/>
                <w:highlight w:val="none"/>
                <w:lang w:val="en-US" w:eastAsia="zh-CN"/>
              </w:rPr>
              <w:t>风机、水泵等</w:t>
            </w:r>
            <w:r>
              <w:rPr>
                <w:rFonts w:hint="eastAsia"/>
                <w:color w:val="auto"/>
                <w:highlight w:val="none"/>
                <w:lang w:eastAsia="zh-CN"/>
              </w:rPr>
              <w:t>产生的噪声，噪声源强为</w:t>
            </w:r>
            <w:r>
              <w:rPr>
                <w:rFonts w:hint="eastAsia"/>
                <w:color w:val="auto"/>
                <w:highlight w:val="none"/>
                <w:lang w:val="en-US" w:eastAsia="zh-CN"/>
              </w:rPr>
              <w:t>80~85</w:t>
            </w:r>
            <w:r>
              <w:rPr>
                <w:rFonts w:hint="eastAsia"/>
                <w:color w:val="auto"/>
                <w:highlight w:val="none"/>
                <w:lang w:eastAsia="zh-CN"/>
              </w:rPr>
              <w:t>dB(A)，连续运行。</w:t>
            </w:r>
          </w:p>
          <w:p w14:paraId="64DD8458">
            <w:pPr>
              <w:pStyle w:val="12"/>
              <w:keepNext w:val="0"/>
              <w:keepLines w:val="0"/>
              <w:pageBreakBefore w:val="0"/>
              <w:wordWrap/>
              <w:overflowPunct/>
              <w:topLinePunct w:val="0"/>
              <w:bidi w:val="0"/>
              <w:adjustRightInd/>
              <w:snapToGrid/>
              <w:spacing w:line="240" w:lineRule="auto"/>
              <w:ind w:firstLine="0" w:firstLineChars="0"/>
              <w:jc w:val="center"/>
              <w:rPr>
                <w:rFonts w:hint="eastAsia"/>
                <w:color w:val="auto"/>
                <w:highlight w:val="none"/>
                <w:lang w:eastAsia="zh-CN"/>
              </w:rPr>
            </w:pPr>
            <w:bookmarkStart w:id="49" w:name="_Ref1941"/>
            <w:r>
              <w:rPr>
                <w:rFonts w:hint="eastAsia"/>
                <w:color w:val="auto"/>
                <w:highlight w:val="none"/>
                <w:lang w:eastAsia="zh-CN"/>
              </w:rPr>
              <w:t>表</w:t>
            </w:r>
            <w:r>
              <w:rPr>
                <w:color w:val="auto"/>
                <w:highlight w:val="none"/>
              </w:rPr>
              <w:fldChar w:fldCharType="begin"/>
            </w:r>
            <w:r>
              <w:rPr>
                <w:color w:val="auto"/>
                <w:highlight w:val="none"/>
              </w:rPr>
              <w:instrText xml:space="preserve"> STYLEREF 1 \s </w:instrText>
            </w:r>
            <w:r>
              <w:rPr>
                <w:color w:val="auto"/>
                <w:highlight w:val="none"/>
              </w:rPr>
              <w:fldChar w:fldCharType="separate"/>
            </w:r>
            <w:r>
              <w:rPr>
                <w:color w:val="auto"/>
                <w:highlight w:val="none"/>
              </w:rPr>
              <w:t>4</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表 \* ARABIC \s 1 </w:instrText>
            </w:r>
            <w:r>
              <w:rPr>
                <w:color w:val="auto"/>
                <w:highlight w:val="none"/>
              </w:rPr>
              <w:fldChar w:fldCharType="separate"/>
            </w:r>
            <w:r>
              <w:rPr>
                <w:color w:val="auto"/>
                <w:highlight w:val="none"/>
              </w:rPr>
              <w:t>11</w:t>
            </w:r>
            <w:r>
              <w:rPr>
                <w:color w:val="auto"/>
                <w:highlight w:val="none"/>
              </w:rPr>
              <w:fldChar w:fldCharType="end"/>
            </w:r>
            <w:bookmarkEnd w:id="49"/>
            <w:r>
              <w:rPr>
                <w:rFonts w:hint="eastAsia"/>
                <w:color w:val="auto"/>
                <w:highlight w:val="none"/>
              </w:rPr>
              <w:t>工业企业噪声源强调查清单（</w:t>
            </w:r>
            <w:r>
              <w:rPr>
                <w:rFonts w:hint="eastAsia"/>
                <w:color w:val="auto"/>
                <w:highlight w:val="none"/>
                <w:lang w:val="en-US" w:eastAsia="zh-CN"/>
              </w:rPr>
              <w:t>室外</w:t>
            </w:r>
            <w:r>
              <w:rPr>
                <w:rFonts w:hint="eastAsia"/>
                <w:color w:val="auto"/>
                <w:highlight w:val="none"/>
              </w:rPr>
              <w:t>声源）</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
              <w:gridCol w:w="778"/>
              <w:gridCol w:w="986"/>
              <w:gridCol w:w="1098"/>
              <w:gridCol w:w="2799"/>
              <w:gridCol w:w="1238"/>
              <w:gridCol w:w="1239"/>
            </w:tblGrid>
            <w:tr w14:paraId="300D6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0" w:type="pct"/>
                  <w:vMerge w:val="restart"/>
                  <w:noWrap w:val="0"/>
                  <w:vAlign w:val="center"/>
                </w:tcPr>
                <w:p w14:paraId="6DAAF695">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default"/>
                      <w:color w:val="auto"/>
                      <w:highlight w:val="none"/>
                    </w:rPr>
                    <w:t>序号</w:t>
                  </w:r>
                </w:p>
              </w:tc>
              <w:tc>
                <w:tcPr>
                  <w:tcW w:w="452" w:type="pct"/>
                  <w:vMerge w:val="restart"/>
                  <w:noWrap w:val="0"/>
                  <w:vAlign w:val="center"/>
                </w:tcPr>
                <w:p w14:paraId="39D7572E">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default"/>
                      <w:color w:val="auto"/>
                      <w:highlight w:val="none"/>
                    </w:rPr>
                    <w:t>声源名称</w:t>
                  </w:r>
                </w:p>
              </w:tc>
              <w:tc>
                <w:tcPr>
                  <w:tcW w:w="573" w:type="pct"/>
                  <w:vMerge w:val="restart"/>
                  <w:noWrap w:val="0"/>
                  <w:vAlign w:val="center"/>
                </w:tcPr>
                <w:p w14:paraId="37D8519D">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数量/（台）</w:t>
                  </w:r>
                </w:p>
              </w:tc>
              <w:tc>
                <w:tcPr>
                  <w:tcW w:w="638" w:type="pct"/>
                  <w:noWrap w:val="0"/>
                  <w:vAlign w:val="center"/>
                </w:tcPr>
                <w:p w14:paraId="7B1208F7">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产生量</w:t>
                  </w:r>
                </w:p>
              </w:tc>
              <w:tc>
                <w:tcPr>
                  <w:tcW w:w="1626" w:type="pct"/>
                  <w:vMerge w:val="restart"/>
                  <w:noWrap w:val="0"/>
                  <w:vAlign w:val="center"/>
                </w:tcPr>
                <w:p w14:paraId="05C90961">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降噪</w:t>
                  </w:r>
                  <w:r>
                    <w:rPr>
                      <w:rFonts w:hint="default"/>
                      <w:color w:val="auto"/>
                      <w:highlight w:val="none"/>
                    </w:rPr>
                    <w:t>措施</w:t>
                  </w:r>
                </w:p>
              </w:tc>
              <w:tc>
                <w:tcPr>
                  <w:tcW w:w="719" w:type="pct"/>
                  <w:vMerge w:val="restart"/>
                  <w:noWrap w:val="0"/>
                  <w:vAlign w:val="center"/>
                </w:tcPr>
                <w:p w14:paraId="5745567E">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降噪效果</w:t>
                  </w:r>
                  <w:r>
                    <w:rPr>
                      <w:rFonts w:hint="default"/>
                      <w:color w:val="auto"/>
                      <w:highlight w:val="none"/>
                    </w:rPr>
                    <w:t>/dB</w:t>
                  </w:r>
                  <w:r>
                    <w:rPr>
                      <w:rFonts w:hint="eastAsia"/>
                      <w:color w:val="auto"/>
                      <w:highlight w:val="none"/>
                      <w:lang w:eastAsia="zh-CN"/>
                    </w:rPr>
                    <w:t>(A)</w:t>
                  </w:r>
                </w:p>
              </w:tc>
              <w:tc>
                <w:tcPr>
                  <w:tcW w:w="720" w:type="pct"/>
                  <w:noWrap w:val="0"/>
                  <w:vAlign w:val="center"/>
                </w:tcPr>
                <w:p w14:paraId="0D8E5944">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排放量</w:t>
                  </w:r>
                </w:p>
              </w:tc>
            </w:tr>
            <w:tr w14:paraId="06858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0" w:type="pct"/>
                  <w:vMerge w:val="continue"/>
                  <w:noWrap w:val="0"/>
                  <w:vAlign w:val="center"/>
                </w:tcPr>
                <w:p w14:paraId="77E9014F">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p>
              </w:tc>
              <w:tc>
                <w:tcPr>
                  <w:tcW w:w="452" w:type="pct"/>
                  <w:vMerge w:val="continue"/>
                  <w:noWrap w:val="0"/>
                  <w:vAlign w:val="center"/>
                </w:tcPr>
                <w:p w14:paraId="72681E3A">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p>
              </w:tc>
              <w:tc>
                <w:tcPr>
                  <w:tcW w:w="573" w:type="pct"/>
                  <w:vMerge w:val="continue"/>
                  <w:noWrap w:val="0"/>
                  <w:vAlign w:val="center"/>
                </w:tcPr>
                <w:p w14:paraId="20DB36AB">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p>
              </w:tc>
              <w:tc>
                <w:tcPr>
                  <w:tcW w:w="638" w:type="pct"/>
                  <w:noWrap w:val="0"/>
                  <w:vAlign w:val="center"/>
                </w:tcPr>
                <w:p w14:paraId="012A4B43">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声级水平</w:t>
                  </w:r>
                  <w:r>
                    <w:rPr>
                      <w:rFonts w:hint="default"/>
                      <w:color w:val="auto"/>
                      <w:highlight w:val="none"/>
                    </w:rPr>
                    <w:t>/dB</w:t>
                  </w:r>
                  <w:r>
                    <w:rPr>
                      <w:rFonts w:hint="eastAsia"/>
                      <w:color w:val="auto"/>
                      <w:highlight w:val="none"/>
                      <w:lang w:eastAsia="zh-CN"/>
                    </w:rPr>
                    <w:t>(A)</w:t>
                  </w:r>
                </w:p>
              </w:tc>
              <w:tc>
                <w:tcPr>
                  <w:tcW w:w="1626" w:type="pct"/>
                  <w:vMerge w:val="continue"/>
                  <w:noWrap w:val="0"/>
                  <w:vAlign w:val="center"/>
                </w:tcPr>
                <w:p w14:paraId="3C92F34A">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p>
              </w:tc>
              <w:tc>
                <w:tcPr>
                  <w:tcW w:w="719" w:type="pct"/>
                  <w:vMerge w:val="continue"/>
                  <w:noWrap w:val="0"/>
                  <w:vAlign w:val="center"/>
                </w:tcPr>
                <w:p w14:paraId="3EA4B943">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p>
              </w:tc>
              <w:tc>
                <w:tcPr>
                  <w:tcW w:w="720" w:type="pct"/>
                  <w:noWrap w:val="0"/>
                  <w:vAlign w:val="center"/>
                </w:tcPr>
                <w:p w14:paraId="6A1243D6">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声级水平</w:t>
                  </w:r>
                  <w:r>
                    <w:rPr>
                      <w:rFonts w:hint="default"/>
                      <w:color w:val="auto"/>
                      <w:highlight w:val="none"/>
                    </w:rPr>
                    <w:t>/dB</w:t>
                  </w:r>
                  <w:r>
                    <w:rPr>
                      <w:rFonts w:hint="eastAsia"/>
                      <w:color w:val="auto"/>
                      <w:highlight w:val="none"/>
                      <w:lang w:eastAsia="zh-CN"/>
                    </w:rPr>
                    <w:t>(A)</w:t>
                  </w:r>
                </w:p>
              </w:tc>
            </w:tr>
            <w:tr w14:paraId="15867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0" w:type="pct"/>
                  <w:noWrap w:val="0"/>
                  <w:vAlign w:val="center"/>
                </w:tcPr>
                <w:p w14:paraId="6C5340D1">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1</w:t>
                  </w:r>
                </w:p>
              </w:tc>
              <w:tc>
                <w:tcPr>
                  <w:tcW w:w="452" w:type="pct"/>
                  <w:noWrap w:val="0"/>
                  <w:vAlign w:val="center"/>
                </w:tcPr>
                <w:p w14:paraId="093384A4">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风机</w:t>
                  </w:r>
                </w:p>
              </w:tc>
              <w:tc>
                <w:tcPr>
                  <w:tcW w:w="573" w:type="pct"/>
                  <w:noWrap w:val="0"/>
                  <w:vAlign w:val="center"/>
                </w:tcPr>
                <w:p w14:paraId="6D3980CA">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2</w:t>
                  </w:r>
                </w:p>
              </w:tc>
              <w:tc>
                <w:tcPr>
                  <w:tcW w:w="638" w:type="pct"/>
                  <w:noWrap w:val="0"/>
                  <w:vAlign w:val="center"/>
                </w:tcPr>
                <w:p w14:paraId="6863F5E3">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85</w:t>
                  </w:r>
                </w:p>
              </w:tc>
              <w:tc>
                <w:tcPr>
                  <w:tcW w:w="1626" w:type="pct"/>
                  <w:vMerge w:val="restart"/>
                  <w:noWrap w:val="0"/>
                  <w:vAlign w:val="center"/>
                </w:tcPr>
                <w:p w14:paraId="0C90096E">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采用低噪声设备，软管连接，安装消声器，基础减振</w:t>
                  </w:r>
                </w:p>
              </w:tc>
              <w:tc>
                <w:tcPr>
                  <w:tcW w:w="719" w:type="pct"/>
                  <w:vMerge w:val="restart"/>
                  <w:shd w:val="clear" w:color="auto" w:fill="auto"/>
                  <w:noWrap w:val="0"/>
                  <w:vAlign w:val="center"/>
                </w:tcPr>
                <w:p w14:paraId="77372DB0">
                  <w:pPr>
                    <w:pStyle w:val="43"/>
                    <w:keepNext w:val="0"/>
                    <w:keepLines w:val="0"/>
                    <w:pageBreakBefore w:val="0"/>
                    <w:wordWrap/>
                    <w:overflowPunct/>
                    <w:topLinePunct w:val="0"/>
                    <w:bidi w:val="0"/>
                    <w:adjustRightInd/>
                    <w:snapToGrid/>
                    <w:spacing w:line="240" w:lineRule="auto"/>
                    <w:ind w:firstLine="0" w:firstLineChars="0"/>
                    <w:jc w:val="center"/>
                    <w:rPr>
                      <w:rFonts w:hint="default" w:ascii="Times New Roman" w:hAnsi="Times New Roman" w:eastAsia="宋体" w:cs="宋体"/>
                      <w:color w:val="auto"/>
                      <w:kern w:val="2"/>
                      <w:sz w:val="21"/>
                      <w:szCs w:val="21"/>
                      <w:highlight w:val="none"/>
                      <w:lang w:val="en-US" w:eastAsia="zh-CN" w:bidi="ar"/>
                    </w:rPr>
                  </w:pPr>
                  <w:r>
                    <w:rPr>
                      <w:rFonts w:hint="eastAsia"/>
                      <w:color w:val="auto"/>
                      <w:highlight w:val="none"/>
                      <w:lang w:val="en-US" w:eastAsia="zh-CN"/>
                    </w:rPr>
                    <w:t>20</w:t>
                  </w:r>
                </w:p>
              </w:tc>
              <w:tc>
                <w:tcPr>
                  <w:tcW w:w="720" w:type="pct"/>
                  <w:vMerge w:val="restart"/>
                  <w:shd w:val="clear" w:color="auto" w:fill="auto"/>
                  <w:noWrap w:val="0"/>
                  <w:vAlign w:val="center"/>
                </w:tcPr>
                <w:p w14:paraId="366472CC">
                  <w:pPr>
                    <w:pStyle w:val="43"/>
                    <w:keepNext w:val="0"/>
                    <w:keepLines w:val="0"/>
                    <w:pageBreakBefore w:val="0"/>
                    <w:wordWrap/>
                    <w:overflowPunct/>
                    <w:topLinePunct w:val="0"/>
                    <w:bidi w:val="0"/>
                    <w:adjustRightInd/>
                    <w:snapToGrid/>
                    <w:spacing w:line="240" w:lineRule="auto"/>
                    <w:ind w:firstLine="0" w:firstLineChars="0"/>
                    <w:jc w:val="center"/>
                    <w:rPr>
                      <w:rFonts w:hint="default" w:ascii="Times New Roman" w:hAnsi="Times New Roman" w:eastAsia="宋体" w:cs="宋体"/>
                      <w:color w:val="auto"/>
                      <w:kern w:val="2"/>
                      <w:sz w:val="21"/>
                      <w:szCs w:val="21"/>
                      <w:highlight w:val="none"/>
                      <w:lang w:val="en-US" w:eastAsia="zh-CN" w:bidi="ar"/>
                    </w:rPr>
                  </w:pPr>
                  <w:r>
                    <w:rPr>
                      <w:rFonts w:hint="eastAsia"/>
                      <w:color w:val="auto"/>
                      <w:highlight w:val="none"/>
                      <w:lang w:val="en-US" w:eastAsia="zh-CN"/>
                    </w:rPr>
                    <w:t>60</w:t>
                  </w:r>
                </w:p>
              </w:tc>
            </w:tr>
            <w:tr w14:paraId="7D506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0" w:type="pct"/>
                  <w:noWrap w:val="0"/>
                  <w:vAlign w:val="center"/>
                </w:tcPr>
                <w:p w14:paraId="3F2E87C0">
                  <w:pPr>
                    <w:pStyle w:val="43"/>
                    <w:keepNext w:val="0"/>
                    <w:keepLines w:val="0"/>
                    <w:pageBreakBefore w:val="0"/>
                    <w:wordWrap/>
                    <w:overflowPunct/>
                    <w:topLinePunct w:val="0"/>
                    <w:bidi w:val="0"/>
                    <w:adjustRightInd/>
                    <w:snapToGrid/>
                    <w:spacing w:line="240" w:lineRule="auto"/>
                    <w:ind w:firstLine="0" w:firstLineChars="0"/>
                    <w:jc w:val="center"/>
                    <w:rPr>
                      <w:rFonts w:hint="default"/>
                      <w:color w:val="auto"/>
                      <w:highlight w:val="none"/>
                      <w:lang w:val="en-US" w:eastAsia="zh-CN"/>
                    </w:rPr>
                  </w:pPr>
                  <w:bookmarkStart w:id="50" w:name="_Ref16535"/>
                  <w:r>
                    <w:rPr>
                      <w:rFonts w:hint="eastAsia"/>
                      <w:color w:val="auto"/>
                      <w:highlight w:val="none"/>
                      <w:lang w:val="en-US" w:eastAsia="zh-CN"/>
                    </w:rPr>
                    <w:t>2</w:t>
                  </w:r>
                </w:p>
              </w:tc>
              <w:tc>
                <w:tcPr>
                  <w:tcW w:w="452" w:type="pct"/>
                  <w:noWrap w:val="0"/>
                  <w:vAlign w:val="center"/>
                </w:tcPr>
                <w:p w14:paraId="6293C97C">
                  <w:pPr>
                    <w:pStyle w:val="43"/>
                    <w:keepNext w:val="0"/>
                    <w:keepLines w:val="0"/>
                    <w:pageBreakBefore w:val="0"/>
                    <w:wordWrap/>
                    <w:overflowPunct/>
                    <w:topLinePunct w:val="0"/>
                    <w:bidi w:val="0"/>
                    <w:adjustRightInd/>
                    <w:snapToGrid/>
                    <w:spacing w:line="240" w:lineRule="auto"/>
                    <w:ind w:firstLine="0" w:firstLineChars="0"/>
                    <w:jc w:val="center"/>
                    <w:rPr>
                      <w:rFonts w:hint="default"/>
                      <w:color w:val="auto"/>
                      <w:highlight w:val="none"/>
                      <w:lang w:val="en-US" w:eastAsia="zh-CN"/>
                    </w:rPr>
                  </w:pPr>
                  <w:r>
                    <w:rPr>
                      <w:rFonts w:hint="eastAsia"/>
                      <w:color w:val="auto"/>
                      <w:highlight w:val="none"/>
                      <w:lang w:val="en-US" w:eastAsia="zh-CN"/>
                    </w:rPr>
                    <w:t>空调机组</w:t>
                  </w:r>
                </w:p>
              </w:tc>
              <w:tc>
                <w:tcPr>
                  <w:tcW w:w="573" w:type="pct"/>
                  <w:noWrap w:val="0"/>
                  <w:vAlign w:val="center"/>
                </w:tcPr>
                <w:p w14:paraId="6B3DF7F4">
                  <w:pPr>
                    <w:pStyle w:val="43"/>
                    <w:keepNext w:val="0"/>
                    <w:keepLines w:val="0"/>
                    <w:pageBreakBefore w:val="0"/>
                    <w:wordWrap/>
                    <w:overflowPunct/>
                    <w:topLinePunct w:val="0"/>
                    <w:bidi w:val="0"/>
                    <w:adjustRightInd/>
                    <w:snapToGrid/>
                    <w:spacing w:line="240" w:lineRule="auto"/>
                    <w:ind w:firstLine="0" w:firstLineChars="0"/>
                    <w:jc w:val="center"/>
                    <w:rPr>
                      <w:rFonts w:hint="default"/>
                      <w:color w:val="auto"/>
                      <w:highlight w:val="none"/>
                      <w:lang w:val="en-US" w:eastAsia="zh-CN"/>
                    </w:rPr>
                  </w:pPr>
                  <w:r>
                    <w:rPr>
                      <w:rFonts w:hint="eastAsia"/>
                      <w:color w:val="auto"/>
                      <w:highlight w:val="none"/>
                      <w:lang w:val="en-US" w:eastAsia="zh-CN"/>
                    </w:rPr>
                    <w:t>2</w:t>
                  </w:r>
                </w:p>
              </w:tc>
              <w:tc>
                <w:tcPr>
                  <w:tcW w:w="638" w:type="pct"/>
                  <w:noWrap w:val="0"/>
                  <w:vAlign w:val="center"/>
                </w:tcPr>
                <w:p w14:paraId="2D0E1FE2">
                  <w:pPr>
                    <w:pStyle w:val="43"/>
                    <w:keepNext w:val="0"/>
                    <w:keepLines w:val="0"/>
                    <w:pageBreakBefore w:val="0"/>
                    <w:wordWrap/>
                    <w:overflowPunct/>
                    <w:topLinePunct w:val="0"/>
                    <w:bidi w:val="0"/>
                    <w:adjustRightInd/>
                    <w:snapToGrid/>
                    <w:spacing w:line="240" w:lineRule="auto"/>
                    <w:ind w:firstLine="0" w:firstLineChars="0"/>
                    <w:jc w:val="center"/>
                    <w:rPr>
                      <w:rFonts w:hint="default"/>
                      <w:color w:val="auto"/>
                      <w:highlight w:val="none"/>
                      <w:lang w:val="en-US" w:eastAsia="zh-CN"/>
                    </w:rPr>
                  </w:pPr>
                  <w:r>
                    <w:rPr>
                      <w:rFonts w:hint="eastAsia"/>
                      <w:color w:val="auto"/>
                      <w:highlight w:val="none"/>
                      <w:lang w:val="en-US" w:eastAsia="zh-CN"/>
                    </w:rPr>
                    <w:t>85</w:t>
                  </w:r>
                </w:p>
              </w:tc>
              <w:tc>
                <w:tcPr>
                  <w:tcW w:w="1626" w:type="pct"/>
                  <w:vMerge w:val="continue"/>
                  <w:noWrap w:val="0"/>
                  <w:vAlign w:val="center"/>
                </w:tcPr>
                <w:p w14:paraId="45C461FF">
                  <w:pPr>
                    <w:pStyle w:val="43"/>
                    <w:keepNext w:val="0"/>
                    <w:keepLines w:val="0"/>
                    <w:pageBreakBefore w:val="0"/>
                    <w:wordWrap/>
                    <w:overflowPunct/>
                    <w:topLinePunct w:val="0"/>
                    <w:bidi w:val="0"/>
                    <w:adjustRightInd/>
                    <w:snapToGrid/>
                    <w:spacing w:line="240" w:lineRule="auto"/>
                    <w:ind w:firstLine="0" w:firstLineChars="0"/>
                    <w:jc w:val="center"/>
                    <w:rPr>
                      <w:rFonts w:hint="eastAsia"/>
                      <w:color w:val="auto"/>
                      <w:highlight w:val="none"/>
                      <w:lang w:val="en-US" w:eastAsia="zh-CN"/>
                    </w:rPr>
                  </w:pPr>
                </w:p>
              </w:tc>
              <w:tc>
                <w:tcPr>
                  <w:tcW w:w="719" w:type="pct"/>
                  <w:vMerge w:val="continue"/>
                  <w:shd w:val="clear" w:color="auto" w:fill="auto"/>
                  <w:noWrap w:val="0"/>
                  <w:vAlign w:val="center"/>
                </w:tcPr>
                <w:p w14:paraId="10028D60">
                  <w:pPr>
                    <w:pStyle w:val="43"/>
                    <w:keepNext w:val="0"/>
                    <w:keepLines w:val="0"/>
                    <w:pageBreakBefore w:val="0"/>
                    <w:wordWrap/>
                    <w:overflowPunct/>
                    <w:topLinePunct w:val="0"/>
                    <w:bidi w:val="0"/>
                    <w:adjustRightInd/>
                    <w:snapToGrid/>
                    <w:spacing w:line="240" w:lineRule="auto"/>
                    <w:ind w:firstLine="0" w:firstLineChars="0"/>
                    <w:jc w:val="center"/>
                    <w:rPr>
                      <w:rFonts w:hint="eastAsia"/>
                      <w:color w:val="auto"/>
                      <w:highlight w:val="none"/>
                      <w:lang w:val="en-US" w:eastAsia="zh-CN"/>
                    </w:rPr>
                  </w:pPr>
                </w:p>
              </w:tc>
              <w:tc>
                <w:tcPr>
                  <w:tcW w:w="720" w:type="pct"/>
                  <w:vMerge w:val="continue"/>
                  <w:shd w:val="clear" w:color="auto" w:fill="auto"/>
                  <w:noWrap w:val="0"/>
                  <w:vAlign w:val="center"/>
                </w:tcPr>
                <w:p w14:paraId="28206720">
                  <w:pPr>
                    <w:pStyle w:val="43"/>
                    <w:keepNext w:val="0"/>
                    <w:keepLines w:val="0"/>
                    <w:pageBreakBefore w:val="0"/>
                    <w:wordWrap/>
                    <w:overflowPunct/>
                    <w:topLinePunct w:val="0"/>
                    <w:bidi w:val="0"/>
                    <w:adjustRightInd/>
                    <w:snapToGrid/>
                    <w:spacing w:line="240" w:lineRule="auto"/>
                    <w:ind w:firstLine="0" w:firstLineChars="0"/>
                    <w:jc w:val="center"/>
                    <w:rPr>
                      <w:rFonts w:hint="eastAsia"/>
                      <w:color w:val="auto"/>
                      <w:highlight w:val="none"/>
                      <w:lang w:val="en-US" w:eastAsia="zh-CN"/>
                    </w:rPr>
                  </w:pPr>
                </w:p>
              </w:tc>
            </w:tr>
          </w:tbl>
          <w:p w14:paraId="4E5F0D88">
            <w:pPr>
              <w:pStyle w:val="12"/>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eastAsia="zh-CN"/>
              </w:rPr>
            </w:pPr>
            <w:r>
              <w:rPr>
                <w:rFonts w:hint="eastAsia"/>
                <w:color w:val="auto"/>
                <w:highlight w:val="none"/>
                <w:lang w:eastAsia="zh-CN"/>
              </w:rPr>
              <w:t>表</w:t>
            </w:r>
            <w:r>
              <w:rPr>
                <w:color w:val="auto"/>
                <w:highlight w:val="none"/>
              </w:rPr>
              <w:fldChar w:fldCharType="begin"/>
            </w:r>
            <w:r>
              <w:rPr>
                <w:color w:val="auto"/>
                <w:highlight w:val="none"/>
              </w:rPr>
              <w:instrText xml:space="preserve"> STYLEREF 1 \s </w:instrText>
            </w:r>
            <w:r>
              <w:rPr>
                <w:color w:val="auto"/>
                <w:highlight w:val="none"/>
              </w:rPr>
              <w:fldChar w:fldCharType="separate"/>
            </w:r>
            <w:r>
              <w:rPr>
                <w:color w:val="auto"/>
                <w:highlight w:val="none"/>
              </w:rPr>
              <w:t>4</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表 \* ARABIC \s 1 </w:instrText>
            </w:r>
            <w:r>
              <w:rPr>
                <w:color w:val="auto"/>
                <w:highlight w:val="none"/>
              </w:rPr>
              <w:fldChar w:fldCharType="separate"/>
            </w:r>
            <w:r>
              <w:rPr>
                <w:color w:val="auto"/>
                <w:highlight w:val="none"/>
              </w:rPr>
              <w:t>12</w:t>
            </w:r>
            <w:r>
              <w:rPr>
                <w:color w:val="auto"/>
                <w:highlight w:val="none"/>
              </w:rPr>
              <w:fldChar w:fldCharType="end"/>
            </w:r>
            <w:r>
              <w:rPr>
                <w:rFonts w:hint="eastAsia"/>
                <w:color w:val="auto"/>
                <w:highlight w:val="none"/>
              </w:rPr>
              <w:t>工业企业噪声源强调查清单（</w:t>
            </w:r>
            <w:r>
              <w:rPr>
                <w:rFonts w:hint="eastAsia"/>
                <w:color w:val="auto"/>
                <w:highlight w:val="none"/>
                <w:lang w:val="en-US" w:eastAsia="zh-CN"/>
              </w:rPr>
              <w:t>室内</w:t>
            </w:r>
            <w:r>
              <w:rPr>
                <w:rFonts w:hint="eastAsia"/>
                <w:color w:val="auto"/>
                <w:highlight w:val="none"/>
              </w:rPr>
              <w:t>声源）</w:t>
            </w:r>
          </w:p>
          <w:tbl>
            <w:tblPr>
              <w:tblStyle w:val="3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2"/>
              <w:gridCol w:w="406"/>
              <w:gridCol w:w="708"/>
              <w:gridCol w:w="849"/>
              <w:gridCol w:w="456"/>
              <w:gridCol w:w="510"/>
              <w:gridCol w:w="527"/>
              <w:gridCol w:w="424"/>
              <w:gridCol w:w="427"/>
              <w:gridCol w:w="868"/>
              <w:gridCol w:w="523"/>
              <w:gridCol w:w="740"/>
              <w:gridCol w:w="816"/>
              <w:gridCol w:w="665"/>
            </w:tblGrid>
            <w:tr w14:paraId="3B713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397" w:type="pct"/>
                  <w:vMerge w:val="restart"/>
                  <w:noWrap w:val="0"/>
                  <w:vAlign w:val="center"/>
                </w:tcPr>
                <w:p w14:paraId="69F189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vertAlign w:val="baseline"/>
                      <w:lang w:val="en-US" w:eastAsia="zh-CN"/>
                    </w:rPr>
                  </w:pPr>
                  <w:r>
                    <w:rPr>
                      <w:rFonts w:hint="default" w:ascii="Times New Roman" w:hAnsi="Times New Roman" w:cs="Times New Roman"/>
                      <w:b/>
                      <w:bCs/>
                      <w:i w:val="0"/>
                      <w:iCs w:val="0"/>
                      <w:color w:val="auto"/>
                      <w:sz w:val="18"/>
                      <w:szCs w:val="18"/>
                      <w:highlight w:val="none"/>
                      <w:u w:val="none"/>
                      <w:vertAlign w:val="baseline"/>
                      <w:lang w:val="en-US" w:eastAsia="zh-CN"/>
                    </w:rPr>
                    <w:t>建筑物名称</w:t>
                  </w:r>
                </w:p>
              </w:tc>
              <w:tc>
                <w:tcPr>
                  <w:tcW w:w="236" w:type="pct"/>
                  <w:vMerge w:val="restart"/>
                  <w:noWrap w:val="0"/>
                  <w:vAlign w:val="center"/>
                </w:tcPr>
                <w:p w14:paraId="354D23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vertAlign w:val="baseline"/>
                      <w:lang w:val="en-US" w:eastAsia="zh-CN"/>
                    </w:rPr>
                  </w:pPr>
                  <w:r>
                    <w:rPr>
                      <w:rFonts w:hint="default" w:ascii="Times New Roman" w:hAnsi="Times New Roman" w:cs="Times New Roman"/>
                      <w:b/>
                      <w:bCs/>
                      <w:i w:val="0"/>
                      <w:iCs w:val="0"/>
                      <w:color w:val="auto"/>
                      <w:sz w:val="18"/>
                      <w:szCs w:val="18"/>
                      <w:highlight w:val="none"/>
                      <w:u w:val="none"/>
                      <w:vertAlign w:val="baseline"/>
                      <w:lang w:val="en-US" w:eastAsia="zh-CN"/>
                    </w:rPr>
                    <w:t>设备名称</w:t>
                  </w:r>
                </w:p>
              </w:tc>
              <w:tc>
                <w:tcPr>
                  <w:tcW w:w="411" w:type="pct"/>
                  <w:vMerge w:val="restart"/>
                  <w:noWrap w:val="0"/>
                  <w:vAlign w:val="center"/>
                </w:tcPr>
                <w:p w14:paraId="12A327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i w:val="0"/>
                      <w:iCs w:val="0"/>
                      <w:color w:val="auto"/>
                      <w:kern w:val="2"/>
                      <w:sz w:val="18"/>
                      <w:szCs w:val="18"/>
                      <w:highlight w:val="none"/>
                      <w:u w:val="none"/>
                      <w:vertAlign w:val="baseline"/>
                      <w:lang w:val="en-US" w:eastAsia="zh-CN" w:bidi="ar-SA"/>
                    </w:rPr>
                  </w:pPr>
                  <w:r>
                    <w:rPr>
                      <w:rFonts w:hint="default" w:ascii="Times New Roman" w:hAnsi="Times New Roman" w:cs="Times New Roman"/>
                      <w:b/>
                      <w:bCs/>
                      <w:i w:val="0"/>
                      <w:iCs w:val="0"/>
                      <w:color w:val="auto"/>
                      <w:sz w:val="18"/>
                      <w:szCs w:val="18"/>
                      <w:highlight w:val="none"/>
                      <w:u w:val="none"/>
                      <w:vertAlign w:val="baseline"/>
                      <w:lang w:val="en-US" w:eastAsia="zh-CN"/>
                    </w:rPr>
                    <w:t>源强dB（A）</w:t>
                  </w:r>
                </w:p>
              </w:tc>
              <w:tc>
                <w:tcPr>
                  <w:tcW w:w="493" w:type="pct"/>
                  <w:vMerge w:val="restart"/>
                  <w:noWrap w:val="0"/>
                  <w:vAlign w:val="center"/>
                </w:tcPr>
                <w:p w14:paraId="661CCF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vertAlign w:val="baseline"/>
                      <w:lang w:val="en-US" w:eastAsia="zh-CN"/>
                    </w:rPr>
                  </w:pPr>
                  <w:r>
                    <w:rPr>
                      <w:rFonts w:hint="default" w:ascii="Times New Roman" w:hAnsi="Times New Roman" w:cs="Times New Roman"/>
                      <w:b/>
                      <w:bCs/>
                      <w:i w:val="0"/>
                      <w:iCs w:val="0"/>
                      <w:color w:val="auto"/>
                      <w:sz w:val="18"/>
                      <w:szCs w:val="18"/>
                      <w:highlight w:val="none"/>
                      <w:u w:val="none"/>
                      <w:vertAlign w:val="baseline"/>
                      <w:lang w:val="en-US" w:eastAsia="zh-CN"/>
                    </w:rPr>
                    <w:t>声源控制措施</w:t>
                  </w:r>
                </w:p>
              </w:tc>
              <w:tc>
                <w:tcPr>
                  <w:tcW w:w="867" w:type="pct"/>
                  <w:gridSpan w:val="3"/>
                  <w:noWrap w:val="0"/>
                  <w:vAlign w:val="center"/>
                </w:tcPr>
                <w:p w14:paraId="7C9BD3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vertAlign w:val="baseline"/>
                      <w:lang w:val="en-US" w:eastAsia="zh-CN"/>
                    </w:rPr>
                  </w:pPr>
                  <w:r>
                    <w:rPr>
                      <w:rFonts w:hint="default" w:ascii="Times New Roman" w:hAnsi="Times New Roman" w:cs="Times New Roman"/>
                      <w:b/>
                      <w:bCs/>
                      <w:i w:val="0"/>
                      <w:iCs w:val="0"/>
                      <w:color w:val="auto"/>
                      <w:sz w:val="18"/>
                      <w:szCs w:val="18"/>
                      <w:highlight w:val="none"/>
                      <w:u w:val="none"/>
                      <w:vertAlign w:val="baseline"/>
                      <w:lang w:val="en-US" w:eastAsia="zh-CN"/>
                    </w:rPr>
                    <w:t>空间相对位置（m）</w:t>
                  </w:r>
                </w:p>
              </w:tc>
              <w:tc>
                <w:tcPr>
                  <w:tcW w:w="494" w:type="pct"/>
                  <w:gridSpan w:val="2"/>
                  <w:vMerge w:val="restart"/>
                  <w:noWrap w:val="0"/>
                  <w:vAlign w:val="center"/>
                </w:tcPr>
                <w:p w14:paraId="0416BC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vertAlign w:val="baseline"/>
                      <w:lang w:val="en-US" w:eastAsia="zh-CN"/>
                    </w:rPr>
                  </w:pPr>
                  <w:r>
                    <w:rPr>
                      <w:rFonts w:hint="default" w:ascii="Times New Roman" w:hAnsi="Times New Roman" w:cs="Times New Roman"/>
                      <w:b/>
                      <w:bCs/>
                      <w:i w:val="0"/>
                      <w:iCs w:val="0"/>
                      <w:color w:val="auto"/>
                      <w:sz w:val="18"/>
                      <w:szCs w:val="18"/>
                      <w:highlight w:val="none"/>
                      <w:u w:val="none"/>
                      <w:vertAlign w:val="baseline"/>
                      <w:lang w:val="en-US" w:eastAsia="zh-CN"/>
                    </w:rPr>
                    <w:t>距室内边界距离m</w:t>
                  </w:r>
                </w:p>
              </w:tc>
              <w:tc>
                <w:tcPr>
                  <w:tcW w:w="504" w:type="pct"/>
                  <w:vMerge w:val="restart"/>
                  <w:noWrap w:val="0"/>
                  <w:vAlign w:val="center"/>
                </w:tcPr>
                <w:p w14:paraId="7ADE39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vertAlign w:val="baseline"/>
                      <w:lang w:val="en-US" w:eastAsia="zh-CN"/>
                    </w:rPr>
                  </w:pPr>
                  <w:r>
                    <w:rPr>
                      <w:rFonts w:hint="default" w:ascii="Times New Roman" w:hAnsi="Times New Roman" w:cs="Times New Roman"/>
                      <w:b/>
                      <w:bCs/>
                      <w:i w:val="0"/>
                      <w:iCs w:val="0"/>
                      <w:color w:val="auto"/>
                      <w:sz w:val="18"/>
                      <w:szCs w:val="18"/>
                      <w:highlight w:val="none"/>
                      <w:u w:val="none"/>
                      <w:vertAlign w:val="baseline"/>
                      <w:lang w:val="en-US" w:eastAsia="zh-CN"/>
                    </w:rPr>
                    <w:t>室内边界声级dB（A）</w:t>
                  </w:r>
                </w:p>
              </w:tc>
              <w:tc>
                <w:tcPr>
                  <w:tcW w:w="304" w:type="pct"/>
                  <w:vMerge w:val="restart"/>
                  <w:noWrap w:val="0"/>
                  <w:vAlign w:val="center"/>
                </w:tcPr>
                <w:p w14:paraId="259E5E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vertAlign w:val="baseline"/>
                      <w:lang w:val="en-US" w:eastAsia="zh-CN"/>
                    </w:rPr>
                  </w:pPr>
                  <w:r>
                    <w:rPr>
                      <w:rFonts w:hint="default" w:ascii="Times New Roman" w:hAnsi="Times New Roman" w:cs="Times New Roman"/>
                      <w:b/>
                      <w:bCs/>
                      <w:i w:val="0"/>
                      <w:iCs w:val="0"/>
                      <w:color w:val="auto"/>
                      <w:sz w:val="18"/>
                      <w:szCs w:val="18"/>
                      <w:highlight w:val="none"/>
                      <w:u w:val="none"/>
                      <w:vertAlign w:val="baseline"/>
                      <w:lang w:val="en-US" w:eastAsia="zh-CN"/>
                    </w:rPr>
                    <w:t>运行时段</w:t>
                  </w:r>
                </w:p>
              </w:tc>
              <w:tc>
                <w:tcPr>
                  <w:tcW w:w="430" w:type="pct"/>
                  <w:vMerge w:val="restart"/>
                  <w:noWrap w:val="0"/>
                  <w:vAlign w:val="center"/>
                </w:tcPr>
                <w:p w14:paraId="19E261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vertAlign w:val="baseline"/>
                      <w:lang w:val="en-US" w:eastAsia="zh-CN"/>
                    </w:rPr>
                  </w:pPr>
                  <w:r>
                    <w:rPr>
                      <w:rFonts w:hint="default" w:ascii="Times New Roman" w:hAnsi="Times New Roman" w:cs="Times New Roman"/>
                      <w:b/>
                      <w:bCs/>
                      <w:i w:val="0"/>
                      <w:iCs w:val="0"/>
                      <w:color w:val="auto"/>
                      <w:sz w:val="18"/>
                      <w:szCs w:val="18"/>
                      <w:highlight w:val="none"/>
                      <w:u w:val="none"/>
                      <w:vertAlign w:val="baseline"/>
                      <w:lang w:val="en-US" w:eastAsia="zh-CN"/>
                    </w:rPr>
                    <w:t>建筑物插入损失dB（A）</w:t>
                  </w:r>
                </w:p>
              </w:tc>
              <w:tc>
                <w:tcPr>
                  <w:tcW w:w="860" w:type="pct"/>
                  <w:gridSpan w:val="2"/>
                  <w:noWrap w:val="0"/>
                  <w:vAlign w:val="center"/>
                </w:tcPr>
                <w:p w14:paraId="6D7C5B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b/>
                      <w:bCs/>
                      <w:i w:val="0"/>
                      <w:iCs w:val="0"/>
                      <w:color w:val="auto"/>
                      <w:sz w:val="18"/>
                      <w:szCs w:val="18"/>
                      <w:highlight w:val="none"/>
                      <w:u w:val="none"/>
                      <w:vertAlign w:val="baseline"/>
                      <w:lang w:val="en-US" w:eastAsia="zh-CN"/>
                    </w:rPr>
                  </w:pPr>
                  <w:r>
                    <w:rPr>
                      <w:rFonts w:hint="default" w:ascii="Times New Roman" w:hAnsi="Times New Roman" w:cs="Times New Roman"/>
                      <w:b/>
                      <w:bCs/>
                      <w:i w:val="0"/>
                      <w:iCs w:val="0"/>
                      <w:color w:val="auto"/>
                      <w:sz w:val="18"/>
                      <w:szCs w:val="18"/>
                      <w:highlight w:val="none"/>
                      <w:u w:val="none"/>
                      <w:vertAlign w:val="baseline"/>
                      <w:lang w:val="en-US" w:eastAsia="zh-CN"/>
                    </w:rPr>
                    <w:t>建筑物外噪声</w:t>
                  </w:r>
                </w:p>
              </w:tc>
            </w:tr>
            <w:tr w14:paraId="6C1B9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7" w:type="pct"/>
                  <w:vMerge w:val="continue"/>
                  <w:noWrap w:val="0"/>
                  <w:vAlign w:val="center"/>
                </w:tcPr>
                <w:p w14:paraId="6E9E8C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rPr>
                  </w:pPr>
                </w:p>
              </w:tc>
              <w:tc>
                <w:tcPr>
                  <w:tcW w:w="236" w:type="pct"/>
                  <w:vMerge w:val="continue"/>
                  <w:noWrap w:val="0"/>
                  <w:vAlign w:val="center"/>
                </w:tcPr>
                <w:p w14:paraId="5ADFFE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rPr>
                  </w:pPr>
                </w:p>
              </w:tc>
              <w:tc>
                <w:tcPr>
                  <w:tcW w:w="411" w:type="pct"/>
                  <w:vMerge w:val="continue"/>
                  <w:noWrap w:val="0"/>
                  <w:vAlign w:val="center"/>
                </w:tcPr>
                <w:p w14:paraId="11C5E5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i w:val="0"/>
                      <w:iCs w:val="0"/>
                      <w:color w:val="auto"/>
                      <w:kern w:val="2"/>
                      <w:sz w:val="18"/>
                      <w:szCs w:val="18"/>
                      <w:highlight w:val="none"/>
                      <w:u w:val="none"/>
                      <w:lang w:val="en-US" w:eastAsia="zh-CN" w:bidi="ar-SA"/>
                    </w:rPr>
                  </w:pPr>
                </w:p>
              </w:tc>
              <w:tc>
                <w:tcPr>
                  <w:tcW w:w="493" w:type="pct"/>
                  <w:vMerge w:val="continue"/>
                  <w:noWrap w:val="0"/>
                  <w:vAlign w:val="center"/>
                </w:tcPr>
                <w:p w14:paraId="1BAEF7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rPr>
                  </w:pPr>
                </w:p>
              </w:tc>
              <w:tc>
                <w:tcPr>
                  <w:tcW w:w="265" w:type="pct"/>
                  <w:noWrap w:val="0"/>
                  <w:vAlign w:val="center"/>
                </w:tcPr>
                <w:p w14:paraId="45E25C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kern w:val="2"/>
                      <w:sz w:val="18"/>
                      <w:szCs w:val="18"/>
                      <w:highlight w:val="none"/>
                      <w:u w:val="none"/>
                      <w:vertAlign w:val="baseline"/>
                      <w:lang w:val="en-US" w:eastAsia="zh-CN" w:bidi="ar-SA"/>
                    </w:rPr>
                  </w:pPr>
                  <w:r>
                    <w:rPr>
                      <w:rFonts w:hint="default" w:ascii="Times New Roman" w:hAnsi="Times New Roman" w:cs="Times New Roman"/>
                      <w:b/>
                      <w:bCs/>
                      <w:i w:val="0"/>
                      <w:iCs w:val="0"/>
                      <w:color w:val="auto"/>
                      <w:sz w:val="18"/>
                      <w:szCs w:val="18"/>
                      <w:highlight w:val="none"/>
                      <w:u w:val="none"/>
                      <w:vertAlign w:val="baseline"/>
                      <w:lang w:val="en-US" w:eastAsia="zh-CN"/>
                    </w:rPr>
                    <w:t>X</w:t>
                  </w:r>
                </w:p>
              </w:tc>
              <w:tc>
                <w:tcPr>
                  <w:tcW w:w="296" w:type="pct"/>
                  <w:noWrap w:val="0"/>
                  <w:vAlign w:val="center"/>
                </w:tcPr>
                <w:p w14:paraId="6D6854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kern w:val="2"/>
                      <w:sz w:val="18"/>
                      <w:szCs w:val="18"/>
                      <w:highlight w:val="none"/>
                      <w:u w:val="none"/>
                      <w:vertAlign w:val="baseline"/>
                      <w:lang w:val="en-US" w:eastAsia="zh-CN" w:bidi="ar-SA"/>
                    </w:rPr>
                  </w:pPr>
                  <w:r>
                    <w:rPr>
                      <w:rFonts w:hint="default" w:ascii="Times New Roman" w:hAnsi="Times New Roman" w:cs="Times New Roman"/>
                      <w:b/>
                      <w:bCs/>
                      <w:i w:val="0"/>
                      <w:iCs w:val="0"/>
                      <w:color w:val="auto"/>
                      <w:sz w:val="18"/>
                      <w:szCs w:val="18"/>
                      <w:highlight w:val="none"/>
                      <w:u w:val="none"/>
                      <w:vertAlign w:val="baseline"/>
                      <w:lang w:val="en-US" w:eastAsia="zh-CN"/>
                    </w:rPr>
                    <w:t>Y</w:t>
                  </w:r>
                </w:p>
              </w:tc>
              <w:tc>
                <w:tcPr>
                  <w:tcW w:w="305" w:type="pct"/>
                  <w:noWrap w:val="0"/>
                  <w:vAlign w:val="center"/>
                </w:tcPr>
                <w:p w14:paraId="39F75A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kern w:val="2"/>
                      <w:sz w:val="18"/>
                      <w:szCs w:val="18"/>
                      <w:highlight w:val="none"/>
                      <w:u w:val="none"/>
                      <w:vertAlign w:val="baseline"/>
                      <w:lang w:val="en-US" w:eastAsia="zh-CN" w:bidi="ar-SA"/>
                    </w:rPr>
                  </w:pPr>
                  <w:r>
                    <w:rPr>
                      <w:rFonts w:hint="default" w:ascii="Times New Roman" w:hAnsi="Times New Roman" w:cs="Times New Roman"/>
                      <w:b/>
                      <w:bCs/>
                      <w:i w:val="0"/>
                      <w:iCs w:val="0"/>
                      <w:color w:val="auto"/>
                      <w:sz w:val="18"/>
                      <w:szCs w:val="18"/>
                      <w:highlight w:val="none"/>
                      <w:u w:val="none"/>
                      <w:vertAlign w:val="baseline"/>
                      <w:lang w:val="en-US" w:eastAsia="zh-CN"/>
                    </w:rPr>
                    <w:t>Z</w:t>
                  </w:r>
                </w:p>
              </w:tc>
              <w:tc>
                <w:tcPr>
                  <w:tcW w:w="494" w:type="pct"/>
                  <w:gridSpan w:val="2"/>
                  <w:vMerge w:val="continue"/>
                  <w:noWrap w:val="0"/>
                  <w:vAlign w:val="center"/>
                </w:tcPr>
                <w:p w14:paraId="1E72C0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vertAlign w:val="baseline"/>
                      <w:lang w:val="en-US" w:eastAsia="zh-CN"/>
                    </w:rPr>
                  </w:pPr>
                </w:p>
              </w:tc>
              <w:tc>
                <w:tcPr>
                  <w:tcW w:w="504" w:type="pct"/>
                  <w:vMerge w:val="continue"/>
                  <w:noWrap w:val="0"/>
                  <w:vAlign w:val="center"/>
                </w:tcPr>
                <w:p w14:paraId="2AAEA7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vertAlign w:val="baseline"/>
                      <w:lang w:val="en-US" w:eastAsia="zh-CN"/>
                    </w:rPr>
                  </w:pPr>
                </w:p>
              </w:tc>
              <w:tc>
                <w:tcPr>
                  <w:tcW w:w="304" w:type="pct"/>
                  <w:vMerge w:val="continue"/>
                  <w:noWrap w:val="0"/>
                  <w:vAlign w:val="center"/>
                </w:tcPr>
                <w:p w14:paraId="6613D1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vertAlign w:val="baseline"/>
                      <w:lang w:val="en-US" w:eastAsia="zh-CN"/>
                    </w:rPr>
                  </w:pPr>
                </w:p>
              </w:tc>
              <w:tc>
                <w:tcPr>
                  <w:tcW w:w="430" w:type="pct"/>
                  <w:vMerge w:val="continue"/>
                  <w:noWrap w:val="0"/>
                  <w:vAlign w:val="center"/>
                </w:tcPr>
                <w:p w14:paraId="222850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sz w:val="18"/>
                      <w:szCs w:val="18"/>
                      <w:highlight w:val="none"/>
                      <w:u w:val="none"/>
                      <w:vertAlign w:val="baseline"/>
                      <w:lang w:val="en-US" w:eastAsia="zh-CN"/>
                    </w:rPr>
                  </w:pPr>
                </w:p>
              </w:tc>
              <w:tc>
                <w:tcPr>
                  <w:tcW w:w="474" w:type="pct"/>
                  <w:noWrap w:val="0"/>
                  <w:vAlign w:val="center"/>
                </w:tcPr>
                <w:p w14:paraId="0735F2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kern w:val="2"/>
                      <w:sz w:val="18"/>
                      <w:szCs w:val="18"/>
                      <w:highlight w:val="none"/>
                      <w:u w:val="none"/>
                      <w:vertAlign w:val="baseline"/>
                      <w:lang w:val="en-US" w:eastAsia="zh-CN" w:bidi="ar-SA"/>
                    </w:rPr>
                  </w:pPr>
                  <w:r>
                    <w:rPr>
                      <w:rFonts w:hint="default" w:ascii="Times New Roman" w:hAnsi="Times New Roman" w:cs="Times New Roman"/>
                      <w:b/>
                      <w:bCs/>
                      <w:i w:val="0"/>
                      <w:iCs w:val="0"/>
                      <w:color w:val="auto"/>
                      <w:sz w:val="18"/>
                      <w:szCs w:val="18"/>
                      <w:highlight w:val="none"/>
                      <w:u w:val="none"/>
                      <w:vertAlign w:val="baseline"/>
                      <w:lang w:val="en-US" w:eastAsia="zh-CN"/>
                    </w:rPr>
                    <w:t>声压级dB（A）</w:t>
                  </w:r>
                </w:p>
              </w:tc>
              <w:tc>
                <w:tcPr>
                  <w:tcW w:w="386" w:type="pct"/>
                  <w:noWrap w:val="0"/>
                  <w:vAlign w:val="center"/>
                </w:tcPr>
                <w:p w14:paraId="0A28A7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i w:val="0"/>
                      <w:iCs w:val="0"/>
                      <w:color w:val="auto"/>
                      <w:kern w:val="2"/>
                      <w:sz w:val="18"/>
                      <w:szCs w:val="18"/>
                      <w:highlight w:val="none"/>
                      <w:u w:val="none"/>
                      <w:vertAlign w:val="baseline"/>
                      <w:lang w:val="en-US" w:eastAsia="zh-CN" w:bidi="ar-SA"/>
                    </w:rPr>
                  </w:pPr>
                  <w:r>
                    <w:rPr>
                      <w:rFonts w:hint="default" w:ascii="Times New Roman" w:hAnsi="Times New Roman" w:cs="Times New Roman"/>
                      <w:b/>
                      <w:bCs/>
                      <w:i w:val="0"/>
                      <w:iCs w:val="0"/>
                      <w:color w:val="auto"/>
                      <w:sz w:val="18"/>
                      <w:szCs w:val="18"/>
                      <w:highlight w:val="none"/>
                      <w:u w:val="none"/>
                      <w:vertAlign w:val="baseline"/>
                      <w:lang w:val="en-US" w:eastAsia="zh-CN"/>
                    </w:rPr>
                    <w:t>建筑物外距离</w:t>
                  </w:r>
                </w:p>
              </w:tc>
            </w:tr>
            <w:tr w14:paraId="794CA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7" w:type="pct"/>
                  <w:vMerge w:val="restart"/>
                  <w:noWrap w:val="0"/>
                  <w:vAlign w:val="center"/>
                </w:tcPr>
                <w:p w14:paraId="00AB37C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生活水泵房</w:t>
                  </w:r>
                </w:p>
              </w:tc>
              <w:tc>
                <w:tcPr>
                  <w:tcW w:w="236" w:type="pct"/>
                  <w:vMerge w:val="restart"/>
                  <w:noWrap w:val="0"/>
                  <w:vAlign w:val="center"/>
                </w:tcPr>
                <w:p w14:paraId="704C3432">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 w:val="0"/>
                      <w:bCs w:val="0"/>
                      <w:i w:val="0"/>
                      <w:iCs w:val="0"/>
                      <w:color w:val="auto"/>
                      <w:sz w:val="18"/>
                      <w:szCs w:val="18"/>
                      <w:highlight w:val="none"/>
                      <w:u w:val="none"/>
                      <w:vertAlign w:val="baseline"/>
                      <w:lang w:val="en-US" w:eastAsia="zh-CN"/>
                    </w:rPr>
                  </w:pPr>
                  <w:r>
                    <w:rPr>
                      <w:rFonts w:hint="eastAsia" w:cs="Times New Roman"/>
                      <w:b w:val="0"/>
                      <w:bCs w:val="0"/>
                      <w:i w:val="0"/>
                      <w:iCs w:val="0"/>
                      <w:color w:val="auto"/>
                      <w:sz w:val="18"/>
                      <w:szCs w:val="18"/>
                      <w:highlight w:val="none"/>
                      <w:u w:val="none"/>
                      <w:vertAlign w:val="baseline"/>
                      <w:lang w:val="en-US" w:eastAsia="zh-CN"/>
                    </w:rPr>
                    <w:t>生活</w:t>
                  </w:r>
                  <w:r>
                    <w:rPr>
                      <w:rFonts w:hint="default" w:ascii="Times New Roman" w:hAnsi="Times New Roman" w:cs="Times New Roman"/>
                      <w:b w:val="0"/>
                      <w:bCs w:val="0"/>
                      <w:i w:val="0"/>
                      <w:iCs w:val="0"/>
                      <w:color w:val="auto"/>
                      <w:sz w:val="18"/>
                      <w:szCs w:val="18"/>
                      <w:highlight w:val="none"/>
                      <w:u w:val="none"/>
                      <w:vertAlign w:val="baseline"/>
                      <w:lang w:val="en-US" w:eastAsia="zh-CN"/>
                    </w:rPr>
                    <w:t>水泵</w:t>
                  </w:r>
                </w:p>
              </w:tc>
              <w:tc>
                <w:tcPr>
                  <w:tcW w:w="411" w:type="pct"/>
                  <w:vMerge w:val="restart"/>
                  <w:noWrap w:val="0"/>
                  <w:vAlign w:val="center"/>
                </w:tcPr>
                <w:p w14:paraId="688470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i w:val="0"/>
                      <w:iCs w:val="0"/>
                      <w:color w:val="auto"/>
                      <w:kern w:val="2"/>
                      <w:sz w:val="18"/>
                      <w:szCs w:val="18"/>
                      <w:highlight w:val="none"/>
                      <w:u w:val="none"/>
                      <w:vertAlign w:val="baseline"/>
                      <w:lang w:val="en-US" w:eastAsia="zh-CN" w:bidi="ar-SA"/>
                    </w:rPr>
                  </w:pPr>
                  <w:r>
                    <w:rPr>
                      <w:rFonts w:hint="default" w:ascii="Times New Roman" w:hAnsi="Times New Roman" w:eastAsia="宋体" w:cs="Times New Roman"/>
                      <w:color w:val="auto"/>
                      <w:kern w:val="0"/>
                      <w:sz w:val="18"/>
                      <w:szCs w:val="18"/>
                      <w:highlight w:val="none"/>
                      <w:lang w:val="en-US" w:eastAsia="zh-CN" w:bidi="zh-TW"/>
                    </w:rPr>
                    <w:t>80/1</w:t>
                  </w:r>
                </w:p>
              </w:tc>
              <w:tc>
                <w:tcPr>
                  <w:tcW w:w="493" w:type="pct"/>
                  <w:vMerge w:val="restart"/>
                  <w:noWrap w:val="0"/>
                  <w:vAlign w:val="center"/>
                </w:tcPr>
                <w:p w14:paraId="74070F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color w:val="auto"/>
                      <w:sz w:val="18"/>
                      <w:szCs w:val="18"/>
                      <w:highlight w:val="none"/>
                    </w:rPr>
                    <w:t>选用低噪声设备，基础减振、隔声等</w:t>
                  </w:r>
                </w:p>
              </w:tc>
              <w:tc>
                <w:tcPr>
                  <w:tcW w:w="265" w:type="pct"/>
                  <w:vMerge w:val="restart"/>
                  <w:noWrap w:val="0"/>
                  <w:vAlign w:val="center"/>
                </w:tcPr>
                <w:p w14:paraId="78D2A7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zh-TW"/>
                    </w:rPr>
                  </w:pPr>
                  <w:r>
                    <w:rPr>
                      <w:rFonts w:hint="eastAsia" w:ascii="Times New Roman" w:hAnsi="Times New Roman" w:eastAsia="宋体" w:cs="Times New Roman"/>
                      <w:color w:val="auto"/>
                      <w:kern w:val="0"/>
                      <w:sz w:val="18"/>
                      <w:szCs w:val="18"/>
                      <w:highlight w:val="none"/>
                      <w:lang w:val="en-US" w:eastAsia="zh-CN" w:bidi="zh-TW"/>
                    </w:rPr>
                    <w:t>68</w:t>
                  </w:r>
                </w:p>
              </w:tc>
              <w:tc>
                <w:tcPr>
                  <w:tcW w:w="296" w:type="pct"/>
                  <w:vMerge w:val="restart"/>
                  <w:noWrap w:val="0"/>
                  <w:vAlign w:val="center"/>
                </w:tcPr>
                <w:p w14:paraId="168CAE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zh-TW"/>
                    </w:rPr>
                  </w:pPr>
                  <w:r>
                    <w:rPr>
                      <w:rFonts w:hint="eastAsia" w:ascii="Times New Roman" w:hAnsi="Times New Roman" w:eastAsia="宋体" w:cs="Times New Roman"/>
                      <w:color w:val="auto"/>
                      <w:kern w:val="0"/>
                      <w:sz w:val="18"/>
                      <w:szCs w:val="18"/>
                      <w:highlight w:val="none"/>
                      <w:lang w:val="en-US" w:eastAsia="zh-CN" w:bidi="zh-TW"/>
                    </w:rPr>
                    <w:t>273</w:t>
                  </w:r>
                </w:p>
              </w:tc>
              <w:tc>
                <w:tcPr>
                  <w:tcW w:w="305" w:type="pct"/>
                  <w:vMerge w:val="restart"/>
                  <w:noWrap w:val="0"/>
                  <w:vAlign w:val="center"/>
                </w:tcPr>
                <w:p w14:paraId="7DCC0B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zh-TW"/>
                    </w:rPr>
                  </w:pPr>
                  <w:r>
                    <w:rPr>
                      <w:rFonts w:hint="eastAsia" w:ascii="Times New Roman" w:hAnsi="Times New Roman" w:eastAsia="宋体" w:cs="Times New Roman"/>
                      <w:color w:val="auto"/>
                      <w:kern w:val="0"/>
                      <w:sz w:val="18"/>
                      <w:szCs w:val="18"/>
                      <w:highlight w:val="none"/>
                      <w:lang w:val="en-US" w:eastAsia="zh-CN" w:bidi="zh-TW"/>
                    </w:rPr>
                    <w:t>1</w:t>
                  </w:r>
                </w:p>
              </w:tc>
              <w:tc>
                <w:tcPr>
                  <w:tcW w:w="246" w:type="pct"/>
                  <w:noWrap w:val="0"/>
                  <w:vAlign w:val="center"/>
                </w:tcPr>
                <w:p w14:paraId="6384D7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东</w:t>
                  </w:r>
                </w:p>
              </w:tc>
              <w:tc>
                <w:tcPr>
                  <w:tcW w:w="247" w:type="pct"/>
                  <w:noWrap w:val="0"/>
                  <w:vAlign w:val="center"/>
                </w:tcPr>
                <w:p w14:paraId="600DE2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eastAsia" w:ascii="Times New Roman" w:hAnsi="Times New Roman" w:cs="Times New Roman"/>
                      <w:b w:val="0"/>
                      <w:bCs w:val="0"/>
                      <w:i w:val="0"/>
                      <w:iCs w:val="0"/>
                      <w:color w:val="auto"/>
                      <w:sz w:val="18"/>
                      <w:szCs w:val="18"/>
                      <w:highlight w:val="none"/>
                      <w:u w:val="none"/>
                      <w:vertAlign w:val="baseline"/>
                      <w:lang w:val="en-US" w:eastAsia="zh-CN"/>
                    </w:rPr>
                    <w:t>7</w:t>
                  </w:r>
                </w:p>
              </w:tc>
              <w:tc>
                <w:tcPr>
                  <w:tcW w:w="504" w:type="pct"/>
                  <w:noWrap w:val="0"/>
                  <w:vAlign w:val="center"/>
                </w:tcPr>
                <w:p w14:paraId="40A144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61.9</w:t>
                  </w:r>
                </w:p>
              </w:tc>
              <w:tc>
                <w:tcPr>
                  <w:tcW w:w="304" w:type="pct"/>
                  <w:vMerge w:val="restart"/>
                  <w:noWrap w:val="0"/>
                  <w:vAlign w:val="center"/>
                </w:tcPr>
                <w:p w14:paraId="7C6DF1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连续</w:t>
                  </w:r>
                </w:p>
              </w:tc>
              <w:tc>
                <w:tcPr>
                  <w:tcW w:w="430" w:type="pct"/>
                  <w:vMerge w:val="restart"/>
                  <w:noWrap w:val="0"/>
                  <w:vAlign w:val="center"/>
                </w:tcPr>
                <w:p w14:paraId="38C3A8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eastAsia" w:cs="Times New Roman"/>
                      <w:b w:val="0"/>
                      <w:bCs w:val="0"/>
                      <w:i w:val="0"/>
                      <w:iCs w:val="0"/>
                      <w:color w:val="auto"/>
                      <w:sz w:val="18"/>
                      <w:szCs w:val="18"/>
                      <w:highlight w:val="none"/>
                      <w:u w:val="none"/>
                      <w:vertAlign w:val="baseline"/>
                      <w:lang w:val="en-US" w:eastAsia="zh-CN"/>
                    </w:rPr>
                    <w:t>15</w:t>
                  </w:r>
                </w:p>
              </w:tc>
              <w:tc>
                <w:tcPr>
                  <w:tcW w:w="474" w:type="pct"/>
                  <w:noWrap w:val="0"/>
                  <w:vAlign w:val="center"/>
                </w:tcPr>
                <w:p w14:paraId="5F7FFDE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4</w:t>
                  </w:r>
                  <w:r>
                    <w:rPr>
                      <w:rFonts w:hint="eastAsia" w:cs="Times New Roman"/>
                      <w:b w:val="0"/>
                      <w:bCs w:val="0"/>
                      <w:i w:val="0"/>
                      <w:iCs w:val="0"/>
                      <w:color w:val="auto"/>
                      <w:kern w:val="0"/>
                      <w:sz w:val="18"/>
                      <w:szCs w:val="18"/>
                      <w:highlight w:val="none"/>
                      <w:u w:val="none"/>
                      <w:lang w:val="en-US" w:eastAsia="zh-CN" w:bidi="ar"/>
                    </w:rPr>
                    <w:t>6</w:t>
                  </w:r>
                  <w:r>
                    <w:rPr>
                      <w:rFonts w:hint="default" w:ascii="Times New Roman" w:hAnsi="Times New Roman" w:eastAsia="宋体" w:cs="Times New Roman"/>
                      <w:b w:val="0"/>
                      <w:bCs w:val="0"/>
                      <w:i w:val="0"/>
                      <w:iCs w:val="0"/>
                      <w:color w:val="auto"/>
                      <w:kern w:val="0"/>
                      <w:sz w:val="18"/>
                      <w:szCs w:val="18"/>
                      <w:highlight w:val="none"/>
                      <w:u w:val="none"/>
                      <w:lang w:val="en-US" w:eastAsia="zh-CN" w:bidi="ar"/>
                    </w:rPr>
                    <w:t>.9</w:t>
                  </w:r>
                </w:p>
              </w:tc>
              <w:tc>
                <w:tcPr>
                  <w:tcW w:w="386" w:type="pct"/>
                  <w:noWrap w:val="0"/>
                  <w:vAlign w:val="center"/>
                </w:tcPr>
                <w:p w14:paraId="0FC307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1m</w:t>
                  </w:r>
                </w:p>
              </w:tc>
            </w:tr>
            <w:tr w14:paraId="3087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7" w:type="pct"/>
                  <w:vMerge w:val="continue"/>
                  <w:noWrap w:val="0"/>
                  <w:vAlign w:val="center"/>
                </w:tcPr>
                <w:p w14:paraId="3D2BF0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i w:val="0"/>
                      <w:iCs w:val="0"/>
                      <w:color w:val="auto"/>
                      <w:sz w:val="18"/>
                      <w:szCs w:val="18"/>
                      <w:highlight w:val="none"/>
                      <w:u w:val="none"/>
                      <w:vertAlign w:val="baseline"/>
                      <w:lang w:val="en-US" w:eastAsia="zh-CN"/>
                    </w:rPr>
                  </w:pPr>
                </w:p>
              </w:tc>
              <w:tc>
                <w:tcPr>
                  <w:tcW w:w="236" w:type="pct"/>
                  <w:vMerge w:val="continue"/>
                  <w:noWrap w:val="0"/>
                  <w:vAlign w:val="center"/>
                </w:tcPr>
                <w:p w14:paraId="021026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i w:val="0"/>
                      <w:iCs w:val="0"/>
                      <w:color w:val="auto"/>
                      <w:sz w:val="18"/>
                      <w:szCs w:val="18"/>
                      <w:highlight w:val="none"/>
                      <w:u w:val="none"/>
                      <w:vertAlign w:val="baseline"/>
                      <w:lang w:val="en-US" w:eastAsia="zh-CN"/>
                    </w:rPr>
                  </w:pPr>
                </w:p>
              </w:tc>
              <w:tc>
                <w:tcPr>
                  <w:tcW w:w="411" w:type="pct"/>
                  <w:vMerge w:val="continue"/>
                  <w:noWrap w:val="0"/>
                  <w:vAlign w:val="center"/>
                </w:tcPr>
                <w:p w14:paraId="42989A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i w:val="0"/>
                      <w:iCs w:val="0"/>
                      <w:color w:val="auto"/>
                      <w:kern w:val="2"/>
                      <w:sz w:val="18"/>
                      <w:szCs w:val="18"/>
                      <w:highlight w:val="none"/>
                      <w:u w:val="none"/>
                      <w:vertAlign w:val="baseline"/>
                      <w:lang w:val="en-US" w:eastAsia="zh-CN" w:bidi="ar-SA"/>
                    </w:rPr>
                  </w:pPr>
                </w:p>
              </w:tc>
              <w:tc>
                <w:tcPr>
                  <w:tcW w:w="493" w:type="pct"/>
                  <w:vMerge w:val="continue"/>
                  <w:noWrap w:val="0"/>
                  <w:vAlign w:val="center"/>
                </w:tcPr>
                <w:p w14:paraId="5336B2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265" w:type="pct"/>
                  <w:vMerge w:val="continue"/>
                  <w:noWrap w:val="0"/>
                  <w:vAlign w:val="center"/>
                </w:tcPr>
                <w:p w14:paraId="3C6247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296" w:type="pct"/>
                  <w:vMerge w:val="continue"/>
                  <w:noWrap w:val="0"/>
                  <w:vAlign w:val="center"/>
                </w:tcPr>
                <w:p w14:paraId="6EF2BC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305" w:type="pct"/>
                  <w:vMerge w:val="continue"/>
                  <w:noWrap w:val="0"/>
                  <w:vAlign w:val="center"/>
                </w:tcPr>
                <w:p w14:paraId="2367F2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246" w:type="pct"/>
                  <w:noWrap w:val="0"/>
                  <w:vAlign w:val="center"/>
                </w:tcPr>
                <w:p w14:paraId="310C39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西</w:t>
                  </w:r>
                </w:p>
              </w:tc>
              <w:tc>
                <w:tcPr>
                  <w:tcW w:w="247" w:type="pct"/>
                  <w:noWrap w:val="0"/>
                  <w:vAlign w:val="center"/>
                </w:tcPr>
                <w:p w14:paraId="0FA8F8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eastAsia" w:ascii="Times New Roman" w:hAnsi="Times New Roman" w:cs="Times New Roman"/>
                      <w:b w:val="0"/>
                      <w:bCs w:val="0"/>
                      <w:i w:val="0"/>
                      <w:iCs w:val="0"/>
                      <w:color w:val="auto"/>
                      <w:sz w:val="18"/>
                      <w:szCs w:val="18"/>
                      <w:highlight w:val="none"/>
                      <w:u w:val="none"/>
                      <w:vertAlign w:val="baseline"/>
                      <w:lang w:val="en-US" w:eastAsia="zh-CN"/>
                    </w:rPr>
                    <w:t>3</w:t>
                  </w:r>
                </w:p>
              </w:tc>
              <w:tc>
                <w:tcPr>
                  <w:tcW w:w="504" w:type="pct"/>
                  <w:noWrap w:val="0"/>
                  <w:vAlign w:val="center"/>
                </w:tcPr>
                <w:p w14:paraId="7E93ED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68.0</w:t>
                  </w:r>
                </w:p>
              </w:tc>
              <w:tc>
                <w:tcPr>
                  <w:tcW w:w="304" w:type="pct"/>
                  <w:vMerge w:val="continue"/>
                  <w:noWrap w:val="0"/>
                  <w:vAlign w:val="center"/>
                </w:tcPr>
                <w:p w14:paraId="3CEB44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430" w:type="pct"/>
                  <w:vMerge w:val="continue"/>
                  <w:noWrap w:val="0"/>
                  <w:vAlign w:val="center"/>
                </w:tcPr>
                <w:p w14:paraId="69BD33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474" w:type="pct"/>
                  <w:noWrap w:val="0"/>
                  <w:vAlign w:val="center"/>
                </w:tcPr>
                <w:p w14:paraId="530BD04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eastAsia" w:cs="Times New Roman"/>
                      <w:b w:val="0"/>
                      <w:bCs w:val="0"/>
                      <w:i w:val="0"/>
                      <w:iCs w:val="0"/>
                      <w:color w:val="auto"/>
                      <w:kern w:val="0"/>
                      <w:sz w:val="18"/>
                      <w:szCs w:val="18"/>
                      <w:highlight w:val="none"/>
                      <w:u w:val="none"/>
                      <w:lang w:val="en-US" w:eastAsia="zh-CN" w:bidi="ar"/>
                    </w:rPr>
                    <w:t>53</w:t>
                  </w:r>
                  <w:r>
                    <w:rPr>
                      <w:rFonts w:hint="default" w:ascii="Times New Roman" w:hAnsi="Times New Roman" w:eastAsia="宋体" w:cs="Times New Roman"/>
                      <w:b w:val="0"/>
                      <w:bCs w:val="0"/>
                      <w:i w:val="0"/>
                      <w:iCs w:val="0"/>
                      <w:color w:val="auto"/>
                      <w:kern w:val="0"/>
                      <w:sz w:val="18"/>
                      <w:szCs w:val="18"/>
                      <w:highlight w:val="none"/>
                      <w:u w:val="none"/>
                      <w:lang w:val="en-US" w:eastAsia="zh-CN" w:bidi="ar"/>
                    </w:rPr>
                    <w:t>.0</w:t>
                  </w:r>
                </w:p>
              </w:tc>
              <w:tc>
                <w:tcPr>
                  <w:tcW w:w="386" w:type="pct"/>
                  <w:noWrap w:val="0"/>
                  <w:vAlign w:val="center"/>
                </w:tcPr>
                <w:p w14:paraId="7AC828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1m</w:t>
                  </w:r>
                </w:p>
              </w:tc>
            </w:tr>
            <w:tr w14:paraId="5689C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7" w:type="pct"/>
                  <w:vMerge w:val="continue"/>
                  <w:noWrap w:val="0"/>
                  <w:vAlign w:val="center"/>
                </w:tcPr>
                <w:p w14:paraId="5A7044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i w:val="0"/>
                      <w:iCs w:val="0"/>
                      <w:color w:val="auto"/>
                      <w:sz w:val="18"/>
                      <w:szCs w:val="18"/>
                      <w:highlight w:val="none"/>
                      <w:u w:val="none"/>
                      <w:vertAlign w:val="baseline"/>
                      <w:lang w:val="en-US" w:eastAsia="zh-CN"/>
                    </w:rPr>
                  </w:pPr>
                </w:p>
              </w:tc>
              <w:tc>
                <w:tcPr>
                  <w:tcW w:w="236" w:type="pct"/>
                  <w:vMerge w:val="continue"/>
                  <w:noWrap w:val="0"/>
                  <w:vAlign w:val="center"/>
                </w:tcPr>
                <w:p w14:paraId="29416D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i w:val="0"/>
                      <w:iCs w:val="0"/>
                      <w:color w:val="auto"/>
                      <w:sz w:val="18"/>
                      <w:szCs w:val="18"/>
                      <w:highlight w:val="none"/>
                      <w:u w:val="none"/>
                      <w:vertAlign w:val="baseline"/>
                      <w:lang w:val="en-US" w:eastAsia="zh-CN"/>
                    </w:rPr>
                  </w:pPr>
                </w:p>
              </w:tc>
              <w:tc>
                <w:tcPr>
                  <w:tcW w:w="411" w:type="pct"/>
                  <w:vMerge w:val="continue"/>
                  <w:noWrap w:val="0"/>
                  <w:vAlign w:val="center"/>
                </w:tcPr>
                <w:p w14:paraId="47A633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i w:val="0"/>
                      <w:iCs w:val="0"/>
                      <w:color w:val="auto"/>
                      <w:kern w:val="2"/>
                      <w:sz w:val="18"/>
                      <w:szCs w:val="18"/>
                      <w:highlight w:val="none"/>
                      <w:u w:val="none"/>
                      <w:vertAlign w:val="baseline"/>
                      <w:lang w:val="en-US" w:eastAsia="zh-CN" w:bidi="ar-SA"/>
                    </w:rPr>
                  </w:pPr>
                </w:p>
              </w:tc>
              <w:tc>
                <w:tcPr>
                  <w:tcW w:w="493" w:type="pct"/>
                  <w:vMerge w:val="continue"/>
                  <w:noWrap w:val="0"/>
                  <w:vAlign w:val="center"/>
                </w:tcPr>
                <w:p w14:paraId="66BA4E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265" w:type="pct"/>
                  <w:vMerge w:val="continue"/>
                  <w:noWrap w:val="0"/>
                  <w:vAlign w:val="center"/>
                </w:tcPr>
                <w:p w14:paraId="3B2DB3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296" w:type="pct"/>
                  <w:vMerge w:val="continue"/>
                  <w:noWrap w:val="0"/>
                  <w:vAlign w:val="center"/>
                </w:tcPr>
                <w:p w14:paraId="77D739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305" w:type="pct"/>
                  <w:vMerge w:val="continue"/>
                  <w:noWrap w:val="0"/>
                  <w:vAlign w:val="center"/>
                </w:tcPr>
                <w:p w14:paraId="2C1EC8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246" w:type="pct"/>
                  <w:noWrap w:val="0"/>
                  <w:vAlign w:val="center"/>
                </w:tcPr>
                <w:p w14:paraId="43FD33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南</w:t>
                  </w:r>
                </w:p>
              </w:tc>
              <w:tc>
                <w:tcPr>
                  <w:tcW w:w="247" w:type="pct"/>
                  <w:noWrap w:val="0"/>
                  <w:vAlign w:val="center"/>
                </w:tcPr>
                <w:p w14:paraId="4A2574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eastAsia" w:ascii="Times New Roman" w:hAnsi="Times New Roman" w:cs="Times New Roman"/>
                      <w:b w:val="0"/>
                      <w:bCs w:val="0"/>
                      <w:i w:val="0"/>
                      <w:iCs w:val="0"/>
                      <w:color w:val="auto"/>
                      <w:sz w:val="18"/>
                      <w:szCs w:val="18"/>
                      <w:highlight w:val="none"/>
                      <w:u w:val="none"/>
                      <w:vertAlign w:val="baseline"/>
                      <w:lang w:val="en-US" w:eastAsia="zh-CN"/>
                    </w:rPr>
                    <w:t>9</w:t>
                  </w:r>
                </w:p>
              </w:tc>
              <w:tc>
                <w:tcPr>
                  <w:tcW w:w="504" w:type="pct"/>
                  <w:noWrap w:val="0"/>
                  <w:vAlign w:val="center"/>
                </w:tcPr>
                <w:p w14:paraId="413318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60.9</w:t>
                  </w:r>
                </w:p>
              </w:tc>
              <w:tc>
                <w:tcPr>
                  <w:tcW w:w="304" w:type="pct"/>
                  <w:vMerge w:val="continue"/>
                  <w:noWrap w:val="0"/>
                  <w:vAlign w:val="center"/>
                </w:tcPr>
                <w:p w14:paraId="468628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430" w:type="pct"/>
                  <w:vMerge w:val="continue"/>
                  <w:noWrap w:val="0"/>
                  <w:vAlign w:val="center"/>
                </w:tcPr>
                <w:p w14:paraId="459630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474" w:type="pct"/>
                  <w:noWrap w:val="0"/>
                  <w:vAlign w:val="center"/>
                </w:tcPr>
                <w:p w14:paraId="118992C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4</w:t>
                  </w:r>
                  <w:r>
                    <w:rPr>
                      <w:rFonts w:hint="eastAsia" w:cs="Times New Roman"/>
                      <w:b w:val="0"/>
                      <w:bCs w:val="0"/>
                      <w:i w:val="0"/>
                      <w:iCs w:val="0"/>
                      <w:color w:val="auto"/>
                      <w:kern w:val="0"/>
                      <w:sz w:val="18"/>
                      <w:szCs w:val="18"/>
                      <w:highlight w:val="none"/>
                      <w:u w:val="none"/>
                      <w:lang w:val="en-US" w:eastAsia="zh-CN" w:bidi="ar"/>
                    </w:rPr>
                    <w:t>5</w:t>
                  </w:r>
                  <w:r>
                    <w:rPr>
                      <w:rFonts w:hint="default" w:ascii="Times New Roman" w:hAnsi="Times New Roman" w:eastAsia="宋体" w:cs="Times New Roman"/>
                      <w:b w:val="0"/>
                      <w:bCs w:val="0"/>
                      <w:i w:val="0"/>
                      <w:iCs w:val="0"/>
                      <w:color w:val="auto"/>
                      <w:kern w:val="0"/>
                      <w:sz w:val="18"/>
                      <w:szCs w:val="18"/>
                      <w:highlight w:val="none"/>
                      <w:u w:val="none"/>
                      <w:lang w:val="en-US" w:eastAsia="zh-CN" w:bidi="ar"/>
                    </w:rPr>
                    <w:t>.9</w:t>
                  </w:r>
                </w:p>
              </w:tc>
              <w:tc>
                <w:tcPr>
                  <w:tcW w:w="386" w:type="pct"/>
                  <w:noWrap w:val="0"/>
                  <w:vAlign w:val="center"/>
                </w:tcPr>
                <w:p w14:paraId="7C4FFD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1m</w:t>
                  </w:r>
                </w:p>
              </w:tc>
            </w:tr>
            <w:tr w14:paraId="29B10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7" w:type="pct"/>
                  <w:vMerge w:val="continue"/>
                  <w:noWrap w:val="0"/>
                  <w:vAlign w:val="center"/>
                </w:tcPr>
                <w:p w14:paraId="6B496F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i w:val="0"/>
                      <w:iCs w:val="0"/>
                      <w:color w:val="auto"/>
                      <w:sz w:val="18"/>
                      <w:szCs w:val="18"/>
                      <w:highlight w:val="none"/>
                      <w:u w:val="none"/>
                      <w:vertAlign w:val="baseline"/>
                      <w:lang w:val="en-US" w:eastAsia="zh-CN"/>
                    </w:rPr>
                  </w:pPr>
                </w:p>
              </w:tc>
              <w:tc>
                <w:tcPr>
                  <w:tcW w:w="236" w:type="pct"/>
                  <w:vMerge w:val="continue"/>
                  <w:noWrap w:val="0"/>
                  <w:vAlign w:val="center"/>
                </w:tcPr>
                <w:p w14:paraId="12B6D8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i w:val="0"/>
                      <w:iCs w:val="0"/>
                      <w:color w:val="auto"/>
                      <w:sz w:val="18"/>
                      <w:szCs w:val="18"/>
                      <w:highlight w:val="none"/>
                      <w:u w:val="none"/>
                      <w:vertAlign w:val="baseline"/>
                      <w:lang w:val="en-US" w:eastAsia="zh-CN"/>
                    </w:rPr>
                  </w:pPr>
                </w:p>
              </w:tc>
              <w:tc>
                <w:tcPr>
                  <w:tcW w:w="411" w:type="pct"/>
                  <w:vMerge w:val="continue"/>
                  <w:noWrap w:val="0"/>
                  <w:vAlign w:val="center"/>
                </w:tcPr>
                <w:p w14:paraId="4B1A9F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i w:val="0"/>
                      <w:iCs w:val="0"/>
                      <w:color w:val="auto"/>
                      <w:kern w:val="2"/>
                      <w:sz w:val="18"/>
                      <w:szCs w:val="18"/>
                      <w:highlight w:val="none"/>
                      <w:u w:val="none"/>
                      <w:vertAlign w:val="baseline"/>
                      <w:lang w:val="en-US" w:eastAsia="zh-CN" w:bidi="ar-SA"/>
                    </w:rPr>
                  </w:pPr>
                </w:p>
              </w:tc>
              <w:tc>
                <w:tcPr>
                  <w:tcW w:w="493" w:type="pct"/>
                  <w:vMerge w:val="continue"/>
                  <w:noWrap w:val="0"/>
                  <w:vAlign w:val="center"/>
                </w:tcPr>
                <w:p w14:paraId="3CF8AE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265" w:type="pct"/>
                  <w:vMerge w:val="continue"/>
                  <w:noWrap w:val="0"/>
                  <w:vAlign w:val="center"/>
                </w:tcPr>
                <w:p w14:paraId="20435E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296" w:type="pct"/>
                  <w:vMerge w:val="continue"/>
                  <w:noWrap w:val="0"/>
                  <w:vAlign w:val="center"/>
                </w:tcPr>
                <w:p w14:paraId="76C8BD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305" w:type="pct"/>
                  <w:vMerge w:val="continue"/>
                  <w:noWrap w:val="0"/>
                  <w:vAlign w:val="center"/>
                </w:tcPr>
                <w:p w14:paraId="1127A7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246" w:type="pct"/>
                  <w:noWrap w:val="0"/>
                  <w:vAlign w:val="center"/>
                </w:tcPr>
                <w:p w14:paraId="70D92D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北</w:t>
                  </w:r>
                </w:p>
              </w:tc>
              <w:tc>
                <w:tcPr>
                  <w:tcW w:w="247" w:type="pct"/>
                  <w:noWrap w:val="0"/>
                  <w:vAlign w:val="center"/>
                </w:tcPr>
                <w:p w14:paraId="2A2C3E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eastAsia" w:ascii="Times New Roman" w:hAnsi="Times New Roman" w:cs="Times New Roman"/>
                      <w:b w:val="0"/>
                      <w:bCs w:val="0"/>
                      <w:i w:val="0"/>
                      <w:iCs w:val="0"/>
                      <w:color w:val="auto"/>
                      <w:sz w:val="18"/>
                      <w:szCs w:val="18"/>
                      <w:highlight w:val="none"/>
                      <w:u w:val="none"/>
                      <w:vertAlign w:val="baseline"/>
                      <w:lang w:val="en-US" w:eastAsia="zh-CN"/>
                    </w:rPr>
                    <w:t>4</w:t>
                  </w:r>
                </w:p>
              </w:tc>
              <w:tc>
                <w:tcPr>
                  <w:tcW w:w="504" w:type="pct"/>
                  <w:noWrap w:val="0"/>
                  <w:vAlign w:val="center"/>
                </w:tcPr>
                <w:p w14:paraId="5A5991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66.0</w:t>
                  </w:r>
                </w:p>
              </w:tc>
              <w:tc>
                <w:tcPr>
                  <w:tcW w:w="304" w:type="pct"/>
                  <w:vMerge w:val="continue"/>
                  <w:noWrap w:val="0"/>
                  <w:vAlign w:val="center"/>
                </w:tcPr>
                <w:p w14:paraId="212C56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430" w:type="pct"/>
                  <w:vMerge w:val="continue"/>
                  <w:noWrap w:val="0"/>
                  <w:vAlign w:val="center"/>
                </w:tcPr>
                <w:p w14:paraId="107D97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p>
              </w:tc>
              <w:tc>
                <w:tcPr>
                  <w:tcW w:w="474" w:type="pct"/>
                  <w:noWrap w:val="0"/>
                  <w:vAlign w:val="center"/>
                </w:tcPr>
                <w:p w14:paraId="263499A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eastAsia" w:cs="Times New Roman"/>
                      <w:b w:val="0"/>
                      <w:bCs w:val="0"/>
                      <w:i w:val="0"/>
                      <w:iCs w:val="0"/>
                      <w:color w:val="auto"/>
                      <w:kern w:val="0"/>
                      <w:sz w:val="18"/>
                      <w:szCs w:val="18"/>
                      <w:highlight w:val="none"/>
                      <w:u w:val="none"/>
                      <w:lang w:val="en-US" w:eastAsia="zh-CN" w:bidi="ar"/>
                    </w:rPr>
                    <w:t>51</w:t>
                  </w:r>
                  <w:r>
                    <w:rPr>
                      <w:rFonts w:hint="default" w:ascii="Times New Roman" w:hAnsi="Times New Roman" w:eastAsia="宋体" w:cs="Times New Roman"/>
                      <w:b w:val="0"/>
                      <w:bCs w:val="0"/>
                      <w:i w:val="0"/>
                      <w:iCs w:val="0"/>
                      <w:color w:val="auto"/>
                      <w:kern w:val="0"/>
                      <w:sz w:val="18"/>
                      <w:szCs w:val="18"/>
                      <w:highlight w:val="none"/>
                      <w:u w:val="none"/>
                      <w:lang w:val="en-US" w:eastAsia="zh-CN" w:bidi="ar"/>
                    </w:rPr>
                    <w:t>.0</w:t>
                  </w:r>
                </w:p>
              </w:tc>
              <w:tc>
                <w:tcPr>
                  <w:tcW w:w="386" w:type="pct"/>
                  <w:noWrap w:val="0"/>
                  <w:vAlign w:val="center"/>
                </w:tcPr>
                <w:p w14:paraId="13B109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i w:val="0"/>
                      <w:iCs w:val="0"/>
                      <w:color w:val="auto"/>
                      <w:sz w:val="18"/>
                      <w:szCs w:val="18"/>
                      <w:highlight w:val="none"/>
                      <w:u w:val="none"/>
                      <w:vertAlign w:val="baseline"/>
                      <w:lang w:val="en-US" w:eastAsia="zh-CN"/>
                    </w:rPr>
                  </w:pPr>
                  <w:r>
                    <w:rPr>
                      <w:rFonts w:hint="default" w:ascii="Times New Roman" w:hAnsi="Times New Roman" w:cs="Times New Roman"/>
                      <w:b w:val="0"/>
                      <w:bCs w:val="0"/>
                      <w:i w:val="0"/>
                      <w:iCs w:val="0"/>
                      <w:color w:val="auto"/>
                      <w:sz w:val="18"/>
                      <w:szCs w:val="18"/>
                      <w:highlight w:val="none"/>
                      <w:u w:val="none"/>
                      <w:vertAlign w:val="baseline"/>
                      <w:lang w:val="en-US" w:eastAsia="zh-CN"/>
                    </w:rPr>
                    <w:t>1m</w:t>
                  </w:r>
                </w:p>
              </w:tc>
            </w:tr>
          </w:tbl>
          <w:p w14:paraId="36C2014A">
            <w:pPr>
              <w:numPr>
                <w:ilvl w:val="0"/>
                <w:numId w:val="12"/>
              </w:numPr>
              <w:bidi w:val="0"/>
              <w:jc w:val="left"/>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噪声预测</w:t>
            </w:r>
          </w:p>
          <w:p w14:paraId="21ECB714">
            <w:pPr>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1）预测模式选择</w:t>
            </w:r>
          </w:p>
          <w:p w14:paraId="7EA6E20C">
            <w:pPr>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本次评价采用《环境影响评价技术导则—声环境》（HJ2.4-2021）推荐的噪声传播衰减方法进行预测，预测模式如下。</w:t>
            </w:r>
          </w:p>
          <w:p w14:paraId="7E725D20">
            <w:pPr>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本次环境噪声影响预测主要是针对本项目主要噪声源对厂界的影响进行预测，厂界四周分别设置一个受测点，由于预测点距声源的距离比声源本身尺寸大得多，因此声源将当作点声源处理。本工程噪声预测时只考虑几何发散引起的A声级衰减，预测模式如下：</w:t>
            </w:r>
          </w:p>
          <w:p w14:paraId="4819825E">
            <w:pPr>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Lp(r)＝Lp(r</w:t>
            </w:r>
            <w:r>
              <w:rPr>
                <w:rFonts w:hint="default" w:ascii="Times New Roman" w:hAnsi="Times New Roman" w:eastAsia="宋体" w:cs="宋体"/>
                <w:color w:val="auto"/>
                <w:highlight w:val="none"/>
                <w:vertAlign w:val="subscript"/>
                <w:lang w:val="en-US" w:eastAsia="zh-CN"/>
              </w:rPr>
              <w:t>0</w:t>
            </w:r>
            <w:r>
              <w:rPr>
                <w:rFonts w:hint="default" w:ascii="Times New Roman" w:hAnsi="Times New Roman" w:eastAsia="宋体" w:cs="宋体"/>
                <w:color w:val="auto"/>
                <w:highlight w:val="none"/>
                <w:lang w:val="en-US" w:eastAsia="zh-CN"/>
              </w:rPr>
              <w:t>)－20lg(r/r</w:t>
            </w:r>
            <w:r>
              <w:rPr>
                <w:rFonts w:hint="default" w:ascii="Times New Roman" w:hAnsi="Times New Roman" w:eastAsia="宋体" w:cs="宋体"/>
                <w:color w:val="auto"/>
                <w:highlight w:val="none"/>
                <w:vertAlign w:val="subscript"/>
                <w:lang w:val="en-US" w:eastAsia="zh-CN"/>
              </w:rPr>
              <w:t>0</w:t>
            </w:r>
            <w:r>
              <w:rPr>
                <w:rFonts w:hint="default" w:ascii="Times New Roman" w:hAnsi="Times New Roman" w:eastAsia="宋体" w:cs="宋体"/>
                <w:color w:val="auto"/>
                <w:highlight w:val="none"/>
                <w:lang w:val="en-US" w:eastAsia="zh-CN"/>
              </w:rPr>
              <w:t>)</w:t>
            </w:r>
          </w:p>
          <w:p w14:paraId="663BDB28">
            <w:pPr>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式中：Lp(r)——预测点处声压级，dB；</w:t>
            </w:r>
          </w:p>
          <w:p w14:paraId="2C31791F">
            <w:pPr>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Lp(r0)——参考位置r0处的声压级，dB；</w:t>
            </w:r>
          </w:p>
          <w:p w14:paraId="542BBC5D">
            <w:pPr>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r——预测点距声源的距离；</w:t>
            </w:r>
          </w:p>
          <w:p w14:paraId="5D5DB008">
            <w:pPr>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r0——参考位置距声源的距离。</w:t>
            </w:r>
          </w:p>
          <w:p w14:paraId="3D4F2060">
            <w:pPr>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2）预测受声点选择</w:t>
            </w:r>
          </w:p>
          <w:p w14:paraId="268971CA">
            <w:pPr>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由于噪声局限性、易变性等特点，本次将预测受声点选择在厂界四周。</w:t>
            </w:r>
          </w:p>
          <w:p w14:paraId="2CBB81BD">
            <w:pPr>
              <w:numPr>
                <w:ilvl w:val="0"/>
                <w:numId w:val="12"/>
              </w:numPr>
              <w:bidi w:val="0"/>
              <w:jc w:val="left"/>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预测结果</w:t>
            </w:r>
          </w:p>
          <w:p w14:paraId="4E59BCF1">
            <w:pPr>
              <w:rPr>
                <w:rFonts w:hint="eastAsia"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根据《环境影响评价技术导则 声环境》（HJ 2.4-2021）推荐的公式进行噪声预测，项目噪声预测结果见</w:t>
            </w:r>
            <w:r>
              <w:rPr>
                <w:rFonts w:hint="default" w:ascii="Times New Roman" w:hAnsi="Times New Roman" w:eastAsia="宋体" w:cs="宋体"/>
                <w:color w:val="auto"/>
                <w:highlight w:val="none"/>
                <w:lang w:val="en-US" w:eastAsia="zh-CN"/>
              </w:rPr>
              <w:fldChar w:fldCharType="begin"/>
            </w:r>
            <w:r>
              <w:rPr>
                <w:rFonts w:hint="default" w:ascii="Times New Roman" w:hAnsi="Times New Roman" w:eastAsia="宋体" w:cs="宋体"/>
                <w:color w:val="auto"/>
                <w:highlight w:val="none"/>
                <w:lang w:val="en-US" w:eastAsia="zh-CN"/>
              </w:rPr>
              <w:instrText xml:space="preserve"> REF _Ref2486 \h </w:instrText>
            </w:r>
            <w:r>
              <w:rPr>
                <w:rFonts w:hint="default" w:ascii="Times New Roman" w:hAnsi="Times New Roman" w:eastAsia="宋体" w:cs="宋体"/>
                <w:color w:val="auto"/>
                <w:highlight w:val="none"/>
                <w:lang w:val="en-US" w:eastAsia="zh-CN"/>
              </w:rPr>
              <w:fldChar w:fldCharType="separate"/>
            </w:r>
            <w:r>
              <w:rPr>
                <w:rFonts w:hint="eastAsia"/>
                <w:color w:val="auto"/>
                <w:highlight w:val="none"/>
                <w:lang w:eastAsia="zh-CN"/>
              </w:rPr>
              <w:t>表</w:t>
            </w:r>
            <w:r>
              <w:rPr>
                <w:color w:val="auto"/>
                <w:highlight w:val="none"/>
              </w:rPr>
              <w:fldChar w:fldCharType="begin"/>
            </w:r>
            <w:r>
              <w:rPr>
                <w:color w:val="auto"/>
                <w:highlight w:val="none"/>
              </w:rPr>
              <w:instrText xml:space="preserve"> STYLEREF 1 \s </w:instrText>
            </w:r>
            <w:r>
              <w:rPr>
                <w:color w:val="auto"/>
                <w:highlight w:val="none"/>
              </w:rPr>
              <w:fldChar w:fldCharType="separate"/>
            </w:r>
            <w:r>
              <w:rPr>
                <w:color w:val="auto"/>
                <w:highlight w:val="none"/>
              </w:rPr>
              <w:t>4</w:t>
            </w:r>
            <w:r>
              <w:rPr>
                <w:color w:val="auto"/>
                <w:highlight w:val="none"/>
              </w:rPr>
              <w:fldChar w:fldCharType="end"/>
            </w:r>
            <w:r>
              <w:rPr>
                <w:rFonts w:hint="eastAsia"/>
                <w:color w:val="auto"/>
                <w:highlight w:val="none"/>
                <w:lang w:eastAsia="zh-CN"/>
              </w:rPr>
              <w:t>-</w:t>
            </w:r>
            <w:r>
              <w:rPr>
                <w:color w:val="auto"/>
                <w:highlight w:val="none"/>
              </w:rPr>
              <w:t>13</w:t>
            </w:r>
            <w:r>
              <w:rPr>
                <w:rFonts w:hint="default" w:ascii="Times New Roman" w:hAnsi="Times New Roman" w:eastAsia="宋体" w:cs="宋体"/>
                <w:color w:val="auto"/>
                <w:highlight w:val="none"/>
                <w:lang w:val="en-US" w:eastAsia="zh-CN"/>
              </w:rPr>
              <w:fldChar w:fldCharType="end"/>
            </w:r>
            <w:r>
              <w:rPr>
                <w:rFonts w:hint="default" w:ascii="Times New Roman" w:hAnsi="Times New Roman" w:eastAsia="宋体" w:cs="宋体"/>
                <w:color w:val="auto"/>
                <w:highlight w:val="none"/>
                <w:lang w:val="en-US" w:eastAsia="zh-CN"/>
              </w:rPr>
              <w:t>。</w:t>
            </w:r>
          </w:p>
          <w:p w14:paraId="7D7318B9">
            <w:pPr>
              <w:pStyle w:val="12"/>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eastAsia="宋体"/>
                <w:color w:val="auto"/>
                <w:highlight w:val="none"/>
                <w:lang w:val="en-US" w:eastAsia="zh-CN"/>
              </w:rPr>
            </w:pPr>
            <w:bookmarkStart w:id="51" w:name="_Ref2486"/>
            <w:r>
              <w:rPr>
                <w:rFonts w:hint="eastAsia"/>
                <w:color w:val="auto"/>
                <w:highlight w:val="none"/>
                <w:lang w:eastAsia="zh-CN"/>
              </w:rPr>
              <w:t>表</w:t>
            </w:r>
            <w:r>
              <w:rPr>
                <w:color w:val="auto"/>
                <w:highlight w:val="none"/>
              </w:rPr>
              <w:fldChar w:fldCharType="begin"/>
            </w:r>
            <w:r>
              <w:rPr>
                <w:color w:val="auto"/>
                <w:highlight w:val="none"/>
              </w:rPr>
              <w:instrText xml:space="preserve"> STYLEREF 1 \s </w:instrText>
            </w:r>
            <w:r>
              <w:rPr>
                <w:color w:val="auto"/>
                <w:highlight w:val="none"/>
              </w:rPr>
              <w:fldChar w:fldCharType="separate"/>
            </w:r>
            <w:r>
              <w:rPr>
                <w:color w:val="auto"/>
                <w:highlight w:val="none"/>
              </w:rPr>
              <w:t>4</w:t>
            </w:r>
            <w:r>
              <w:rPr>
                <w:color w:val="auto"/>
                <w:highlight w:val="none"/>
              </w:rPr>
              <w:fldChar w:fldCharType="end"/>
            </w:r>
            <w:r>
              <w:rPr>
                <w:rFonts w:hint="eastAsia"/>
                <w:color w:val="auto"/>
                <w:highlight w:val="none"/>
                <w:lang w:eastAsia="zh-CN"/>
              </w:rPr>
              <w:t>-</w:t>
            </w:r>
            <w:r>
              <w:rPr>
                <w:color w:val="auto"/>
                <w:highlight w:val="none"/>
              </w:rPr>
              <w:fldChar w:fldCharType="begin"/>
            </w:r>
            <w:r>
              <w:rPr>
                <w:color w:val="auto"/>
                <w:highlight w:val="none"/>
              </w:rPr>
              <w:instrText xml:space="preserve"> SEQ 表 \* ARABIC \s 1 </w:instrText>
            </w:r>
            <w:r>
              <w:rPr>
                <w:color w:val="auto"/>
                <w:highlight w:val="none"/>
              </w:rPr>
              <w:fldChar w:fldCharType="separate"/>
            </w:r>
            <w:r>
              <w:rPr>
                <w:color w:val="auto"/>
                <w:highlight w:val="none"/>
              </w:rPr>
              <w:t>13</w:t>
            </w:r>
            <w:r>
              <w:rPr>
                <w:color w:val="auto"/>
                <w:highlight w:val="none"/>
              </w:rPr>
              <w:fldChar w:fldCharType="end"/>
            </w:r>
            <w:bookmarkEnd w:id="50"/>
            <w:bookmarkEnd w:id="51"/>
            <w:r>
              <w:rPr>
                <w:rFonts w:hint="eastAsia"/>
                <w:color w:val="auto"/>
                <w:highlight w:val="none"/>
                <w:lang w:val="en-US" w:eastAsia="zh-CN"/>
              </w:rPr>
              <w:t xml:space="preserve"> 厂界噪声预测结果与达标分析一览表</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Layout w:type="autofit"/>
              <w:tblCellMar>
                <w:top w:w="0" w:type="dxa"/>
                <w:left w:w="108" w:type="dxa"/>
                <w:bottom w:w="0" w:type="dxa"/>
                <w:right w:w="108" w:type="dxa"/>
              </w:tblCellMar>
            </w:tblPr>
            <w:tblGrid>
              <w:gridCol w:w="1573"/>
              <w:gridCol w:w="1382"/>
              <w:gridCol w:w="2076"/>
              <w:gridCol w:w="1972"/>
              <w:gridCol w:w="1600"/>
            </w:tblGrid>
            <w:tr w14:paraId="27BC0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CellMar>
                  <w:top w:w="0" w:type="dxa"/>
                  <w:left w:w="108" w:type="dxa"/>
                  <w:bottom w:w="0" w:type="dxa"/>
                  <w:right w:w="108" w:type="dxa"/>
                </w:tblCellMar>
              </w:tblPrEx>
              <w:trPr>
                <w:trHeight w:val="23" w:hRule="atLeast"/>
                <w:jc w:val="center"/>
              </w:trPr>
              <w:tc>
                <w:tcPr>
                  <w:tcW w:w="914" w:type="pct"/>
                  <w:shd w:val="clear" w:color="auto" w:fill="auto"/>
                  <w:noWrap w:val="0"/>
                  <w:vAlign w:val="center"/>
                </w:tcPr>
                <w:p w14:paraId="4135A4A1">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名称</w:t>
                  </w:r>
                </w:p>
              </w:tc>
              <w:tc>
                <w:tcPr>
                  <w:tcW w:w="803" w:type="pct"/>
                  <w:shd w:val="clear" w:color="auto" w:fill="auto"/>
                  <w:noWrap w:val="0"/>
                  <w:vAlign w:val="center"/>
                </w:tcPr>
                <w:p w14:paraId="0EE4DCA8">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时段</w:t>
                  </w:r>
                </w:p>
              </w:tc>
              <w:tc>
                <w:tcPr>
                  <w:tcW w:w="1206" w:type="pct"/>
                  <w:shd w:val="clear" w:color="auto" w:fill="auto"/>
                  <w:noWrap w:val="0"/>
                  <w:vAlign w:val="center"/>
                </w:tcPr>
                <w:p w14:paraId="6299C43E">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贡献值</w:t>
                  </w:r>
                  <w:r>
                    <w:rPr>
                      <w:rFonts w:hint="default"/>
                      <w:color w:val="auto"/>
                      <w:highlight w:val="none"/>
                      <w:lang w:val="en-US" w:eastAsia="zh-CN"/>
                    </w:rPr>
                    <w:t>（</w:t>
                  </w:r>
                  <w:r>
                    <w:rPr>
                      <w:color w:val="auto"/>
                      <w:highlight w:val="none"/>
                    </w:rPr>
                    <w:t>dB</w:t>
                  </w:r>
                  <w:r>
                    <w:rPr>
                      <w:rFonts w:hint="eastAsia"/>
                      <w:color w:val="auto"/>
                      <w:highlight w:val="none"/>
                      <w:lang w:val="en-US" w:eastAsia="zh-CN"/>
                    </w:rPr>
                    <w:t>(A)</w:t>
                  </w:r>
                  <w:r>
                    <w:rPr>
                      <w:color w:val="auto"/>
                      <w:highlight w:val="none"/>
                    </w:rPr>
                    <w:t>）</w:t>
                  </w:r>
                </w:p>
              </w:tc>
              <w:tc>
                <w:tcPr>
                  <w:tcW w:w="1146" w:type="pct"/>
                  <w:shd w:val="clear" w:color="auto" w:fill="auto"/>
                  <w:noWrap w:val="0"/>
                  <w:vAlign w:val="center"/>
                </w:tcPr>
                <w:p w14:paraId="2A4D43EF">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标准限值（dB</w:t>
                  </w:r>
                  <w:r>
                    <w:rPr>
                      <w:rFonts w:hint="eastAsia"/>
                      <w:color w:val="auto"/>
                      <w:highlight w:val="none"/>
                      <w:lang w:val="en-US" w:eastAsia="zh-CN"/>
                    </w:rPr>
                    <w:t>(A)</w:t>
                  </w:r>
                  <w:r>
                    <w:rPr>
                      <w:color w:val="auto"/>
                      <w:highlight w:val="none"/>
                    </w:rPr>
                    <w:t>）</w:t>
                  </w:r>
                </w:p>
              </w:tc>
              <w:tc>
                <w:tcPr>
                  <w:tcW w:w="929" w:type="pct"/>
                  <w:shd w:val="clear" w:color="auto" w:fill="auto"/>
                  <w:noWrap w:val="0"/>
                  <w:vAlign w:val="center"/>
                </w:tcPr>
                <w:p w14:paraId="646FE130">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达标情况</w:t>
                  </w:r>
                </w:p>
              </w:tc>
            </w:tr>
            <w:tr w14:paraId="06758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14" w:type="pct"/>
                  <w:vMerge w:val="restart"/>
                  <w:shd w:val="clear" w:color="auto" w:fill="auto"/>
                  <w:noWrap w:val="0"/>
                  <w:vAlign w:val="center"/>
                </w:tcPr>
                <w:p w14:paraId="763441C6">
                  <w:pPr>
                    <w:pStyle w:val="52"/>
                    <w:keepNext w:val="0"/>
                    <w:keepLines w:val="0"/>
                    <w:pageBreakBefore w:val="0"/>
                    <w:widowControl/>
                    <w:kinsoku w:val="0"/>
                    <w:wordWrap/>
                    <w:overflowPunct/>
                    <w:topLinePunct w:val="0"/>
                    <w:autoSpaceDE w:val="0"/>
                    <w:autoSpaceDN w:val="0"/>
                    <w:bidi w:val="0"/>
                    <w:adjustRightInd/>
                    <w:snapToGrid/>
                    <w:spacing w:line="240" w:lineRule="auto"/>
                    <w:ind w:left="0" w:leftChars="0" w:right="0" w:rightChars="0" w:firstLine="0" w:firstLineChars="0"/>
                    <w:jc w:val="center"/>
                    <w:textAlignment w:val="baseline"/>
                    <w:rPr>
                      <w:rFonts w:hint="default" w:ascii="Times New Roman" w:hAnsi="Times New Roman" w:eastAsia="宋体" w:cs="Times New Roman"/>
                      <w:color w:val="auto"/>
                      <w:spacing w:val="1"/>
                      <w:sz w:val="21"/>
                      <w:szCs w:val="21"/>
                      <w:highlight w:val="none"/>
                      <w:lang w:val="en-US" w:eastAsia="zh-CN"/>
                    </w:rPr>
                  </w:pPr>
                  <w:r>
                    <w:rPr>
                      <w:rFonts w:hint="eastAsia" w:ascii="Times New Roman" w:hAnsi="Times New Roman" w:cs="Times New Roman"/>
                      <w:color w:val="auto"/>
                      <w:spacing w:val="1"/>
                      <w:sz w:val="21"/>
                      <w:szCs w:val="21"/>
                      <w:highlight w:val="none"/>
                      <w:lang w:val="en-US" w:eastAsia="zh-CN"/>
                    </w:rPr>
                    <w:t>厂界东</w:t>
                  </w:r>
                </w:p>
              </w:tc>
              <w:tc>
                <w:tcPr>
                  <w:tcW w:w="803" w:type="pct"/>
                  <w:shd w:val="clear" w:color="auto" w:fill="auto"/>
                  <w:noWrap w:val="0"/>
                  <w:vAlign w:val="center"/>
                </w:tcPr>
                <w:p w14:paraId="086F7C19">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昼间</w:t>
                  </w:r>
                </w:p>
              </w:tc>
              <w:tc>
                <w:tcPr>
                  <w:tcW w:w="1206" w:type="pct"/>
                  <w:shd w:val="clear" w:color="auto" w:fill="auto"/>
                  <w:noWrap w:val="0"/>
                  <w:vAlign w:val="center"/>
                </w:tcPr>
                <w:p w14:paraId="02CD5BB4">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46.5</w:t>
                  </w:r>
                </w:p>
              </w:tc>
              <w:tc>
                <w:tcPr>
                  <w:tcW w:w="1972" w:type="dxa"/>
                  <w:shd w:val="clear" w:color="auto" w:fill="auto"/>
                  <w:noWrap w:val="0"/>
                  <w:vAlign w:val="center"/>
                </w:tcPr>
                <w:p w14:paraId="5C6A9D5B">
                  <w:pPr>
                    <w:pStyle w:val="43"/>
                    <w:keepNext w:val="0"/>
                    <w:keepLines w:val="0"/>
                    <w:pageBreakBefore w:val="0"/>
                    <w:wordWrap/>
                    <w:overflowPunct/>
                    <w:topLinePunct w:val="0"/>
                    <w:bidi w:val="0"/>
                    <w:adjustRightInd/>
                    <w:snapToGrid/>
                    <w:spacing w:line="240" w:lineRule="auto"/>
                    <w:ind w:firstLine="0" w:firstLineChars="0"/>
                    <w:jc w:val="center"/>
                    <w:rPr>
                      <w:rFonts w:hint="default"/>
                      <w:color w:val="auto"/>
                      <w:highlight w:val="none"/>
                      <w:lang w:val="en-US" w:eastAsia="zh-CN"/>
                    </w:rPr>
                  </w:pPr>
                  <w:r>
                    <w:rPr>
                      <w:rFonts w:hint="eastAsia"/>
                      <w:color w:val="auto"/>
                      <w:highlight w:val="none"/>
                      <w:lang w:val="en-US" w:eastAsia="zh-CN"/>
                    </w:rPr>
                    <w:t>55</w:t>
                  </w:r>
                </w:p>
              </w:tc>
              <w:tc>
                <w:tcPr>
                  <w:tcW w:w="929" w:type="pct"/>
                  <w:shd w:val="clear" w:color="auto" w:fill="auto"/>
                  <w:noWrap w:val="0"/>
                  <w:vAlign w:val="center"/>
                </w:tcPr>
                <w:p w14:paraId="1FB6CBE2">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达标</w:t>
                  </w:r>
                </w:p>
              </w:tc>
            </w:tr>
            <w:tr w14:paraId="21FD5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14" w:type="pct"/>
                  <w:vMerge w:val="continue"/>
                  <w:shd w:val="clear" w:color="auto" w:fill="auto"/>
                  <w:noWrap w:val="0"/>
                  <w:vAlign w:val="center"/>
                </w:tcPr>
                <w:p w14:paraId="19423202">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p>
              </w:tc>
              <w:tc>
                <w:tcPr>
                  <w:tcW w:w="803" w:type="pct"/>
                  <w:shd w:val="clear" w:color="auto" w:fill="auto"/>
                  <w:noWrap w:val="0"/>
                  <w:vAlign w:val="center"/>
                </w:tcPr>
                <w:p w14:paraId="19327B7E">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夜间</w:t>
                  </w:r>
                </w:p>
              </w:tc>
              <w:tc>
                <w:tcPr>
                  <w:tcW w:w="1206" w:type="pct"/>
                  <w:shd w:val="clear" w:color="auto" w:fill="auto"/>
                  <w:noWrap w:val="0"/>
                  <w:vAlign w:val="center"/>
                </w:tcPr>
                <w:p w14:paraId="569EDF2D">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42.3</w:t>
                  </w:r>
                </w:p>
              </w:tc>
              <w:tc>
                <w:tcPr>
                  <w:tcW w:w="1972" w:type="dxa"/>
                  <w:shd w:val="clear" w:color="auto" w:fill="auto"/>
                  <w:noWrap w:val="0"/>
                  <w:vAlign w:val="center"/>
                </w:tcPr>
                <w:p w14:paraId="61E8B078">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45</w:t>
                  </w:r>
                </w:p>
              </w:tc>
              <w:tc>
                <w:tcPr>
                  <w:tcW w:w="929" w:type="pct"/>
                  <w:shd w:val="clear" w:color="auto" w:fill="auto"/>
                  <w:noWrap w:val="0"/>
                  <w:vAlign w:val="center"/>
                </w:tcPr>
                <w:p w14:paraId="22E56056">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达标</w:t>
                  </w:r>
                </w:p>
              </w:tc>
            </w:tr>
            <w:tr w14:paraId="6EA58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14" w:type="pct"/>
                  <w:vMerge w:val="restart"/>
                  <w:shd w:val="clear" w:color="auto" w:fill="auto"/>
                  <w:noWrap w:val="0"/>
                  <w:vAlign w:val="center"/>
                </w:tcPr>
                <w:p w14:paraId="5C01F627">
                  <w:pPr>
                    <w:pStyle w:val="52"/>
                    <w:keepNext w:val="0"/>
                    <w:keepLines w:val="0"/>
                    <w:pageBreakBefore w:val="0"/>
                    <w:widowControl/>
                    <w:kinsoku w:val="0"/>
                    <w:wordWrap/>
                    <w:overflowPunct/>
                    <w:topLinePunct w:val="0"/>
                    <w:autoSpaceDE w:val="0"/>
                    <w:autoSpaceDN w:val="0"/>
                    <w:bidi w:val="0"/>
                    <w:adjustRightInd/>
                    <w:snapToGrid/>
                    <w:spacing w:line="240" w:lineRule="auto"/>
                    <w:ind w:left="0" w:leftChars="0" w:right="0" w:rightChars="0" w:firstLine="0" w:firstLineChars="0"/>
                    <w:jc w:val="center"/>
                    <w:textAlignment w:val="baseline"/>
                    <w:rPr>
                      <w:rFonts w:hint="default" w:ascii="Times New Roman" w:hAnsi="Times New Roman" w:eastAsia="宋体" w:cs="Times New Roman"/>
                      <w:color w:val="auto"/>
                      <w:spacing w:val="1"/>
                      <w:sz w:val="21"/>
                      <w:szCs w:val="21"/>
                      <w:highlight w:val="none"/>
                      <w:lang w:val="en-US" w:eastAsia="zh-CN"/>
                    </w:rPr>
                  </w:pPr>
                  <w:r>
                    <w:rPr>
                      <w:rFonts w:hint="eastAsia" w:ascii="Times New Roman" w:hAnsi="Times New Roman" w:cs="Times New Roman"/>
                      <w:color w:val="auto"/>
                      <w:spacing w:val="1"/>
                      <w:sz w:val="21"/>
                      <w:szCs w:val="21"/>
                      <w:highlight w:val="none"/>
                      <w:lang w:val="en-US" w:eastAsia="zh-CN"/>
                    </w:rPr>
                    <w:t>厂界南</w:t>
                  </w:r>
                </w:p>
              </w:tc>
              <w:tc>
                <w:tcPr>
                  <w:tcW w:w="803" w:type="pct"/>
                  <w:shd w:val="clear" w:color="auto" w:fill="auto"/>
                  <w:noWrap w:val="0"/>
                  <w:vAlign w:val="center"/>
                </w:tcPr>
                <w:p w14:paraId="1590081B">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昼间</w:t>
                  </w:r>
                </w:p>
              </w:tc>
              <w:tc>
                <w:tcPr>
                  <w:tcW w:w="1206" w:type="pct"/>
                  <w:shd w:val="clear" w:color="auto" w:fill="auto"/>
                  <w:noWrap w:val="0"/>
                  <w:vAlign w:val="center"/>
                </w:tcPr>
                <w:p w14:paraId="396C5683">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50.2</w:t>
                  </w:r>
                </w:p>
              </w:tc>
              <w:tc>
                <w:tcPr>
                  <w:tcW w:w="1146" w:type="pct"/>
                  <w:shd w:val="clear" w:color="auto" w:fill="auto"/>
                  <w:noWrap w:val="0"/>
                  <w:vAlign w:val="center"/>
                </w:tcPr>
                <w:p w14:paraId="0419C1FD">
                  <w:pPr>
                    <w:pStyle w:val="43"/>
                    <w:keepNext w:val="0"/>
                    <w:keepLines w:val="0"/>
                    <w:pageBreakBefore w:val="0"/>
                    <w:wordWrap/>
                    <w:overflowPunct/>
                    <w:topLinePunct w:val="0"/>
                    <w:bidi w:val="0"/>
                    <w:adjustRightInd/>
                    <w:snapToGrid/>
                    <w:spacing w:line="240" w:lineRule="auto"/>
                    <w:ind w:firstLine="0" w:firstLineChars="0"/>
                    <w:jc w:val="center"/>
                    <w:rPr>
                      <w:rFonts w:hint="default"/>
                      <w:color w:val="auto"/>
                      <w:highlight w:val="none"/>
                      <w:lang w:val="en-US" w:eastAsia="zh-CN"/>
                    </w:rPr>
                  </w:pPr>
                  <w:r>
                    <w:rPr>
                      <w:rFonts w:hint="eastAsia"/>
                      <w:color w:val="auto"/>
                      <w:highlight w:val="none"/>
                      <w:lang w:val="en-US" w:eastAsia="zh-CN"/>
                    </w:rPr>
                    <w:t>55</w:t>
                  </w:r>
                </w:p>
              </w:tc>
              <w:tc>
                <w:tcPr>
                  <w:tcW w:w="929" w:type="pct"/>
                  <w:shd w:val="clear" w:color="auto" w:fill="auto"/>
                  <w:noWrap w:val="0"/>
                  <w:vAlign w:val="center"/>
                </w:tcPr>
                <w:p w14:paraId="543CBF5C">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达标</w:t>
                  </w:r>
                </w:p>
              </w:tc>
            </w:tr>
            <w:tr w14:paraId="408BE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CellMar>
                  <w:top w:w="0" w:type="dxa"/>
                  <w:left w:w="108" w:type="dxa"/>
                  <w:bottom w:w="0" w:type="dxa"/>
                  <w:right w:w="108" w:type="dxa"/>
                </w:tblCellMar>
              </w:tblPrEx>
              <w:trPr>
                <w:trHeight w:val="23" w:hRule="atLeast"/>
                <w:jc w:val="center"/>
              </w:trPr>
              <w:tc>
                <w:tcPr>
                  <w:tcW w:w="914" w:type="pct"/>
                  <w:vMerge w:val="continue"/>
                  <w:shd w:val="clear" w:color="auto" w:fill="auto"/>
                  <w:noWrap w:val="0"/>
                  <w:vAlign w:val="center"/>
                </w:tcPr>
                <w:p w14:paraId="12311FAD">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p>
              </w:tc>
              <w:tc>
                <w:tcPr>
                  <w:tcW w:w="803" w:type="pct"/>
                  <w:shd w:val="clear" w:color="auto" w:fill="auto"/>
                  <w:noWrap w:val="0"/>
                  <w:vAlign w:val="center"/>
                </w:tcPr>
                <w:p w14:paraId="0A072A4A">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夜间</w:t>
                  </w:r>
                </w:p>
              </w:tc>
              <w:tc>
                <w:tcPr>
                  <w:tcW w:w="1206" w:type="pct"/>
                  <w:shd w:val="clear" w:color="auto" w:fill="auto"/>
                  <w:noWrap w:val="0"/>
                  <w:vAlign w:val="center"/>
                </w:tcPr>
                <w:p w14:paraId="1DA01D70">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43.4</w:t>
                  </w:r>
                </w:p>
              </w:tc>
              <w:tc>
                <w:tcPr>
                  <w:tcW w:w="1146" w:type="pct"/>
                  <w:shd w:val="clear" w:color="auto" w:fill="auto"/>
                  <w:noWrap w:val="0"/>
                  <w:vAlign w:val="center"/>
                </w:tcPr>
                <w:p w14:paraId="61DFC79A">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45</w:t>
                  </w:r>
                </w:p>
              </w:tc>
              <w:tc>
                <w:tcPr>
                  <w:tcW w:w="929" w:type="pct"/>
                  <w:shd w:val="clear" w:color="auto" w:fill="auto"/>
                  <w:noWrap w:val="0"/>
                  <w:vAlign w:val="center"/>
                </w:tcPr>
                <w:p w14:paraId="50EE9596">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达标</w:t>
                  </w:r>
                </w:p>
              </w:tc>
            </w:tr>
            <w:tr w14:paraId="106D1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CellMar>
                  <w:top w:w="0" w:type="dxa"/>
                  <w:left w:w="108" w:type="dxa"/>
                  <w:bottom w:w="0" w:type="dxa"/>
                  <w:right w:w="108" w:type="dxa"/>
                </w:tblCellMar>
              </w:tblPrEx>
              <w:trPr>
                <w:trHeight w:val="23" w:hRule="atLeast"/>
                <w:jc w:val="center"/>
              </w:trPr>
              <w:tc>
                <w:tcPr>
                  <w:tcW w:w="914" w:type="pct"/>
                  <w:vMerge w:val="restart"/>
                  <w:shd w:val="clear" w:color="auto" w:fill="auto"/>
                  <w:noWrap w:val="0"/>
                  <w:vAlign w:val="center"/>
                </w:tcPr>
                <w:p w14:paraId="5376CC9F">
                  <w:pPr>
                    <w:pStyle w:val="52"/>
                    <w:keepNext w:val="0"/>
                    <w:keepLines w:val="0"/>
                    <w:pageBreakBefore w:val="0"/>
                    <w:widowControl/>
                    <w:kinsoku w:val="0"/>
                    <w:wordWrap/>
                    <w:overflowPunct/>
                    <w:topLinePunct w:val="0"/>
                    <w:autoSpaceDE w:val="0"/>
                    <w:autoSpaceDN w:val="0"/>
                    <w:bidi w:val="0"/>
                    <w:adjustRightInd/>
                    <w:snapToGrid/>
                    <w:spacing w:line="240" w:lineRule="auto"/>
                    <w:ind w:left="0" w:leftChars="0" w:right="0" w:rightChars="0" w:firstLine="0" w:firstLineChars="0"/>
                    <w:jc w:val="center"/>
                    <w:textAlignment w:val="baseline"/>
                    <w:rPr>
                      <w:rFonts w:hint="default" w:ascii="Times New Roman" w:hAnsi="Times New Roman" w:eastAsia="宋体" w:cs="Times New Roman"/>
                      <w:color w:val="auto"/>
                      <w:spacing w:val="1"/>
                      <w:sz w:val="21"/>
                      <w:szCs w:val="21"/>
                      <w:highlight w:val="none"/>
                      <w:lang w:val="en-US" w:eastAsia="zh-CN"/>
                    </w:rPr>
                  </w:pPr>
                  <w:r>
                    <w:rPr>
                      <w:rFonts w:hint="eastAsia" w:ascii="Times New Roman" w:hAnsi="Times New Roman" w:cs="Times New Roman"/>
                      <w:color w:val="auto"/>
                      <w:spacing w:val="1"/>
                      <w:sz w:val="21"/>
                      <w:szCs w:val="21"/>
                      <w:highlight w:val="none"/>
                      <w:lang w:val="en-US" w:eastAsia="zh-CN"/>
                    </w:rPr>
                    <w:t>厂界西</w:t>
                  </w:r>
                </w:p>
              </w:tc>
              <w:tc>
                <w:tcPr>
                  <w:tcW w:w="803" w:type="pct"/>
                  <w:shd w:val="clear" w:color="auto" w:fill="auto"/>
                  <w:noWrap w:val="0"/>
                  <w:vAlign w:val="center"/>
                </w:tcPr>
                <w:p w14:paraId="5BDF2C75">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昼间</w:t>
                  </w:r>
                </w:p>
              </w:tc>
              <w:tc>
                <w:tcPr>
                  <w:tcW w:w="1206" w:type="pct"/>
                  <w:shd w:val="clear" w:color="auto" w:fill="auto"/>
                  <w:noWrap w:val="0"/>
                  <w:vAlign w:val="center"/>
                </w:tcPr>
                <w:p w14:paraId="3AD91DC9">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50.1</w:t>
                  </w:r>
                </w:p>
              </w:tc>
              <w:tc>
                <w:tcPr>
                  <w:tcW w:w="1146" w:type="pct"/>
                  <w:shd w:val="clear" w:color="auto" w:fill="auto"/>
                  <w:noWrap w:val="0"/>
                  <w:vAlign w:val="center"/>
                </w:tcPr>
                <w:p w14:paraId="7975BFC4">
                  <w:pPr>
                    <w:pStyle w:val="43"/>
                    <w:keepNext w:val="0"/>
                    <w:keepLines w:val="0"/>
                    <w:pageBreakBefore w:val="0"/>
                    <w:wordWrap/>
                    <w:overflowPunct/>
                    <w:topLinePunct w:val="0"/>
                    <w:bidi w:val="0"/>
                    <w:adjustRightInd/>
                    <w:snapToGrid/>
                    <w:spacing w:line="240" w:lineRule="auto"/>
                    <w:ind w:firstLine="0" w:firstLineChars="0"/>
                    <w:jc w:val="center"/>
                    <w:rPr>
                      <w:rFonts w:hint="eastAsia"/>
                      <w:color w:val="auto"/>
                      <w:highlight w:val="none"/>
                      <w:lang w:val="en-US" w:eastAsia="zh-CN"/>
                    </w:rPr>
                  </w:pPr>
                  <w:r>
                    <w:rPr>
                      <w:rFonts w:hint="eastAsia"/>
                      <w:color w:val="auto"/>
                      <w:highlight w:val="none"/>
                      <w:lang w:val="en-US" w:eastAsia="zh-CN"/>
                    </w:rPr>
                    <w:t>55</w:t>
                  </w:r>
                </w:p>
              </w:tc>
              <w:tc>
                <w:tcPr>
                  <w:tcW w:w="929" w:type="pct"/>
                  <w:shd w:val="clear" w:color="auto" w:fill="auto"/>
                  <w:noWrap w:val="0"/>
                  <w:vAlign w:val="center"/>
                </w:tcPr>
                <w:p w14:paraId="7AEE45C5">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达标</w:t>
                  </w:r>
                </w:p>
              </w:tc>
            </w:tr>
            <w:tr w14:paraId="5F66C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14" w:type="pct"/>
                  <w:vMerge w:val="continue"/>
                  <w:shd w:val="clear" w:color="auto" w:fill="auto"/>
                  <w:noWrap w:val="0"/>
                  <w:vAlign w:val="center"/>
                </w:tcPr>
                <w:p w14:paraId="420223CC">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p>
              </w:tc>
              <w:tc>
                <w:tcPr>
                  <w:tcW w:w="803" w:type="pct"/>
                  <w:shd w:val="clear" w:color="auto" w:fill="auto"/>
                  <w:noWrap w:val="0"/>
                  <w:vAlign w:val="center"/>
                </w:tcPr>
                <w:p w14:paraId="4639043D">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夜间</w:t>
                  </w:r>
                </w:p>
              </w:tc>
              <w:tc>
                <w:tcPr>
                  <w:tcW w:w="1206" w:type="pct"/>
                  <w:shd w:val="clear" w:color="auto" w:fill="auto"/>
                  <w:noWrap w:val="0"/>
                  <w:vAlign w:val="center"/>
                </w:tcPr>
                <w:p w14:paraId="7D3B5478">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44.5</w:t>
                  </w:r>
                </w:p>
              </w:tc>
              <w:tc>
                <w:tcPr>
                  <w:tcW w:w="1146" w:type="pct"/>
                  <w:shd w:val="clear" w:color="auto" w:fill="auto"/>
                  <w:noWrap w:val="0"/>
                  <w:vAlign w:val="center"/>
                </w:tcPr>
                <w:p w14:paraId="3D589BA8">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45</w:t>
                  </w:r>
                </w:p>
              </w:tc>
              <w:tc>
                <w:tcPr>
                  <w:tcW w:w="929" w:type="pct"/>
                  <w:shd w:val="clear" w:color="auto" w:fill="auto"/>
                  <w:noWrap w:val="0"/>
                  <w:vAlign w:val="center"/>
                </w:tcPr>
                <w:p w14:paraId="0F6A2FBB">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达标</w:t>
                  </w:r>
                </w:p>
              </w:tc>
            </w:tr>
            <w:tr w14:paraId="16A32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14" w:type="pct"/>
                  <w:vMerge w:val="restart"/>
                  <w:shd w:val="clear" w:color="auto" w:fill="auto"/>
                  <w:noWrap w:val="0"/>
                  <w:vAlign w:val="center"/>
                </w:tcPr>
                <w:p w14:paraId="5B446574">
                  <w:pPr>
                    <w:pStyle w:val="52"/>
                    <w:keepNext w:val="0"/>
                    <w:keepLines w:val="0"/>
                    <w:pageBreakBefore w:val="0"/>
                    <w:widowControl/>
                    <w:kinsoku w:val="0"/>
                    <w:wordWrap/>
                    <w:overflowPunct/>
                    <w:topLinePunct w:val="0"/>
                    <w:autoSpaceDE w:val="0"/>
                    <w:autoSpaceDN w:val="0"/>
                    <w:bidi w:val="0"/>
                    <w:adjustRightInd/>
                    <w:snapToGrid/>
                    <w:spacing w:line="240" w:lineRule="auto"/>
                    <w:ind w:left="0" w:leftChars="0" w:right="0" w:rightChars="0" w:firstLine="0" w:firstLineChars="0"/>
                    <w:jc w:val="center"/>
                    <w:textAlignment w:val="baseline"/>
                    <w:rPr>
                      <w:rFonts w:hint="default" w:ascii="Times New Roman" w:hAnsi="Times New Roman" w:eastAsia="宋体" w:cs="Times New Roman"/>
                      <w:color w:val="auto"/>
                      <w:spacing w:val="1"/>
                      <w:sz w:val="21"/>
                      <w:szCs w:val="21"/>
                      <w:highlight w:val="none"/>
                      <w:lang w:val="en-US" w:eastAsia="zh-CN"/>
                    </w:rPr>
                  </w:pPr>
                  <w:r>
                    <w:rPr>
                      <w:rFonts w:hint="eastAsia" w:ascii="Times New Roman" w:hAnsi="Times New Roman" w:cs="Times New Roman"/>
                      <w:color w:val="auto"/>
                      <w:spacing w:val="1"/>
                      <w:sz w:val="21"/>
                      <w:szCs w:val="21"/>
                      <w:highlight w:val="none"/>
                      <w:lang w:val="en-US" w:eastAsia="zh-CN"/>
                    </w:rPr>
                    <w:t>厂界北</w:t>
                  </w:r>
                </w:p>
              </w:tc>
              <w:tc>
                <w:tcPr>
                  <w:tcW w:w="803" w:type="pct"/>
                  <w:shd w:val="clear" w:color="auto" w:fill="auto"/>
                  <w:noWrap w:val="0"/>
                  <w:vAlign w:val="center"/>
                </w:tcPr>
                <w:p w14:paraId="60A5263B">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昼间</w:t>
                  </w:r>
                </w:p>
              </w:tc>
              <w:tc>
                <w:tcPr>
                  <w:tcW w:w="1206" w:type="pct"/>
                  <w:shd w:val="clear" w:color="auto" w:fill="auto"/>
                  <w:noWrap w:val="0"/>
                  <w:vAlign w:val="center"/>
                </w:tcPr>
                <w:p w14:paraId="20F4F91A">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45.2</w:t>
                  </w:r>
                </w:p>
              </w:tc>
              <w:tc>
                <w:tcPr>
                  <w:tcW w:w="1146" w:type="pct"/>
                  <w:shd w:val="clear" w:color="auto" w:fill="auto"/>
                  <w:noWrap w:val="0"/>
                  <w:vAlign w:val="center"/>
                </w:tcPr>
                <w:p w14:paraId="4E59061F">
                  <w:pPr>
                    <w:pStyle w:val="43"/>
                    <w:keepNext w:val="0"/>
                    <w:keepLines w:val="0"/>
                    <w:pageBreakBefore w:val="0"/>
                    <w:wordWrap/>
                    <w:overflowPunct/>
                    <w:topLinePunct w:val="0"/>
                    <w:bidi w:val="0"/>
                    <w:adjustRightInd/>
                    <w:snapToGrid/>
                    <w:spacing w:line="240" w:lineRule="auto"/>
                    <w:ind w:firstLine="0" w:firstLineChars="0"/>
                    <w:jc w:val="center"/>
                    <w:rPr>
                      <w:rFonts w:hint="eastAsia"/>
                      <w:color w:val="auto"/>
                      <w:highlight w:val="none"/>
                      <w:lang w:val="en-US" w:eastAsia="zh-CN"/>
                    </w:rPr>
                  </w:pPr>
                  <w:r>
                    <w:rPr>
                      <w:rFonts w:hint="eastAsia"/>
                      <w:color w:val="auto"/>
                      <w:highlight w:val="none"/>
                      <w:lang w:val="en-US" w:eastAsia="zh-CN"/>
                    </w:rPr>
                    <w:t>55</w:t>
                  </w:r>
                </w:p>
              </w:tc>
              <w:tc>
                <w:tcPr>
                  <w:tcW w:w="929" w:type="pct"/>
                  <w:shd w:val="clear" w:color="auto" w:fill="auto"/>
                  <w:noWrap w:val="0"/>
                  <w:vAlign w:val="center"/>
                </w:tcPr>
                <w:p w14:paraId="3075254B">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达标</w:t>
                  </w:r>
                </w:p>
              </w:tc>
            </w:tr>
            <w:tr w14:paraId="3DB5B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00"/>
                <w:tblCellMar>
                  <w:top w:w="0" w:type="dxa"/>
                  <w:left w:w="108" w:type="dxa"/>
                  <w:bottom w:w="0" w:type="dxa"/>
                  <w:right w:w="108" w:type="dxa"/>
                </w:tblCellMar>
              </w:tblPrEx>
              <w:trPr>
                <w:trHeight w:val="23" w:hRule="atLeast"/>
                <w:jc w:val="center"/>
              </w:trPr>
              <w:tc>
                <w:tcPr>
                  <w:tcW w:w="914" w:type="pct"/>
                  <w:vMerge w:val="continue"/>
                  <w:shd w:val="clear" w:color="auto" w:fill="auto"/>
                  <w:noWrap w:val="0"/>
                  <w:vAlign w:val="center"/>
                </w:tcPr>
                <w:p w14:paraId="125025B1">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p>
              </w:tc>
              <w:tc>
                <w:tcPr>
                  <w:tcW w:w="803" w:type="pct"/>
                  <w:shd w:val="clear" w:color="auto" w:fill="auto"/>
                  <w:noWrap w:val="0"/>
                  <w:vAlign w:val="center"/>
                </w:tcPr>
                <w:p w14:paraId="561DF68C">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夜间</w:t>
                  </w:r>
                </w:p>
              </w:tc>
              <w:tc>
                <w:tcPr>
                  <w:tcW w:w="1206" w:type="pct"/>
                  <w:shd w:val="clear" w:color="auto" w:fill="auto"/>
                  <w:noWrap w:val="0"/>
                  <w:vAlign w:val="center"/>
                </w:tcPr>
                <w:p w14:paraId="438FF0A7">
                  <w:pPr>
                    <w:pStyle w:val="43"/>
                    <w:keepNext w:val="0"/>
                    <w:keepLines w:val="0"/>
                    <w:pageBreakBefore w:val="0"/>
                    <w:wordWrap/>
                    <w:overflowPunct/>
                    <w:topLinePunct w:val="0"/>
                    <w:bidi w:val="0"/>
                    <w:adjustRightInd/>
                    <w:snapToGrid/>
                    <w:spacing w:line="240" w:lineRule="auto"/>
                    <w:ind w:firstLine="0" w:firstLineChars="0"/>
                    <w:jc w:val="center"/>
                    <w:rPr>
                      <w:rFonts w:hint="default" w:eastAsia="宋体"/>
                      <w:color w:val="auto"/>
                      <w:highlight w:val="none"/>
                      <w:lang w:val="en-US" w:eastAsia="zh-CN"/>
                    </w:rPr>
                  </w:pPr>
                  <w:r>
                    <w:rPr>
                      <w:rFonts w:hint="eastAsia"/>
                      <w:color w:val="auto"/>
                      <w:highlight w:val="none"/>
                      <w:lang w:val="en-US" w:eastAsia="zh-CN"/>
                    </w:rPr>
                    <w:t>42.7</w:t>
                  </w:r>
                </w:p>
              </w:tc>
              <w:tc>
                <w:tcPr>
                  <w:tcW w:w="1146" w:type="pct"/>
                  <w:shd w:val="clear" w:color="auto" w:fill="auto"/>
                  <w:noWrap w:val="0"/>
                  <w:vAlign w:val="center"/>
                </w:tcPr>
                <w:p w14:paraId="4A208CA8">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rFonts w:hint="eastAsia"/>
                      <w:color w:val="auto"/>
                      <w:highlight w:val="none"/>
                      <w:lang w:val="en-US" w:eastAsia="zh-CN"/>
                    </w:rPr>
                    <w:t>45</w:t>
                  </w:r>
                </w:p>
              </w:tc>
              <w:tc>
                <w:tcPr>
                  <w:tcW w:w="929" w:type="pct"/>
                  <w:shd w:val="clear" w:color="auto" w:fill="auto"/>
                  <w:noWrap w:val="0"/>
                  <w:vAlign w:val="center"/>
                </w:tcPr>
                <w:p w14:paraId="24FCA340">
                  <w:pPr>
                    <w:pStyle w:val="43"/>
                    <w:keepNext w:val="0"/>
                    <w:keepLines w:val="0"/>
                    <w:pageBreakBefore w:val="0"/>
                    <w:wordWrap/>
                    <w:overflowPunct/>
                    <w:topLinePunct w:val="0"/>
                    <w:bidi w:val="0"/>
                    <w:adjustRightInd/>
                    <w:snapToGrid/>
                    <w:spacing w:line="240" w:lineRule="auto"/>
                    <w:ind w:firstLine="0" w:firstLineChars="0"/>
                    <w:jc w:val="center"/>
                    <w:rPr>
                      <w:color w:val="auto"/>
                      <w:highlight w:val="none"/>
                    </w:rPr>
                  </w:pPr>
                  <w:r>
                    <w:rPr>
                      <w:color w:val="auto"/>
                      <w:highlight w:val="none"/>
                    </w:rPr>
                    <w:t>达标</w:t>
                  </w:r>
                </w:p>
              </w:tc>
            </w:tr>
          </w:tbl>
          <w:p w14:paraId="59BE567E">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eastAsia" w:cs="宋体"/>
                <w:color w:val="auto"/>
                <w:highlight w:val="none"/>
                <w:lang w:val="en-US" w:eastAsia="zh-CN"/>
              </w:rPr>
            </w:pPr>
            <w:bookmarkStart w:id="52" w:name="_Toc30636"/>
            <w:bookmarkStart w:id="53" w:name="_Toc5285"/>
            <w:r>
              <w:rPr>
                <w:rFonts w:hint="eastAsia" w:cs="宋体"/>
                <w:color w:val="auto"/>
                <w:highlight w:val="none"/>
                <w:lang w:val="en-US" w:eastAsia="zh-CN"/>
              </w:rPr>
              <w:t>根据预测结果，本项目厂界各点噪声排放值均满足《工业企业厂界环境噪声排放标准》（GB12348-2008）1类标准限值要求，噪声排放达标，对周边环境影响较小。</w:t>
            </w:r>
          </w:p>
          <w:p w14:paraId="3DC72EBA">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eastAsia" w:cs="宋体"/>
                <w:color w:val="auto"/>
                <w:highlight w:val="none"/>
                <w:lang w:val="en-US" w:eastAsia="zh-CN"/>
              </w:rPr>
            </w:pPr>
            <w:r>
              <w:rPr>
                <w:rFonts w:hint="eastAsia" w:cs="宋体"/>
                <w:color w:val="auto"/>
                <w:highlight w:val="none"/>
                <w:lang w:val="en-US" w:eastAsia="zh-CN"/>
              </w:rPr>
              <w:t>项目厂界南侧、东侧均为空地，无明显噪声源，不会对本项目产生噪声干扰；西侧为同步建设的壶关县第一中学高中部，该项目与本项目建设及运营节奏一致，其产生的噪声与本项目噪声可同步管控，相互影响较小；北侧紧邻花壶线，本项目厂界与花壶线之间间隔约23m，且该区域已规划种植绿化隔离带，可有效发挥隔声、降噪作用，削弱交通噪声传播，降低其对本项目的影响。</w:t>
            </w:r>
          </w:p>
          <w:p w14:paraId="27CA984B">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default" w:ascii="Times New Roman" w:hAnsi="Times New Roman" w:eastAsia="宋体" w:cs="宋体"/>
                <w:color w:val="auto"/>
                <w:highlight w:val="none"/>
                <w:lang w:val="en-US" w:eastAsia="zh-CN"/>
              </w:rPr>
            </w:pPr>
            <w:r>
              <w:rPr>
                <w:rFonts w:hint="eastAsia" w:cs="宋体"/>
                <w:color w:val="auto"/>
                <w:highlight w:val="none"/>
                <w:lang w:val="en-US" w:eastAsia="zh-CN"/>
              </w:rPr>
              <w:t>综上，本项目自身噪声排放达标，且通过合理布局及绿化隔声措施，有效控制了外环境噪声干扰，外环境对本项目的噪声影响较小，可保障项目正常教学及师生休息环境质量。</w:t>
            </w:r>
          </w:p>
          <w:p w14:paraId="7F1B74C0">
            <w:pPr>
              <w:numPr>
                <w:ilvl w:val="0"/>
                <w:numId w:val="12"/>
              </w:numPr>
              <w:bidi w:val="0"/>
              <w:jc w:val="left"/>
              <w:rPr>
                <w:rFonts w:hint="default" w:ascii="Times New Roman" w:hAnsi="Times New Roman" w:eastAsia="宋体" w:cs="宋体"/>
                <w:color w:val="auto"/>
                <w:highlight w:val="none"/>
                <w:lang w:eastAsia="zh-CN"/>
              </w:rPr>
            </w:pPr>
            <w:r>
              <w:rPr>
                <w:rFonts w:hint="default" w:ascii="Times New Roman" w:hAnsi="Times New Roman" w:eastAsia="宋体" w:cs="宋体"/>
                <w:color w:val="auto"/>
                <w:highlight w:val="none"/>
                <w:lang w:eastAsia="zh-CN"/>
              </w:rPr>
              <w:t>监测要求</w:t>
            </w:r>
          </w:p>
          <w:p w14:paraId="782233A2">
            <w:pPr>
              <w:pStyle w:val="29"/>
              <w:keepNext w:val="0"/>
              <w:keepLines w:val="0"/>
              <w:pageBreakBefore w:val="0"/>
              <w:widowControl w:val="0"/>
              <w:suppressLineNumbers w:val="0"/>
              <w:kinsoku/>
              <w:wordWrap/>
              <w:overflowPunct/>
              <w:topLinePunct w:val="0"/>
              <w:autoSpaceDE w:val="0"/>
              <w:autoSpaceDN w:val="0"/>
              <w:bidi w:val="0"/>
              <w:adjustRightInd w:val="0"/>
              <w:snapToGrid w:val="0"/>
              <w:spacing w:before="0" w:beforeLines="0" w:beforeAutospacing="0" w:after="0" w:afterLines="0" w:afterAutospacing="0" w:line="420" w:lineRule="exact"/>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STYLEREF 1 \s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4</w:t>
            </w:r>
            <w:r>
              <w:rPr>
                <w:rFonts w:hint="default" w:ascii="Times New Roman" w:hAnsi="Times New Roman" w:eastAsia="宋体" w:cs="Times New Roman"/>
                <w:b/>
                <w:bCs/>
                <w:color w:val="auto"/>
                <w:sz w:val="21"/>
                <w:szCs w:val="21"/>
                <w:highlight w:val="none"/>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SEQ 表 \* ARABIC \s 1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14</w:t>
            </w:r>
            <w:r>
              <w:rPr>
                <w:rFonts w:hint="default" w:ascii="Times New Roman" w:hAnsi="Times New Roman" w:eastAsia="宋体" w:cs="Times New Roman"/>
                <w:b/>
                <w:bCs/>
                <w:color w:val="auto"/>
                <w:sz w:val="21"/>
                <w:szCs w:val="21"/>
                <w:highlight w:val="none"/>
              </w:rPr>
              <w:fldChar w:fldCharType="end"/>
            </w:r>
            <w:r>
              <w:rPr>
                <w:rFonts w:hint="default" w:ascii="Times New Roman" w:hAnsi="Times New Roman" w:eastAsia="宋体" w:cs="Times New Roman"/>
                <w:b/>
                <w:bCs/>
                <w:color w:val="auto"/>
                <w:sz w:val="21"/>
                <w:szCs w:val="21"/>
                <w:highlight w:val="none"/>
                <w:lang w:val="en-US" w:eastAsia="zh-CN"/>
              </w:rPr>
              <w:t xml:space="preserve"> </w:t>
            </w:r>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lang w:val="en-US" w:eastAsia="zh-CN"/>
              </w:rPr>
              <w:t>噪声</w:t>
            </w:r>
            <w:r>
              <w:rPr>
                <w:rFonts w:hint="default" w:ascii="Times New Roman" w:hAnsi="Times New Roman" w:eastAsia="宋体" w:cs="Times New Roman"/>
                <w:b/>
                <w:bCs/>
                <w:color w:val="auto"/>
                <w:sz w:val="21"/>
                <w:szCs w:val="21"/>
                <w:highlight w:val="none"/>
              </w:rPr>
              <w:t>监测计划</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1079"/>
              <w:gridCol w:w="1870"/>
              <w:gridCol w:w="1365"/>
              <w:gridCol w:w="3017"/>
            </w:tblGrid>
            <w:tr w14:paraId="1234C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9" w:type="pct"/>
                  <w:noWrap w:val="0"/>
                  <w:vAlign w:val="center"/>
                </w:tcPr>
                <w:p w14:paraId="7A914A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环境要素</w:t>
                  </w:r>
                </w:p>
              </w:tc>
              <w:tc>
                <w:tcPr>
                  <w:tcW w:w="627" w:type="pct"/>
                  <w:noWrap w:val="0"/>
                  <w:vAlign w:val="center"/>
                </w:tcPr>
                <w:p w14:paraId="72714D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监测点</w:t>
                  </w:r>
                </w:p>
              </w:tc>
              <w:tc>
                <w:tcPr>
                  <w:tcW w:w="1086" w:type="pct"/>
                  <w:noWrap w:val="0"/>
                  <w:vAlign w:val="center"/>
                </w:tcPr>
                <w:p w14:paraId="69A7F0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监测项目</w:t>
                  </w:r>
                </w:p>
              </w:tc>
              <w:tc>
                <w:tcPr>
                  <w:tcW w:w="793" w:type="pct"/>
                  <w:noWrap w:val="0"/>
                  <w:vAlign w:val="center"/>
                </w:tcPr>
                <w:p w14:paraId="3BC87A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监测频次</w:t>
                  </w:r>
                </w:p>
              </w:tc>
              <w:tc>
                <w:tcPr>
                  <w:tcW w:w="1752" w:type="pct"/>
                  <w:noWrap w:val="0"/>
                  <w:vAlign w:val="center"/>
                </w:tcPr>
                <w:p w14:paraId="5A790F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执行标准</w:t>
                  </w:r>
                </w:p>
              </w:tc>
            </w:tr>
            <w:tr w14:paraId="437E2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9" w:type="pct"/>
                  <w:noWrap w:val="0"/>
                  <w:vAlign w:val="center"/>
                </w:tcPr>
                <w:p w14:paraId="7E8159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噪声</w:t>
                  </w:r>
                </w:p>
              </w:tc>
              <w:tc>
                <w:tcPr>
                  <w:tcW w:w="627" w:type="pct"/>
                  <w:noWrap w:val="0"/>
                  <w:vAlign w:val="center"/>
                </w:tcPr>
                <w:p w14:paraId="6F708E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厂界</w:t>
                  </w:r>
                </w:p>
              </w:tc>
              <w:tc>
                <w:tcPr>
                  <w:tcW w:w="1086" w:type="pct"/>
                  <w:noWrap w:val="0"/>
                  <w:vAlign w:val="center"/>
                </w:tcPr>
                <w:p w14:paraId="16E130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等效连续A声级</w:t>
                  </w:r>
                </w:p>
              </w:tc>
              <w:tc>
                <w:tcPr>
                  <w:tcW w:w="793" w:type="pct"/>
                  <w:noWrap w:val="0"/>
                  <w:vAlign w:val="center"/>
                </w:tcPr>
                <w:p w14:paraId="0EC0B0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1次/</w:t>
                  </w:r>
                  <w:r>
                    <w:rPr>
                      <w:rFonts w:hint="default" w:ascii="Times New Roman" w:hAnsi="Times New Roman" w:eastAsia="宋体" w:cs="Times New Roman"/>
                      <w:color w:val="auto"/>
                      <w:sz w:val="21"/>
                      <w:szCs w:val="21"/>
                      <w:highlight w:val="none"/>
                      <w:lang w:val="en-US" w:eastAsia="zh-CN"/>
                    </w:rPr>
                    <w:t>季度</w:t>
                  </w:r>
                </w:p>
              </w:tc>
              <w:tc>
                <w:tcPr>
                  <w:tcW w:w="1752" w:type="pct"/>
                  <w:noWrap w:val="0"/>
                  <w:vAlign w:val="center"/>
                </w:tcPr>
                <w:p w14:paraId="0CA5C92E">
                  <w:pPr>
                    <w:keepNext w:val="0"/>
                    <w:keepLines w:val="0"/>
                    <w:pageBreakBefore w:val="0"/>
                    <w:widowControl w:val="0"/>
                    <w:suppressLineNumbers w:val="0"/>
                    <w:tabs>
                      <w:tab w:val="left" w:pos="7500"/>
                    </w:tabs>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《工业企业厂界环境噪声排放标准》</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GB12348-200</w:t>
                  </w:r>
                  <w:r>
                    <w:rPr>
                      <w:rFonts w:hint="default" w:ascii="Times New Roman" w:hAnsi="Times New Roman" w:eastAsia="宋体"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eastAsia="zh-CN"/>
                    </w:rPr>
                    <w:t>）</w:t>
                  </w:r>
                </w:p>
              </w:tc>
            </w:tr>
          </w:tbl>
          <w:p w14:paraId="47C32FD6">
            <w:pPr>
              <w:pStyle w:val="3"/>
              <w:keepNext w:val="0"/>
              <w:keepLines w:val="0"/>
              <w:pageBreakBefore w:val="0"/>
              <w:widowControl w:val="0"/>
              <w:kinsoku/>
              <w:wordWrap/>
              <w:overflowPunct/>
              <w:topLinePunct w:val="0"/>
              <w:autoSpaceDE/>
              <w:autoSpaceDN/>
              <w:bidi w:val="0"/>
              <w:adjustRightInd/>
              <w:snapToGrid/>
              <w:ind w:left="0" w:leftChars="0" w:firstLine="482" w:firstLineChars="200"/>
              <w:jc w:val="left"/>
              <w:textAlignment w:val="auto"/>
              <w:rPr>
                <w:rFonts w:hint="eastAsia"/>
                <w:b/>
                <w:bCs/>
                <w:color w:val="auto"/>
                <w:highlight w:val="none"/>
                <w:lang w:val="en-US" w:eastAsia="zh-CN"/>
              </w:rPr>
            </w:pPr>
            <w:r>
              <w:rPr>
                <w:rFonts w:hint="eastAsia"/>
                <w:b/>
                <w:bCs/>
                <w:color w:val="auto"/>
                <w:highlight w:val="none"/>
                <w:lang w:val="en-US" w:eastAsia="zh-CN"/>
              </w:rPr>
              <w:t>固体废物</w:t>
            </w:r>
            <w:bookmarkEnd w:id="52"/>
            <w:bookmarkEnd w:id="53"/>
          </w:p>
          <w:p w14:paraId="553A8956">
            <w:pPr>
              <w:pStyle w:val="4"/>
              <w:keepNext/>
              <w:keepLines/>
              <w:pageBreakBefore w:val="0"/>
              <w:widowControl w:val="0"/>
              <w:kinsoku/>
              <w:wordWrap/>
              <w:overflowPunct/>
              <w:topLinePunct w:val="0"/>
              <w:autoSpaceDE/>
              <w:autoSpaceDN/>
              <w:bidi w:val="0"/>
              <w:adjustRightInd/>
              <w:snapToGrid/>
              <w:spacing w:before="0" w:beforeLines="0" w:after="0" w:afterLines="0"/>
              <w:ind w:left="0" w:firstLine="482" w:firstLineChars="200"/>
              <w:jc w:val="left"/>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固体废物产生及利用处置情况</w:t>
            </w:r>
          </w:p>
          <w:p w14:paraId="249DD3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本项目固体废物分为危险废物</w:t>
            </w:r>
            <w:r>
              <w:rPr>
                <w:rFonts w:hint="eastAsia" w:ascii="Times New Roman" w:hAnsi="Times New Roman" w:eastAsia="宋体" w:cs="Times New Roman"/>
                <w:color w:val="auto"/>
                <w:sz w:val="24"/>
                <w:highlight w:val="none"/>
                <w:lang w:val="en-US" w:eastAsia="zh-CN"/>
              </w:rPr>
              <w:t>、一般固体废物和</w:t>
            </w:r>
            <w:r>
              <w:rPr>
                <w:rFonts w:hint="default" w:ascii="Times New Roman" w:hAnsi="Times New Roman" w:eastAsia="宋体" w:cs="Times New Roman"/>
                <w:color w:val="auto"/>
                <w:sz w:val="24"/>
                <w:highlight w:val="none"/>
                <w:lang w:val="en-US" w:eastAsia="zh-CN"/>
              </w:rPr>
              <w:t>生活垃圾</w:t>
            </w:r>
            <w:r>
              <w:rPr>
                <w:rFonts w:hint="default" w:ascii="Times New Roman" w:hAnsi="Times New Roman" w:eastAsia="宋体" w:cs="Times New Roman"/>
                <w:color w:val="auto"/>
                <w:sz w:val="24"/>
                <w:highlight w:val="none"/>
              </w:rPr>
              <w:t>。一般固体废物主要为</w:t>
            </w:r>
            <w:r>
              <w:rPr>
                <w:rFonts w:hint="eastAsia" w:ascii="Times New Roman" w:hAnsi="Times New Roman" w:eastAsia="宋体" w:cs="Times New Roman"/>
                <w:color w:val="auto"/>
                <w:sz w:val="24"/>
                <w:highlight w:val="none"/>
                <w:lang w:val="en-US" w:eastAsia="zh-CN"/>
              </w:rPr>
              <w:t>餐厨垃圾、隔油池废油脂和实验室一般固体废物</w:t>
            </w:r>
            <w:r>
              <w:rPr>
                <w:rFonts w:hint="default" w:ascii="Times New Roman" w:hAnsi="Times New Roman" w:eastAsia="宋体" w:cs="Times New Roman"/>
                <w:color w:val="auto"/>
                <w:sz w:val="24"/>
                <w:highlight w:val="none"/>
                <w:lang w:val="en-US" w:eastAsia="zh-CN"/>
              </w:rPr>
              <w:t>；危险废物为</w:t>
            </w:r>
            <w:r>
              <w:rPr>
                <w:rFonts w:hint="eastAsia" w:ascii="Times New Roman" w:hAnsi="Times New Roman" w:eastAsia="宋体" w:cs="Times New Roman"/>
                <w:color w:val="auto"/>
                <w:sz w:val="24"/>
                <w:highlight w:val="none"/>
                <w:lang w:val="en-US" w:eastAsia="zh-CN"/>
              </w:rPr>
              <w:t>实验室危险废物和实验室废气治理废活性炭</w:t>
            </w:r>
            <w:r>
              <w:rPr>
                <w:rFonts w:hint="default" w:ascii="Times New Roman" w:hAnsi="Times New Roman" w:eastAsia="宋体" w:cs="Times New Roman"/>
                <w:color w:val="auto"/>
                <w:sz w:val="24"/>
                <w:highlight w:val="none"/>
                <w:lang w:val="en-US" w:eastAsia="zh-CN"/>
              </w:rPr>
              <w:t>。</w:t>
            </w:r>
          </w:p>
          <w:p w14:paraId="560FA8FC">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left="0" w:firstLine="480" w:firstLineChars="200"/>
              <w:jc w:val="left"/>
              <w:textAlignment w:val="auto"/>
              <w:rPr>
                <w:rFonts w:hint="eastAsia"/>
                <w:color w:val="auto"/>
                <w:highlight w:val="none"/>
                <w:lang w:val="en-US" w:eastAsia="zh-CN"/>
              </w:rPr>
            </w:pPr>
            <w:r>
              <w:rPr>
                <w:rFonts w:hint="eastAsia"/>
                <w:color w:val="auto"/>
                <w:highlight w:val="none"/>
                <w:lang w:val="en-US" w:eastAsia="zh-CN"/>
              </w:rPr>
              <w:t>师生生活垃圾</w:t>
            </w:r>
          </w:p>
          <w:p w14:paraId="54C2699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pacing w:val="0"/>
                <w:w w:val="100"/>
                <w:position w:val="0"/>
                <w:sz w:val="24"/>
                <w:szCs w:val="24"/>
                <w:highlight w:val="none"/>
                <w:u w:val="none"/>
                <w:lang w:val="en-US" w:eastAsia="zh-CN"/>
              </w:rPr>
            </w:pPr>
            <w:r>
              <w:rPr>
                <w:rFonts w:hint="default" w:ascii="Times New Roman" w:hAnsi="Times New Roman" w:eastAsia="宋体" w:cs="Times New Roman"/>
                <w:bCs/>
                <w:color w:val="auto"/>
                <w:spacing w:val="0"/>
                <w:w w:val="100"/>
                <w:position w:val="0"/>
                <w:sz w:val="24"/>
                <w:szCs w:val="24"/>
                <w:highlight w:val="none"/>
                <w:u w:val="none"/>
                <w:lang w:val="en-US" w:eastAsia="zh-CN"/>
              </w:rPr>
              <w:t>本项目教职工及学生共</w:t>
            </w:r>
            <w:r>
              <w:rPr>
                <w:rFonts w:hint="eastAsia" w:ascii="Times New Roman" w:hAnsi="Times New Roman" w:eastAsia="宋体" w:cs="Times New Roman"/>
                <w:bCs/>
                <w:color w:val="auto"/>
                <w:spacing w:val="0"/>
                <w:w w:val="100"/>
                <w:position w:val="0"/>
                <w:sz w:val="24"/>
                <w:szCs w:val="24"/>
                <w:highlight w:val="none"/>
                <w:u w:val="none"/>
                <w:lang w:val="en-US" w:eastAsia="zh-CN"/>
              </w:rPr>
              <w:t>1625</w:t>
            </w:r>
            <w:r>
              <w:rPr>
                <w:rFonts w:hint="default" w:ascii="Times New Roman" w:hAnsi="Times New Roman" w:eastAsia="宋体" w:cs="Times New Roman"/>
                <w:bCs/>
                <w:color w:val="auto"/>
                <w:spacing w:val="0"/>
                <w:w w:val="100"/>
                <w:position w:val="0"/>
                <w:sz w:val="24"/>
                <w:szCs w:val="24"/>
                <w:highlight w:val="none"/>
                <w:u w:val="none"/>
                <w:lang w:val="en-US" w:eastAsia="zh-CN"/>
              </w:rPr>
              <w:t>人，生活垃圾产生量按0.5kg/人</w:t>
            </w:r>
            <w:r>
              <w:rPr>
                <w:rFonts w:hint="eastAsia" w:cs="Times New Roman"/>
                <w:bCs/>
                <w:color w:val="auto"/>
                <w:spacing w:val="0"/>
                <w:w w:val="100"/>
                <w:position w:val="0"/>
                <w:sz w:val="24"/>
                <w:szCs w:val="24"/>
                <w:highlight w:val="none"/>
                <w:u w:val="none"/>
                <w:lang w:val="en-US" w:eastAsia="zh-CN"/>
              </w:rPr>
              <w:t>·</w:t>
            </w:r>
            <w:r>
              <w:rPr>
                <w:rFonts w:hint="default" w:ascii="Times New Roman" w:hAnsi="Times New Roman" w:eastAsia="宋体" w:cs="Times New Roman"/>
                <w:bCs/>
                <w:color w:val="auto"/>
                <w:spacing w:val="0"/>
                <w:w w:val="100"/>
                <w:position w:val="0"/>
                <w:sz w:val="24"/>
                <w:szCs w:val="24"/>
                <w:highlight w:val="none"/>
                <w:u w:val="none"/>
                <w:lang w:val="en-US" w:eastAsia="zh-CN"/>
              </w:rPr>
              <w:t>d计，生活垃圾产生量为</w:t>
            </w:r>
            <w:r>
              <w:rPr>
                <w:rFonts w:hint="eastAsia" w:ascii="Times New Roman" w:hAnsi="Times New Roman" w:eastAsia="宋体" w:cs="Times New Roman"/>
                <w:bCs/>
                <w:color w:val="auto"/>
                <w:spacing w:val="0"/>
                <w:w w:val="100"/>
                <w:position w:val="0"/>
                <w:sz w:val="24"/>
                <w:szCs w:val="24"/>
                <w:highlight w:val="none"/>
                <w:u w:val="none"/>
                <w:lang w:val="en-US" w:eastAsia="zh-CN"/>
              </w:rPr>
              <w:t>0.813</w:t>
            </w:r>
            <w:r>
              <w:rPr>
                <w:rFonts w:hint="default" w:ascii="Times New Roman" w:hAnsi="Times New Roman" w:eastAsia="宋体" w:cs="Times New Roman"/>
                <w:bCs/>
                <w:color w:val="auto"/>
                <w:spacing w:val="0"/>
                <w:w w:val="100"/>
                <w:position w:val="0"/>
                <w:sz w:val="24"/>
                <w:szCs w:val="24"/>
                <w:highlight w:val="none"/>
                <w:u w:val="none"/>
                <w:lang w:val="en-US" w:eastAsia="zh-CN"/>
              </w:rPr>
              <w:t>t/d（</w:t>
            </w:r>
            <w:r>
              <w:rPr>
                <w:rFonts w:hint="eastAsia" w:ascii="Times New Roman" w:hAnsi="Times New Roman" w:eastAsia="宋体" w:cs="Times New Roman"/>
                <w:bCs/>
                <w:color w:val="auto"/>
                <w:spacing w:val="0"/>
                <w:w w:val="100"/>
                <w:position w:val="0"/>
                <w:sz w:val="24"/>
                <w:szCs w:val="24"/>
                <w:highlight w:val="none"/>
                <w:u w:val="none"/>
                <w:lang w:val="en-US" w:eastAsia="zh-CN"/>
              </w:rPr>
              <w:t>162.6</w:t>
            </w:r>
            <w:r>
              <w:rPr>
                <w:rFonts w:hint="default" w:ascii="Times New Roman" w:hAnsi="Times New Roman" w:eastAsia="宋体" w:cs="Times New Roman"/>
                <w:bCs/>
                <w:color w:val="auto"/>
                <w:spacing w:val="0"/>
                <w:w w:val="100"/>
                <w:position w:val="0"/>
                <w:sz w:val="24"/>
                <w:szCs w:val="24"/>
                <w:highlight w:val="none"/>
                <w:u w:val="none"/>
                <w:lang w:val="en-US" w:eastAsia="zh-CN"/>
              </w:rPr>
              <w:t>t/a）。评价要求学校应设置垃圾桶分类收集交由环卫部门统一清运。</w:t>
            </w:r>
          </w:p>
          <w:p w14:paraId="6548C383">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left="0" w:firstLine="480" w:firstLineChars="200"/>
              <w:jc w:val="left"/>
              <w:textAlignment w:val="auto"/>
              <w:rPr>
                <w:rFonts w:hint="default" w:ascii="Times New Roman" w:hAnsi="Times New Roman" w:eastAsia="宋体" w:cs="宋体"/>
                <w:color w:val="auto"/>
                <w:highlight w:val="none"/>
                <w:lang w:val="en-US" w:eastAsia="zh-CN"/>
              </w:rPr>
            </w:pPr>
            <w:r>
              <w:rPr>
                <w:rFonts w:hint="eastAsia" w:ascii="Times New Roman" w:hAnsi="Times New Roman" w:eastAsia="宋体" w:cs="宋体"/>
                <w:color w:val="auto"/>
                <w:highlight w:val="none"/>
                <w:lang w:val="en-US" w:eastAsia="zh-CN"/>
              </w:rPr>
              <w:t>餐厨垃圾</w:t>
            </w:r>
          </w:p>
          <w:p w14:paraId="29253C9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pacing w:val="0"/>
                <w:w w:val="100"/>
                <w:position w:val="0"/>
                <w:sz w:val="24"/>
                <w:szCs w:val="24"/>
                <w:highlight w:val="none"/>
                <w:u w:val="none"/>
                <w:lang w:val="en-US" w:eastAsia="zh-CN"/>
              </w:rPr>
            </w:pPr>
            <w:r>
              <w:rPr>
                <w:rFonts w:hint="default" w:ascii="Times New Roman" w:hAnsi="Times New Roman" w:eastAsia="宋体" w:cs="Times New Roman"/>
                <w:bCs/>
                <w:color w:val="auto"/>
                <w:spacing w:val="0"/>
                <w:w w:val="100"/>
                <w:position w:val="0"/>
                <w:sz w:val="24"/>
                <w:szCs w:val="24"/>
                <w:highlight w:val="none"/>
                <w:u w:val="none"/>
                <w:lang w:val="en-US" w:eastAsia="zh-CN"/>
              </w:rPr>
              <w:t>类比其他同类项目，餐厨垃圾人均产生量为0.3kg/人•d，按照最大就餐人数</w:t>
            </w:r>
            <w:r>
              <w:rPr>
                <w:rFonts w:hint="eastAsia" w:ascii="Times New Roman" w:hAnsi="Times New Roman" w:eastAsia="宋体" w:cs="Times New Roman"/>
                <w:bCs/>
                <w:color w:val="auto"/>
                <w:spacing w:val="0"/>
                <w:w w:val="100"/>
                <w:position w:val="0"/>
                <w:sz w:val="24"/>
                <w:szCs w:val="24"/>
                <w:highlight w:val="none"/>
                <w:u w:val="none"/>
                <w:lang w:val="en-US" w:eastAsia="zh-CN"/>
              </w:rPr>
              <w:t>1625</w:t>
            </w:r>
            <w:r>
              <w:rPr>
                <w:rFonts w:hint="default" w:ascii="Times New Roman" w:hAnsi="Times New Roman" w:eastAsia="宋体" w:cs="Times New Roman"/>
                <w:bCs/>
                <w:color w:val="auto"/>
                <w:spacing w:val="0"/>
                <w:w w:val="100"/>
                <w:position w:val="0"/>
                <w:sz w:val="24"/>
                <w:szCs w:val="24"/>
                <w:highlight w:val="none"/>
                <w:u w:val="none"/>
                <w:lang w:val="en-US" w:eastAsia="zh-CN"/>
              </w:rPr>
              <w:t>人计，本项目食堂生活垃圾产生量为</w:t>
            </w:r>
            <w:r>
              <w:rPr>
                <w:rFonts w:hint="eastAsia" w:ascii="Times New Roman" w:hAnsi="Times New Roman" w:eastAsia="宋体" w:cs="Times New Roman"/>
                <w:bCs/>
                <w:color w:val="auto"/>
                <w:spacing w:val="0"/>
                <w:w w:val="100"/>
                <w:position w:val="0"/>
                <w:sz w:val="24"/>
                <w:szCs w:val="24"/>
                <w:highlight w:val="none"/>
                <w:u w:val="none"/>
                <w:lang w:val="en-US" w:eastAsia="zh-CN"/>
              </w:rPr>
              <w:t>487.5kg</w:t>
            </w:r>
            <w:r>
              <w:rPr>
                <w:rFonts w:hint="default" w:ascii="Times New Roman" w:hAnsi="Times New Roman" w:eastAsia="宋体" w:cs="Times New Roman"/>
                <w:bCs/>
                <w:color w:val="auto"/>
                <w:spacing w:val="0"/>
                <w:w w:val="100"/>
                <w:position w:val="0"/>
                <w:sz w:val="24"/>
                <w:szCs w:val="24"/>
                <w:highlight w:val="none"/>
                <w:u w:val="none"/>
                <w:lang w:val="en-US" w:eastAsia="zh-CN"/>
              </w:rPr>
              <w:t>/d（</w:t>
            </w:r>
            <w:r>
              <w:rPr>
                <w:rFonts w:hint="eastAsia" w:ascii="Times New Roman" w:hAnsi="Times New Roman" w:eastAsia="宋体" w:cs="Times New Roman"/>
                <w:bCs/>
                <w:color w:val="auto"/>
                <w:spacing w:val="0"/>
                <w:w w:val="100"/>
                <w:position w:val="0"/>
                <w:sz w:val="24"/>
                <w:szCs w:val="24"/>
                <w:highlight w:val="none"/>
                <w:u w:val="none"/>
                <w:lang w:val="en-US" w:eastAsia="zh-CN"/>
              </w:rPr>
              <w:t>97.5</w:t>
            </w:r>
            <w:r>
              <w:rPr>
                <w:rFonts w:hint="default" w:ascii="Times New Roman" w:hAnsi="Times New Roman" w:eastAsia="宋体" w:cs="Times New Roman"/>
                <w:bCs/>
                <w:color w:val="auto"/>
                <w:spacing w:val="0"/>
                <w:w w:val="100"/>
                <w:position w:val="0"/>
                <w:sz w:val="24"/>
                <w:szCs w:val="24"/>
                <w:highlight w:val="none"/>
                <w:u w:val="none"/>
                <w:lang w:val="en-US" w:eastAsia="zh-CN"/>
              </w:rPr>
              <w:t>t/a），</w:t>
            </w:r>
            <w:r>
              <w:rPr>
                <w:rFonts w:hint="eastAsia" w:ascii="Times New Roman" w:hAnsi="Times New Roman" w:eastAsia="宋体" w:cs="Times New Roman"/>
                <w:bCs/>
                <w:color w:val="auto"/>
                <w:spacing w:val="0"/>
                <w:w w:val="100"/>
                <w:position w:val="0"/>
                <w:sz w:val="24"/>
                <w:szCs w:val="24"/>
                <w:highlight w:val="none"/>
                <w:u w:val="none"/>
                <w:lang w:val="en-US" w:eastAsia="zh-CN"/>
              </w:rPr>
              <w:t>经垃圾分类后</w:t>
            </w:r>
            <w:r>
              <w:rPr>
                <w:rFonts w:hint="default" w:ascii="Times New Roman" w:hAnsi="Times New Roman" w:eastAsia="宋体" w:cs="Times New Roman"/>
                <w:bCs/>
                <w:color w:val="auto"/>
                <w:spacing w:val="0"/>
                <w:w w:val="100"/>
                <w:position w:val="0"/>
                <w:sz w:val="24"/>
                <w:szCs w:val="24"/>
                <w:highlight w:val="none"/>
                <w:u w:val="none"/>
                <w:lang w:val="en-US" w:eastAsia="zh-CN"/>
              </w:rPr>
              <w:t>交由环卫部门统一清运。</w:t>
            </w:r>
          </w:p>
          <w:p w14:paraId="6AAD53B3">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left="0" w:firstLine="480" w:firstLineChars="200"/>
              <w:jc w:val="left"/>
              <w:textAlignment w:val="auto"/>
              <w:rPr>
                <w:rFonts w:hint="default" w:ascii="Times New Roman" w:hAnsi="Times New Roman" w:eastAsia="宋体" w:cs="宋体"/>
                <w:color w:val="auto"/>
                <w:highlight w:val="none"/>
                <w:lang w:val="en-US" w:eastAsia="zh-CN"/>
              </w:rPr>
            </w:pPr>
            <w:r>
              <w:rPr>
                <w:rFonts w:hint="eastAsia" w:ascii="Times New Roman" w:hAnsi="Times New Roman" w:eastAsia="宋体" w:cs="宋体"/>
                <w:color w:val="auto"/>
                <w:highlight w:val="none"/>
                <w:lang w:val="en-US" w:eastAsia="zh-CN"/>
              </w:rPr>
              <w:t>隔油池废油脂</w:t>
            </w:r>
          </w:p>
          <w:p w14:paraId="7EDB152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pacing w:val="0"/>
                <w:w w:val="100"/>
                <w:position w:val="0"/>
                <w:sz w:val="24"/>
                <w:szCs w:val="24"/>
                <w:highlight w:val="none"/>
                <w:u w:val="none"/>
                <w:lang w:val="en-US" w:eastAsia="zh-CN"/>
              </w:rPr>
            </w:pPr>
            <w:r>
              <w:rPr>
                <w:rFonts w:hint="eastAsia" w:ascii="Times New Roman" w:hAnsi="Times New Roman" w:eastAsia="宋体" w:cs="Times New Roman"/>
                <w:bCs/>
                <w:color w:val="auto"/>
                <w:spacing w:val="0"/>
                <w:w w:val="100"/>
                <w:position w:val="0"/>
                <w:sz w:val="24"/>
                <w:szCs w:val="24"/>
                <w:highlight w:val="none"/>
                <w:u w:val="none"/>
                <w:lang w:val="en-US" w:eastAsia="zh-CN"/>
              </w:rPr>
              <w:t>本项目隔油池</w:t>
            </w:r>
            <w:r>
              <w:rPr>
                <w:rFonts w:hint="default" w:ascii="Times New Roman" w:hAnsi="Times New Roman" w:cs="Times New Roman"/>
                <w:bCs/>
                <w:color w:val="auto"/>
                <w:spacing w:val="0"/>
                <w:w w:val="100"/>
                <w:position w:val="0"/>
                <w:sz w:val="24"/>
                <w:szCs w:val="24"/>
                <w:highlight w:val="none"/>
                <w:u w:val="none"/>
                <w:lang w:val="en-US" w:eastAsia="zh-CN"/>
              </w:rPr>
              <w:t>去除的</w:t>
            </w:r>
            <w:r>
              <w:rPr>
                <w:rFonts w:hint="eastAsia" w:ascii="Times New Roman" w:hAnsi="Times New Roman" w:eastAsia="宋体" w:cs="Times New Roman"/>
                <w:bCs/>
                <w:color w:val="auto"/>
                <w:spacing w:val="0"/>
                <w:w w:val="100"/>
                <w:position w:val="0"/>
                <w:sz w:val="24"/>
                <w:szCs w:val="24"/>
                <w:highlight w:val="none"/>
                <w:u w:val="none"/>
                <w:lang w:val="en-US" w:eastAsia="zh-CN"/>
              </w:rPr>
              <w:t>动植物油</w:t>
            </w:r>
            <w:r>
              <w:rPr>
                <w:rFonts w:hint="default" w:ascii="Times New Roman" w:hAnsi="Times New Roman" w:eastAsia="宋体" w:cs="Times New Roman"/>
                <w:bCs/>
                <w:color w:val="auto"/>
                <w:spacing w:val="0"/>
                <w:w w:val="100"/>
                <w:position w:val="0"/>
                <w:sz w:val="24"/>
                <w:szCs w:val="24"/>
                <w:highlight w:val="none"/>
                <w:u w:val="none"/>
                <w:lang w:val="en-US" w:eastAsia="zh-CN"/>
              </w:rPr>
              <w:t>量约</w:t>
            </w:r>
            <w:r>
              <w:rPr>
                <w:rFonts w:hint="eastAsia" w:ascii="Times New Roman" w:hAnsi="Times New Roman" w:eastAsia="宋体" w:cs="Times New Roman"/>
                <w:bCs/>
                <w:color w:val="auto"/>
                <w:spacing w:val="0"/>
                <w:w w:val="100"/>
                <w:position w:val="0"/>
                <w:sz w:val="24"/>
                <w:szCs w:val="24"/>
                <w:highlight w:val="none"/>
                <w:u w:val="none"/>
                <w:lang w:val="en-US" w:eastAsia="zh-CN"/>
              </w:rPr>
              <w:t>0.</w:t>
            </w:r>
            <w:r>
              <w:rPr>
                <w:rFonts w:hint="eastAsia" w:cs="Times New Roman"/>
                <w:bCs/>
                <w:color w:val="auto"/>
                <w:spacing w:val="0"/>
                <w:w w:val="100"/>
                <w:position w:val="0"/>
                <w:sz w:val="24"/>
                <w:szCs w:val="24"/>
                <w:highlight w:val="none"/>
                <w:u w:val="none"/>
                <w:lang w:val="en-US" w:eastAsia="zh-CN"/>
              </w:rPr>
              <w:t>88</w:t>
            </w:r>
            <w:r>
              <w:rPr>
                <w:rFonts w:hint="default" w:ascii="Times New Roman" w:hAnsi="Times New Roman" w:eastAsia="宋体" w:cs="Times New Roman"/>
                <w:bCs/>
                <w:color w:val="auto"/>
                <w:spacing w:val="0"/>
                <w:w w:val="100"/>
                <w:position w:val="0"/>
                <w:sz w:val="24"/>
                <w:szCs w:val="24"/>
                <w:highlight w:val="none"/>
                <w:u w:val="none"/>
                <w:lang w:val="en-US" w:eastAsia="zh-CN"/>
              </w:rPr>
              <w:t>t/a，</w:t>
            </w:r>
            <w:r>
              <w:rPr>
                <w:rFonts w:hint="default" w:ascii="Times New Roman" w:hAnsi="Times New Roman" w:cs="Times New Roman"/>
                <w:bCs/>
                <w:color w:val="auto"/>
                <w:spacing w:val="0"/>
                <w:w w:val="100"/>
                <w:position w:val="0"/>
                <w:sz w:val="24"/>
                <w:szCs w:val="24"/>
                <w:highlight w:val="none"/>
                <w:u w:val="none"/>
                <w:lang w:val="en-US" w:eastAsia="zh-CN"/>
              </w:rPr>
              <w:t>废油脂含水率为98%，则废油脂产量为</w:t>
            </w:r>
            <w:r>
              <w:rPr>
                <w:rFonts w:hint="eastAsia" w:cs="Times New Roman"/>
                <w:bCs/>
                <w:color w:val="auto"/>
                <w:spacing w:val="0"/>
                <w:w w:val="100"/>
                <w:position w:val="0"/>
                <w:sz w:val="24"/>
                <w:szCs w:val="24"/>
                <w:highlight w:val="none"/>
                <w:u w:val="none"/>
                <w:lang w:val="en-US" w:eastAsia="zh-CN"/>
              </w:rPr>
              <w:t>44</w:t>
            </w:r>
            <w:r>
              <w:rPr>
                <w:rFonts w:hint="default" w:ascii="Times New Roman" w:hAnsi="Times New Roman" w:eastAsia="宋体" w:cs="Times New Roman"/>
                <w:bCs/>
                <w:color w:val="auto"/>
                <w:spacing w:val="0"/>
                <w:w w:val="100"/>
                <w:position w:val="0"/>
                <w:sz w:val="24"/>
                <w:szCs w:val="24"/>
                <w:highlight w:val="none"/>
                <w:u w:val="none"/>
                <w:lang w:val="en-US" w:eastAsia="zh-CN"/>
              </w:rPr>
              <w:t>t/a</w:t>
            </w:r>
            <w:r>
              <w:rPr>
                <w:rFonts w:hint="default" w:ascii="Times New Roman" w:hAnsi="Times New Roman" w:cs="Times New Roman"/>
                <w:bCs/>
                <w:color w:val="auto"/>
                <w:spacing w:val="0"/>
                <w:w w:val="100"/>
                <w:position w:val="0"/>
                <w:sz w:val="24"/>
                <w:szCs w:val="24"/>
                <w:highlight w:val="none"/>
                <w:u w:val="none"/>
                <w:lang w:val="en-US" w:eastAsia="zh-CN"/>
              </w:rPr>
              <w:t>。</w:t>
            </w:r>
          </w:p>
          <w:p w14:paraId="06AF14FA">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left="0" w:firstLine="480" w:firstLineChars="200"/>
              <w:jc w:val="left"/>
              <w:textAlignment w:val="auto"/>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实验室一般固废</w:t>
            </w:r>
          </w:p>
          <w:p w14:paraId="3AADB7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pacing w:val="0"/>
                <w:w w:val="100"/>
                <w:position w:val="0"/>
                <w:sz w:val="24"/>
                <w:szCs w:val="24"/>
                <w:highlight w:val="none"/>
                <w:u w:val="none"/>
                <w:lang w:val="en-US" w:eastAsia="zh-CN"/>
              </w:rPr>
            </w:pPr>
            <w:r>
              <w:rPr>
                <w:rFonts w:hint="default" w:ascii="Times New Roman" w:hAnsi="Times New Roman" w:eastAsia="宋体" w:cs="Times New Roman"/>
                <w:bCs/>
                <w:color w:val="auto"/>
                <w:spacing w:val="0"/>
                <w:w w:val="100"/>
                <w:position w:val="0"/>
                <w:sz w:val="24"/>
                <w:szCs w:val="24"/>
                <w:highlight w:val="none"/>
                <w:u w:val="none"/>
                <w:lang w:val="en-US" w:eastAsia="zh-CN"/>
              </w:rPr>
              <w:t>实验室将不定期产生一定量的一般固废，如：化学实验室废旧玻璃瓶、量筒等，物理实验产生的废旧玻璃、纸张、电线等，生物实验产生植物根、茎、叶等。根据建设单位提供资料，本项目实验室一般固废产生量为0.5t/a，经环卫部门定期清运，做到日产日清。</w:t>
            </w:r>
          </w:p>
          <w:p w14:paraId="3CB3724B">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left="0" w:firstLine="480" w:firstLineChars="200"/>
              <w:jc w:val="left"/>
              <w:textAlignment w:val="auto"/>
              <w:rPr>
                <w:rFonts w:hint="default" w:ascii="Times New Roman" w:hAnsi="Times New Roman" w:eastAsia="宋体" w:cs="宋体"/>
                <w:color w:val="auto"/>
                <w:highlight w:val="none"/>
                <w:lang w:val="en-US" w:eastAsia="zh-CN"/>
              </w:rPr>
            </w:pPr>
            <w:r>
              <w:rPr>
                <w:rFonts w:hint="default" w:ascii="Times New Roman" w:hAnsi="Times New Roman" w:eastAsia="宋体" w:cs="宋体"/>
                <w:color w:val="auto"/>
                <w:highlight w:val="none"/>
                <w:lang w:val="en-US" w:eastAsia="zh-CN"/>
              </w:rPr>
              <w:t>实验室危险废物</w:t>
            </w:r>
          </w:p>
          <w:p w14:paraId="523488E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pacing w:val="0"/>
                <w:w w:val="100"/>
                <w:position w:val="0"/>
                <w:sz w:val="24"/>
                <w:szCs w:val="24"/>
                <w:highlight w:val="none"/>
                <w:u w:val="none"/>
                <w:lang w:val="en-US" w:eastAsia="zh-CN"/>
              </w:rPr>
            </w:pPr>
            <w:r>
              <w:rPr>
                <w:rFonts w:hint="default" w:ascii="Times New Roman" w:hAnsi="Times New Roman" w:eastAsia="宋体" w:cs="Times New Roman"/>
                <w:bCs/>
                <w:color w:val="auto"/>
                <w:spacing w:val="0"/>
                <w:w w:val="100"/>
                <w:position w:val="0"/>
                <w:sz w:val="24"/>
                <w:szCs w:val="24"/>
                <w:highlight w:val="none"/>
                <w:u w:val="none"/>
                <w:lang w:val="en-US" w:eastAsia="zh-CN"/>
              </w:rPr>
              <w:t>本项目实验室固废主要为实验完成后的实验废液、沾染化学试剂的试纸和包装瓶等，本项目高中生物实验不涉及动物解剖和病毒性生物培养等内容，生物实验室固废不需要进行灭活处理。</w:t>
            </w:r>
          </w:p>
          <w:p w14:paraId="1F15DE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pacing w:val="0"/>
                <w:w w:val="100"/>
                <w:position w:val="0"/>
                <w:sz w:val="24"/>
                <w:szCs w:val="24"/>
                <w:highlight w:val="none"/>
                <w:u w:val="none"/>
                <w:lang w:val="en-US" w:eastAsia="zh-CN"/>
              </w:rPr>
            </w:pPr>
            <w:r>
              <w:rPr>
                <w:rFonts w:hint="default" w:ascii="Times New Roman" w:hAnsi="Times New Roman" w:eastAsia="宋体" w:cs="Times New Roman"/>
                <w:bCs/>
                <w:color w:val="auto"/>
                <w:spacing w:val="0"/>
                <w:w w:val="100"/>
                <w:position w:val="0"/>
                <w:sz w:val="24"/>
                <w:szCs w:val="24"/>
                <w:highlight w:val="none"/>
                <w:u w:val="none"/>
                <w:lang w:val="en-US" w:eastAsia="zh-CN"/>
              </w:rPr>
              <w:t>A</w:t>
            </w:r>
            <w:r>
              <w:rPr>
                <w:rFonts w:hint="eastAsia" w:cs="Times New Roman"/>
                <w:bCs/>
                <w:color w:val="auto"/>
                <w:spacing w:val="0"/>
                <w:w w:val="100"/>
                <w:position w:val="0"/>
                <w:sz w:val="24"/>
                <w:szCs w:val="24"/>
                <w:highlight w:val="none"/>
                <w:u w:val="none"/>
                <w:lang w:val="en-US" w:eastAsia="zh-CN"/>
              </w:rPr>
              <w:t>.</w:t>
            </w:r>
            <w:r>
              <w:rPr>
                <w:rFonts w:hint="default" w:ascii="Times New Roman" w:hAnsi="Times New Roman" w:eastAsia="宋体" w:cs="Times New Roman"/>
                <w:bCs/>
                <w:color w:val="auto"/>
                <w:spacing w:val="0"/>
                <w:w w:val="100"/>
                <w:position w:val="0"/>
                <w:sz w:val="24"/>
                <w:szCs w:val="24"/>
                <w:highlight w:val="none"/>
                <w:u w:val="none"/>
                <w:lang w:val="en-US" w:eastAsia="zh-CN"/>
              </w:rPr>
              <w:t>实验废液</w:t>
            </w:r>
          </w:p>
          <w:p w14:paraId="6F29F2D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pacing w:val="0"/>
                <w:w w:val="100"/>
                <w:position w:val="0"/>
                <w:sz w:val="24"/>
                <w:szCs w:val="24"/>
                <w:highlight w:val="none"/>
                <w:u w:val="none"/>
                <w:lang w:val="en-US" w:eastAsia="zh-CN"/>
              </w:rPr>
            </w:pPr>
            <w:r>
              <w:rPr>
                <w:rFonts w:hint="default" w:ascii="Times New Roman" w:hAnsi="Times New Roman" w:eastAsia="宋体" w:cs="Times New Roman"/>
                <w:bCs/>
                <w:color w:val="auto"/>
                <w:spacing w:val="0"/>
                <w:w w:val="100"/>
                <w:position w:val="0"/>
                <w:sz w:val="24"/>
                <w:szCs w:val="24"/>
                <w:highlight w:val="none"/>
                <w:u w:val="none"/>
                <w:lang w:val="en-US" w:eastAsia="zh-CN"/>
              </w:rPr>
              <w:t>根据中学实验课程特点，实验室后废试剂产生量按每节实验课产生130m</w:t>
            </w:r>
            <w:r>
              <w:rPr>
                <w:rFonts w:hint="eastAsia" w:ascii="Times New Roman" w:hAnsi="Times New Roman" w:eastAsia="宋体" w:cs="Times New Roman"/>
                <w:bCs/>
                <w:color w:val="auto"/>
                <w:spacing w:val="0"/>
                <w:w w:val="100"/>
                <w:position w:val="0"/>
                <w:sz w:val="24"/>
                <w:szCs w:val="24"/>
                <w:highlight w:val="none"/>
                <w:u w:val="none"/>
                <w:lang w:val="en-US" w:eastAsia="zh-CN"/>
              </w:rPr>
              <w:t>L</w:t>
            </w:r>
            <w:r>
              <w:rPr>
                <w:rFonts w:hint="default" w:ascii="Times New Roman" w:hAnsi="Times New Roman" w:eastAsia="宋体" w:cs="Times New Roman"/>
                <w:bCs/>
                <w:color w:val="auto"/>
                <w:spacing w:val="0"/>
                <w:w w:val="100"/>
                <w:position w:val="0"/>
                <w:sz w:val="24"/>
                <w:szCs w:val="24"/>
                <w:highlight w:val="none"/>
                <w:u w:val="none"/>
                <w:lang w:val="en-US" w:eastAsia="zh-CN"/>
              </w:rPr>
              <w:t>计，本项目生物、化学实验总次数为</w:t>
            </w:r>
            <w:r>
              <w:rPr>
                <w:rFonts w:hint="eastAsia" w:ascii="Times New Roman" w:hAnsi="Times New Roman" w:eastAsia="宋体" w:cs="Times New Roman"/>
                <w:bCs/>
                <w:color w:val="auto"/>
                <w:spacing w:val="0"/>
                <w:w w:val="100"/>
                <w:position w:val="0"/>
                <w:sz w:val="24"/>
                <w:szCs w:val="24"/>
                <w:highlight w:val="none"/>
                <w:u w:val="none"/>
                <w:lang w:val="en-US" w:eastAsia="zh-CN"/>
              </w:rPr>
              <w:t>780</w:t>
            </w:r>
            <w:r>
              <w:rPr>
                <w:rFonts w:hint="default" w:ascii="Times New Roman" w:hAnsi="Times New Roman" w:eastAsia="宋体" w:cs="Times New Roman"/>
                <w:bCs/>
                <w:color w:val="auto"/>
                <w:spacing w:val="0"/>
                <w:w w:val="100"/>
                <w:position w:val="0"/>
                <w:sz w:val="24"/>
                <w:szCs w:val="24"/>
                <w:highlight w:val="none"/>
                <w:u w:val="none"/>
                <w:lang w:val="en-US" w:eastAsia="zh-CN"/>
              </w:rPr>
              <w:t>次/a，则实验废试剂液产生量约</w:t>
            </w:r>
            <w:r>
              <w:rPr>
                <w:rFonts w:hint="eastAsia" w:ascii="Times New Roman" w:hAnsi="Times New Roman" w:eastAsia="宋体" w:cs="Times New Roman"/>
                <w:bCs/>
                <w:color w:val="auto"/>
                <w:spacing w:val="0"/>
                <w:w w:val="100"/>
                <w:position w:val="0"/>
                <w:sz w:val="24"/>
                <w:szCs w:val="24"/>
                <w:highlight w:val="none"/>
                <w:u w:val="none"/>
                <w:lang w:val="en-US" w:eastAsia="zh-CN"/>
              </w:rPr>
              <w:t>0.101</w:t>
            </w:r>
            <w:r>
              <w:rPr>
                <w:rFonts w:hint="default" w:ascii="Times New Roman" w:hAnsi="Times New Roman" w:eastAsia="宋体" w:cs="Times New Roman"/>
                <w:bCs/>
                <w:color w:val="auto"/>
                <w:spacing w:val="0"/>
                <w:w w:val="100"/>
                <w:position w:val="0"/>
                <w:sz w:val="24"/>
                <w:szCs w:val="24"/>
                <w:highlight w:val="none"/>
                <w:u w:val="none"/>
                <w:lang w:val="en-US" w:eastAsia="zh-CN"/>
              </w:rPr>
              <w:t>t/a。</w:t>
            </w:r>
          </w:p>
          <w:p w14:paraId="7A9DE97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pacing w:val="0"/>
                <w:w w:val="100"/>
                <w:position w:val="0"/>
                <w:sz w:val="24"/>
                <w:szCs w:val="24"/>
                <w:highlight w:val="none"/>
                <w:u w:val="none"/>
                <w:lang w:val="en-US" w:eastAsia="zh-CN"/>
              </w:rPr>
            </w:pPr>
            <w:r>
              <w:rPr>
                <w:rFonts w:hint="default" w:ascii="Times New Roman" w:hAnsi="Times New Roman" w:eastAsia="宋体" w:cs="Times New Roman"/>
                <w:bCs/>
                <w:color w:val="auto"/>
                <w:spacing w:val="0"/>
                <w:w w:val="100"/>
                <w:position w:val="0"/>
                <w:sz w:val="24"/>
                <w:szCs w:val="24"/>
                <w:highlight w:val="none"/>
                <w:u w:val="none"/>
                <w:lang w:val="en-US" w:eastAsia="zh-CN"/>
              </w:rPr>
              <w:t>B</w:t>
            </w:r>
            <w:r>
              <w:rPr>
                <w:rFonts w:hint="eastAsia" w:cs="Times New Roman"/>
                <w:bCs/>
                <w:color w:val="auto"/>
                <w:spacing w:val="0"/>
                <w:w w:val="100"/>
                <w:position w:val="0"/>
                <w:sz w:val="24"/>
                <w:szCs w:val="24"/>
                <w:highlight w:val="none"/>
                <w:u w:val="none"/>
                <w:lang w:val="en-US" w:eastAsia="zh-CN"/>
              </w:rPr>
              <w:t>.</w:t>
            </w:r>
            <w:r>
              <w:rPr>
                <w:rFonts w:hint="default" w:ascii="Times New Roman" w:hAnsi="Times New Roman" w:eastAsia="宋体" w:cs="Times New Roman"/>
                <w:bCs/>
                <w:color w:val="auto"/>
                <w:spacing w:val="0"/>
                <w:w w:val="100"/>
                <w:position w:val="0"/>
                <w:sz w:val="24"/>
                <w:szCs w:val="24"/>
                <w:highlight w:val="none"/>
                <w:u w:val="none"/>
                <w:lang w:val="en-US" w:eastAsia="zh-CN"/>
              </w:rPr>
              <w:t>沾染化学试剂的试纸和废包装物</w:t>
            </w:r>
          </w:p>
          <w:p w14:paraId="60166CA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pacing w:val="0"/>
                <w:w w:val="100"/>
                <w:position w:val="0"/>
                <w:sz w:val="24"/>
                <w:szCs w:val="24"/>
                <w:highlight w:val="none"/>
                <w:u w:val="none"/>
                <w:lang w:val="en-US" w:eastAsia="zh-CN"/>
              </w:rPr>
            </w:pPr>
            <w:r>
              <w:rPr>
                <w:rFonts w:hint="default" w:ascii="Times New Roman" w:hAnsi="Times New Roman" w:eastAsia="宋体" w:cs="Times New Roman"/>
                <w:bCs/>
                <w:color w:val="auto"/>
                <w:spacing w:val="0"/>
                <w:w w:val="100"/>
                <w:position w:val="0"/>
                <w:sz w:val="24"/>
                <w:szCs w:val="24"/>
                <w:highlight w:val="none"/>
                <w:u w:val="none"/>
                <w:lang w:val="en-US" w:eastAsia="zh-CN"/>
              </w:rPr>
              <w:t>根据建设单位提供资料，废试剂产生量约0.0</w:t>
            </w:r>
            <w:r>
              <w:rPr>
                <w:rFonts w:hint="eastAsia" w:ascii="Times New Roman" w:hAnsi="Times New Roman" w:eastAsia="宋体" w:cs="Times New Roman"/>
                <w:bCs/>
                <w:color w:val="auto"/>
                <w:spacing w:val="0"/>
                <w:w w:val="100"/>
                <w:position w:val="0"/>
                <w:sz w:val="24"/>
                <w:szCs w:val="24"/>
                <w:highlight w:val="none"/>
                <w:u w:val="none"/>
                <w:lang w:val="en-US" w:eastAsia="zh-CN"/>
              </w:rPr>
              <w:t>2</w:t>
            </w:r>
            <w:r>
              <w:rPr>
                <w:rFonts w:hint="default" w:ascii="Times New Roman" w:hAnsi="Times New Roman" w:eastAsia="宋体" w:cs="Times New Roman"/>
                <w:bCs/>
                <w:color w:val="auto"/>
                <w:spacing w:val="0"/>
                <w:w w:val="100"/>
                <w:position w:val="0"/>
                <w:sz w:val="24"/>
                <w:szCs w:val="24"/>
                <w:highlight w:val="none"/>
                <w:u w:val="none"/>
                <w:lang w:val="en-US" w:eastAsia="zh-CN"/>
              </w:rPr>
              <w:t>t/a，沾染化学试剂的试纸和废包装物产生量约为0.03t/a。</w:t>
            </w:r>
          </w:p>
          <w:p w14:paraId="1886758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pacing w:val="0"/>
                <w:w w:val="100"/>
                <w:position w:val="0"/>
                <w:sz w:val="24"/>
                <w:szCs w:val="24"/>
                <w:highlight w:val="none"/>
                <w:u w:val="none"/>
                <w:lang w:val="en-US" w:eastAsia="zh-CN"/>
              </w:rPr>
            </w:pPr>
            <w:r>
              <w:rPr>
                <w:rFonts w:hint="default" w:ascii="Times New Roman" w:hAnsi="Times New Roman" w:eastAsia="宋体" w:cs="Times New Roman"/>
                <w:bCs/>
                <w:color w:val="auto"/>
                <w:spacing w:val="0"/>
                <w:w w:val="100"/>
                <w:position w:val="0"/>
                <w:sz w:val="24"/>
                <w:szCs w:val="24"/>
                <w:highlight w:val="none"/>
                <w:u w:val="none"/>
                <w:lang w:val="en-US" w:eastAsia="zh-CN"/>
              </w:rPr>
              <w:t>综上，实验室实验废液（实验后废试剂）、沾染化学试剂的试纸和废包装物共0.1</w:t>
            </w:r>
            <w:r>
              <w:rPr>
                <w:rFonts w:hint="eastAsia" w:ascii="Times New Roman" w:hAnsi="Times New Roman" w:eastAsia="宋体" w:cs="Times New Roman"/>
                <w:bCs/>
                <w:color w:val="auto"/>
                <w:spacing w:val="0"/>
                <w:w w:val="100"/>
                <w:position w:val="0"/>
                <w:sz w:val="24"/>
                <w:szCs w:val="24"/>
                <w:highlight w:val="none"/>
                <w:u w:val="none"/>
                <w:lang w:val="en-US" w:eastAsia="zh-CN"/>
              </w:rPr>
              <w:t>51</w:t>
            </w:r>
            <w:r>
              <w:rPr>
                <w:rFonts w:hint="default" w:ascii="Times New Roman" w:hAnsi="Times New Roman" w:eastAsia="宋体" w:cs="Times New Roman"/>
                <w:bCs/>
                <w:color w:val="auto"/>
                <w:spacing w:val="0"/>
                <w:w w:val="100"/>
                <w:position w:val="0"/>
                <w:sz w:val="24"/>
                <w:szCs w:val="24"/>
                <w:highlight w:val="none"/>
                <w:u w:val="none"/>
                <w:lang w:val="en-US" w:eastAsia="zh-CN"/>
              </w:rPr>
              <w:t>t/a。</w:t>
            </w:r>
          </w:p>
          <w:p w14:paraId="2618956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pacing w:val="0"/>
                <w:w w:val="100"/>
                <w:position w:val="0"/>
                <w:sz w:val="24"/>
                <w:szCs w:val="24"/>
                <w:highlight w:val="none"/>
                <w:u w:val="none"/>
                <w:lang w:val="en-US" w:eastAsia="zh-CN"/>
              </w:rPr>
            </w:pPr>
            <w:r>
              <w:rPr>
                <w:rFonts w:hint="default" w:ascii="Times New Roman" w:hAnsi="Times New Roman" w:eastAsia="宋体" w:cs="Times New Roman"/>
                <w:bCs/>
                <w:color w:val="auto"/>
                <w:spacing w:val="0"/>
                <w:w w:val="100"/>
                <w:position w:val="0"/>
                <w:sz w:val="24"/>
                <w:szCs w:val="24"/>
                <w:highlight w:val="none"/>
                <w:u w:val="none"/>
                <w:lang w:val="en-US" w:eastAsia="zh-CN"/>
              </w:rPr>
              <w:t>（6）废活性炭</w:t>
            </w:r>
          </w:p>
          <w:p w14:paraId="65D5DA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val="0"/>
                <w:bCs/>
                <w:color w:val="auto"/>
                <w:sz w:val="24"/>
                <w:highlight w:val="none"/>
                <w:u w:val="none"/>
              </w:rPr>
            </w:pPr>
            <w:r>
              <w:rPr>
                <w:rFonts w:hint="default" w:ascii="Times New Roman" w:hAnsi="Times New Roman" w:cs="Times New Roman"/>
                <w:b w:val="0"/>
                <w:bCs/>
                <w:color w:val="auto"/>
                <w:sz w:val="24"/>
                <w:highlight w:val="none"/>
                <w:u w:val="none"/>
              </w:rPr>
              <w:t>本项目</w:t>
            </w:r>
            <w:r>
              <w:rPr>
                <w:rFonts w:hint="default" w:ascii="Times New Roman" w:hAnsi="Times New Roman" w:cs="Times New Roman"/>
                <w:b w:val="0"/>
                <w:bCs/>
                <w:color w:val="auto"/>
                <w:kern w:val="0"/>
                <w:sz w:val="24"/>
                <w:highlight w:val="none"/>
                <w:u w:val="none"/>
              </w:rPr>
              <w:t>实验室废气</w:t>
            </w:r>
            <w:r>
              <w:rPr>
                <w:rFonts w:hint="default" w:ascii="Times New Roman" w:hAnsi="Times New Roman" w:cs="Times New Roman"/>
                <w:b w:val="0"/>
                <w:bCs/>
                <w:color w:val="auto"/>
                <w:sz w:val="24"/>
                <w:highlight w:val="none"/>
                <w:u w:val="none"/>
              </w:rPr>
              <w:t>采用碘值不低于800mg/g的活性炭吸附装置处理非甲烷总烃。活性炭在吸附一定量废气后会达到饱和状态，因此需定期更换。考虑到实验室用具有挥发性的试剂用量较少（主要为稀盐酸、乙醇等），参考同类项目，环评建议实验室废气吸附装置用活性炭每学期更换一次，每个装置每次更换量为0.02t，废活性炭产生量约为0.04t/a。</w:t>
            </w:r>
          </w:p>
          <w:p w14:paraId="659CE9EE">
            <w:pPr>
              <w:pageBreakBefore w:val="0"/>
              <w:widowControl w:val="0"/>
              <w:kinsoku/>
              <w:wordWrap/>
              <w:overflowPunct/>
              <w:topLinePunct w:val="0"/>
              <w:autoSpaceDE/>
              <w:autoSpaceDN/>
              <w:bidi w:val="0"/>
              <w:adjustRightInd/>
              <w:snapToGrid/>
              <w:ind w:left="0" w:firstLine="480" w:firstLineChars="200"/>
              <w:jc w:val="left"/>
              <w:textAlignment w:val="auto"/>
              <w:rPr>
                <w:rFonts w:hint="default"/>
                <w:color w:val="auto"/>
                <w:highlight w:val="none"/>
                <w:lang w:val="en-US" w:eastAsia="zh-CN"/>
              </w:rPr>
            </w:pPr>
            <w:r>
              <w:rPr>
                <w:rFonts w:hint="default"/>
                <w:color w:val="auto"/>
                <w:highlight w:val="none"/>
                <w:lang w:val="en-US" w:eastAsia="zh-CN"/>
              </w:rPr>
              <w:t>本项目固体废物产生及利用处置情况见</w:t>
            </w:r>
            <w:r>
              <w:rPr>
                <w:rFonts w:hint="default"/>
                <w:b w:val="0"/>
                <w:bCs w:val="0"/>
                <w:color w:val="auto"/>
                <w:sz w:val="24"/>
                <w:szCs w:val="24"/>
                <w:highlight w:val="none"/>
                <w:lang w:val="en-US" w:eastAsia="zh-CN"/>
              </w:rPr>
              <w:fldChar w:fldCharType="begin"/>
            </w:r>
            <w:r>
              <w:rPr>
                <w:rFonts w:hint="default"/>
                <w:b w:val="0"/>
                <w:bCs w:val="0"/>
                <w:color w:val="auto"/>
                <w:sz w:val="24"/>
                <w:szCs w:val="24"/>
                <w:highlight w:val="none"/>
                <w:lang w:val="en-US" w:eastAsia="zh-CN"/>
              </w:rPr>
              <w:instrText xml:space="preserve"> REF _Ref9578 \h </w:instrText>
            </w:r>
            <w:r>
              <w:rPr>
                <w:rFonts w:hint="default"/>
                <w:b w:val="0"/>
                <w:bCs w:val="0"/>
                <w:color w:val="auto"/>
                <w:sz w:val="24"/>
                <w:szCs w:val="24"/>
                <w:highlight w:val="none"/>
                <w:lang w:val="en-US" w:eastAsia="zh-CN"/>
              </w:rPr>
              <w:fldChar w:fldCharType="separate"/>
            </w:r>
            <w:r>
              <w:rPr>
                <w:rFonts w:hint="default" w:ascii="Times New Roman" w:hAnsi="Times New Roman" w:eastAsia="宋体" w:cs="Times New Roman"/>
                <w:b w:val="0"/>
                <w:bCs w:val="0"/>
                <w:color w:val="auto"/>
                <w:sz w:val="24"/>
                <w:szCs w:val="24"/>
                <w:highlight w:val="none"/>
                <w:lang w:eastAsia="zh-CN"/>
              </w:rPr>
              <w:t>表</w:t>
            </w:r>
            <w:r>
              <w:rPr>
                <w:rFonts w:hint="default" w:ascii="Times New Roman" w:hAnsi="Times New Roman" w:eastAsia="宋体" w:cs="Times New Roman"/>
                <w:b w:val="0"/>
                <w:bCs w:val="0"/>
                <w:color w:val="auto"/>
                <w:sz w:val="24"/>
                <w:szCs w:val="24"/>
                <w:highlight w:val="none"/>
              </w:rPr>
              <w:fldChar w:fldCharType="begin"/>
            </w:r>
            <w:r>
              <w:rPr>
                <w:rFonts w:hint="default" w:ascii="Times New Roman" w:hAnsi="Times New Roman" w:eastAsia="宋体" w:cs="Times New Roman"/>
                <w:b w:val="0"/>
                <w:bCs w:val="0"/>
                <w:color w:val="auto"/>
                <w:sz w:val="24"/>
                <w:szCs w:val="24"/>
                <w:highlight w:val="none"/>
              </w:rPr>
              <w:instrText xml:space="preserve"> STYLEREF 1 \s </w:instrText>
            </w:r>
            <w:r>
              <w:rPr>
                <w:rFonts w:hint="default" w:ascii="Times New Roman" w:hAnsi="Times New Roman" w:eastAsia="宋体" w:cs="Times New Roman"/>
                <w:b w:val="0"/>
                <w:bCs w:val="0"/>
                <w:color w:val="auto"/>
                <w:sz w:val="24"/>
                <w:szCs w:val="24"/>
                <w:highlight w:val="none"/>
              </w:rPr>
              <w:fldChar w:fldCharType="separate"/>
            </w:r>
            <w:r>
              <w:rPr>
                <w:rFonts w:hint="default" w:ascii="Times New Roman" w:hAnsi="Times New Roman" w:eastAsia="宋体" w:cs="Times New Roman"/>
                <w:b w:val="0"/>
                <w:bCs w:val="0"/>
                <w:color w:val="auto"/>
                <w:sz w:val="24"/>
                <w:szCs w:val="24"/>
                <w:highlight w:val="none"/>
              </w:rPr>
              <w:t>4</w:t>
            </w:r>
            <w:r>
              <w:rPr>
                <w:rFonts w:hint="default" w:ascii="Times New Roman" w:hAnsi="Times New Roman" w:eastAsia="宋体" w:cs="Times New Roman"/>
                <w:b w:val="0"/>
                <w:bCs w:val="0"/>
                <w:color w:val="auto"/>
                <w:sz w:val="24"/>
                <w:szCs w:val="24"/>
                <w:highlight w:val="none"/>
              </w:rPr>
              <w:fldChar w:fldCharType="end"/>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rPr>
              <w:t>15</w:t>
            </w:r>
            <w:r>
              <w:rPr>
                <w:rFonts w:hint="default"/>
                <w:b w:val="0"/>
                <w:bCs w:val="0"/>
                <w:color w:val="auto"/>
                <w:sz w:val="24"/>
                <w:szCs w:val="24"/>
                <w:highlight w:val="none"/>
                <w:lang w:val="en-US" w:eastAsia="zh-CN"/>
              </w:rPr>
              <w:fldChar w:fldCharType="end"/>
            </w:r>
            <w:r>
              <w:rPr>
                <w:rFonts w:hint="default"/>
                <w:color w:val="auto"/>
                <w:highlight w:val="none"/>
                <w:lang w:val="en-US" w:eastAsia="zh-CN"/>
              </w:rPr>
              <w:t>。</w:t>
            </w:r>
          </w:p>
          <w:p w14:paraId="50582869">
            <w:pPr>
              <w:pStyle w:val="29"/>
              <w:keepNext w:val="0"/>
              <w:keepLines w:val="0"/>
              <w:pageBreakBefore w:val="0"/>
              <w:widowControl w:val="0"/>
              <w:kinsoku/>
              <w:wordWrap/>
              <w:overflowPunct/>
              <w:topLinePunct w:val="0"/>
              <w:autoSpaceDE/>
              <w:autoSpaceDN/>
              <w:bidi w:val="0"/>
              <w:adjustRightInd w:val="0"/>
              <w:snapToGrid/>
              <w:spacing w:before="0" w:after="0" w:line="240" w:lineRule="auto"/>
              <w:ind w:left="0" w:leftChars="0" w:firstLine="0" w:firstLineChars="0"/>
              <w:jc w:val="center"/>
              <w:textAlignment w:val="baseline"/>
              <w:rPr>
                <w:rFonts w:hint="default" w:ascii="Times New Roman" w:hAnsi="Times New Roman" w:eastAsia="宋体" w:cs="Times New Roman"/>
                <w:b/>
                <w:bCs/>
                <w:color w:val="auto"/>
                <w:sz w:val="21"/>
                <w:szCs w:val="21"/>
                <w:highlight w:val="none"/>
                <w:lang w:val="en-US" w:eastAsia="zh-CN"/>
              </w:rPr>
            </w:pPr>
            <w:bookmarkStart w:id="54" w:name="_Ref9578"/>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STYLEREF 1 \s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4</w:t>
            </w:r>
            <w:r>
              <w:rPr>
                <w:rFonts w:hint="default" w:ascii="Times New Roman" w:hAnsi="Times New Roman" w:eastAsia="宋体" w:cs="Times New Roman"/>
                <w:b/>
                <w:bCs/>
                <w:color w:val="auto"/>
                <w:sz w:val="21"/>
                <w:szCs w:val="21"/>
                <w:highlight w:val="none"/>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SEQ 表 \* ARABIC \s 1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15</w:t>
            </w:r>
            <w:r>
              <w:rPr>
                <w:rFonts w:hint="default" w:ascii="Times New Roman" w:hAnsi="Times New Roman" w:eastAsia="宋体" w:cs="Times New Roman"/>
                <w:b/>
                <w:bCs/>
                <w:color w:val="auto"/>
                <w:sz w:val="21"/>
                <w:szCs w:val="21"/>
                <w:highlight w:val="none"/>
              </w:rPr>
              <w:fldChar w:fldCharType="end"/>
            </w:r>
            <w:bookmarkEnd w:id="54"/>
            <w:r>
              <w:rPr>
                <w:rFonts w:hint="eastAsia" w:ascii="Times New Roman" w:hAnsi="Times New Roman" w:eastAsia="宋体" w:cs="Times New Roman"/>
                <w:b/>
                <w:bCs/>
                <w:color w:val="auto"/>
                <w:sz w:val="21"/>
                <w:szCs w:val="21"/>
                <w:highlight w:val="none"/>
                <w:lang w:val="en-US" w:eastAsia="zh-CN"/>
              </w:rPr>
              <w:t xml:space="preserve"> 固体废物产生情况及利用处置情况表</w:t>
            </w:r>
          </w:p>
          <w:tbl>
            <w:tblPr>
              <w:tblStyle w:val="47"/>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80"/>
              <w:gridCol w:w="1310"/>
              <w:gridCol w:w="756"/>
              <w:gridCol w:w="1211"/>
              <w:gridCol w:w="675"/>
              <w:gridCol w:w="878"/>
              <w:gridCol w:w="835"/>
              <w:gridCol w:w="1152"/>
              <w:gridCol w:w="704"/>
            </w:tblGrid>
            <w:tr w14:paraId="28E7F9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27" w:type="pct"/>
                  <w:vAlign w:val="center"/>
                </w:tcPr>
                <w:p w14:paraId="5A0A348C">
                  <w:pPr>
                    <w:pStyle w:val="43"/>
                    <w:bidi w:val="0"/>
                    <w:jc w:val="center"/>
                    <w:rPr>
                      <w:rFonts w:hint="eastAsia" w:eastAsia="宋体" w:cs="宋体"/>
                      <w:color w:val="auto"/>
                      <w:sz w:val="21"/>
                      <w:szCs w:val="21"/>
                      <w:highlight w:val="none"/>
                      <w:lang w:val="en-US" w:eastAsia="zh-CN"/>
                    </w:rPr>
                  </w:pPr>
                  <w:r>
                    <w:rPr>
                      <w:rFonts w:hint="eastAsia" w:eastAsia="宋体" w:cs="宋体"/>
                      <w:color w:val="auto"/>
                      <w:sz w:val="21"/>
                      <w:szCs w:val="21"/>
                      <w:highlight w:val="none"/>
                      <w:lang w:val="en-US" w:eastAsia="zh-CN"/>
                    </w:rPr>
                    <w:t>主要生产单元</w:t>
                  </w:r>
                </w:p>
              </w:tc>
              <w:tc>
                <w:tcPr>
                  <w:tcW w:w="761" w:type="pct"/>
                  <w:vAlign w:val="center"/>
                </w:tcPr>
                <w:p w14:paraId="195E9403">
                  <w:pPr>
                    <w:pStyle w:val="43"/>
                    <w:bidi w:val="0"/>
                    <w:jc w:val="center"/>
                    <w:rPr>
                      <w:rFonts w:hint="eastAsia" w:eastAsia="宋体" w:cs="宋体"/>
                      <w:color w:val="auto"/>
                      <w:sz w:val="21"/>
                      <w:szCs w:val="21"/>
                      <w:highlight w:val="none"/>
                      <w:lang w:val="en-US" w:eastAsia="zh-CN"/>
                    </w:rPr>
                  </w:pPr>
                  <w:r>
                    <w:rPr>
                      <w:rFonts w:hint="eastAsia" w:eastAsia="宋体" w:cs="宋体"/>
                      <w:color w:val="auto"/>
                      <w:sz w:val="21"/>
                      <w:szCs w:val="21"/>
                      <w:highlight w:val="none"/>
                      <w:lang w:val="en-US" w:eastAsia="zh-CN"/>
                    </w:rPr>
                    <w:t>名称</w:t>
                  </w:r>
                </w:p>
              </w:tc>
              <w:tc>
                <w:tcPr>
                  <w:tcW w:w="439" w:type="pct"/>
                  <w:vAlign w:val="center"/>
                </w:tcPr>
                <w:p w14:paraId="2285B417">
                  <w:pPr>
                    <w:pStyle w:val="43"/>
                    <w:bidi w:val="0"/>
                    <w:jc w:val="center"/>
                    <w:rPr>
                      <w:rFonts w:hint="eastAsia" w:eastAsia="宋体" w:cs="宋体"/>
                      <w:color w:val="auto"/>
                      <w:sz w:val="21"/>
                      <w:szCs w:val="21"/>
                      <w:highlight w:val="none"/>
                      <w:lang w:val="en-US" w:eastAsia="zh-CN"/>
                    </w:rPr>
                  </w:pPr>
                  <w:r>
                    <w:rPr>
                      <w:rFonts w:hint="eastAsia" w:eastAsia="宋体" w:cs="宋体"/>
                      <w:color w:val="auto"/>
                      <w:sz w:val="21"/>
                      <w:szCs w:val="21"/>
                      <w:highlight w:val="none"/>
                      <w:lang w:val="en-US" w:eastAsia="zh-CN"/>
                    </w:rPr>
                    <w:t>属性</w:t>
                  </w:r>
                </w:p>
              </w:tc>
              <w:tc>
                <w:tcPr>
                  <w:tcW w:w="703" w:type="pct"/>
                  <w:vAlign w:val="center"/>
                </w:tcPr>
                <w:p w14:paraId="5C63995C">
                  <w:pPr>
                    <w:pStyle w:val="43"/>
                    <w:bidi w:val="0"/>
                    <w:jc w:val="center"/>
                    <w:rPr>
                      <w:rFonts w:hint="eastAsia" w:eastAsia="宋体" w:cs="宋体"/>
                      <w:color w:val="auto"/>
                      <w:sz w:val="21"/>
                      <w:szCs w:val="21"/>
                      <w:highlight w:val="none"/>
                      <w:lang w:val="en-US" w:eastAsia="zh-CN"/>
                    </w:rPr>
                  </w:pPr>
                  <w:r>
                    <w:rPr>
                      <w:rFonts w:hint="eastAsia" w:eastAsia="宋体" w:cs="宋体"/>
                      <w:color w:val="auto"/>
                      <w:sz w:val="21"/>
                      <w:szCs w:val="21"/>
                      <w:highlight w:val="none"/>
                      <w:lang w:val="en-US" w:eastAsia="zh-CN"/>
                    </w:rPr>
                    <w:t>代码</w:t>
                  </w:r>
                </w:p>
              </w:tc>
              <w:tc>
                <w:tcPr>
                  <w:tcW w:w="392" w:type="pct"/>
                  <w:vAlign w:val="center"/>
                </w:tcPr>
                <w:p w14:paraId="31E4D9EC">
                  <w:pPr>
                    <w:pStyle w:val="43"/>
                    <w:bidi w:val="0"/>
                    <w:jc w:val="center"/>
                    <w:rPr>
                      <w:rFonts w:hint="eastAsia" w:eastAsia="宋体" w:cs="宋体"/>
                      <w:color w:val="auto"/>
                      <w:sz w:val="21"/>
                      <w:szCs w:val="21"/>
                      <w:highlight w:val="none"/>
                      <w:lang w:val="en-US" w:eastAsia="zh-CN"/>
                    </w:rPr>
                  </w:pPr>
                  <w:r>
                    <w:rPr>
                      <w:rFonts w:hint="eastAsia" w:eastAsia="宋体" w:cs="宋体"/>
                      <w:color w:val="auto"/>
                      <w:sz w:val="21"/>
                      <w:szCs w:val="21"/>
                      <w:highlight w:val="none"/>
                      <w:lang w:val="en-US" w:eastAsia="zh-CN"/>
                    </w:rPr>
                    <w:t>产生量(t/a)</w:t>
                  </w:r>
                </w:p>
              </w:tc>
              <w:tc>
                <w:tcPr>
                  <w:tcW w:w="510" w:type="pct"/>
                  <w:vAlign w:val="center"/>
                </w:tcPr>
                <w:p w14:paraId="04F2C666">
                  <w:pPr>
                    <w:pStyle w:val="43"/>
                    <w:bidi w:val="0"/>
                    <w:jc w:val="center"/>
                    <w:rPr>
                      <w:rFonts w:hint="eastAsia" w:eastAsia="宋体" w:cs="宋体"/>
                      <w:color w:val="auto"/>
                      <w:sz w:val="21"/>
                      <w:szCs w:val="21"/>
                      <w:highlight w:val="none"/>
                      <w:lang w:val="en-US" w:eastAsia="zh-CN"/>
                    </w:rPr>
                  </w:pPr>
                  <w:r>
                    <w:rPr>
                      <w:rFonts w:hint="eastAsia" w:eastAsia="宋体" w:cs="宋体"/>
                      <w:color w:val="auto"/>
                      <w:sz w:val="21"/>
                      <w:szCs w:val="21"/>
                      <w:highlight w:val="none"/>
                      <w:lang w:val="en-US" w:eastAsia="zh-CN"/>
                    </w:rPr>
                    <w:t>综合利用量(t/a)</w:t>
                  </w:r>
                </w:p>
              </w:tc>
              <w:tc>
                <w:tcPr>
                  <w:tcW w:w="485" w:type="pct"/>
                  <w:vAlign w:val="center"/>
                </w:tcPr>
                <w:p w14:paraId="589408B2">
                  <w:pPr>
                    <w:pStyle w:val="43"/>
                    <w:bidi w:val="0"/>
                    <w:jc w:val="center"/>
                    <w:rPr>
                      <w:rFonts w:hint="eastAsia" w:eastAsia="宋体" w:cs="宋体"/>
                      <w:color w:val="auto"/>
                      <w:sz w:val="21"/>
                      <w:szCs w:val="21"/>
                      <w:highlight w:val="none"/>
                      <w:lang w:val="en-US" w:eastAsia="zh-CN"/>
                    </w:rPr>
                  </w:pPr>
                  <w:r>
                    <w:rPr>
                      <w:rFonts w:hint="eastAsia" w:eastAsia="宋体" w:cs="宋体"/>
                      <w:color w:val="auto"/>
                      <w:sz w:val="21"/>
                      <w:szCs w:val="21"/>
                      <w:highlight w:val="none"/>
                      <w:lang w:val="en-US" w:eastAsia="zh-CN"/>
                    </w:rPr>
                    <w:t>处置量(t/a)</w:t>
                  </w:r>
                </w:p>
              </w:tc>
              <w:tc>
                <w:tcPr>
                  <w:tcW w:w="669" w:type="pct"/>
                  <w:vAlign w:val="center"/>
                </w:tcPr>
                <w:p w14:paraId="589EE1B0">
                  <w:pPr>
                    <w:pStyle w:val="43"/>
                    <w:bidi w:val="0"/>
                    <w:jc w:val="center"/>
                    <w:rPr>
                      <w:rFonts w:hint="eastAsia" w:eastAsia="宋体" w:cs="宋体"/>
                      <w:color w:val="auto"/>
                      <w:sz w:val="21"/>
                      <w:szCs w:val="21"/>
                      <w:highlight w:val="none"/>
                      <w:lang w:val="en-US" w:eastAsia="zh-CN"/>
                    </w:rPr>
                  </w:pPr>
                  <w:r>
                    <w:rPr>
                      <w:rFonts w:hint="eastAsia" w:eastAsia="宋体" w:cs="宋体"/>
                      <w:color w:val="auto"/>
                      <w:sz w:val="21"/>
                      <w:szCs w:val="21"/>
                      <w:highlight w:val="none"/>
                      <w:lang w:val="en-US" w:eastAsia="zh-CN"/>
                    </w:rPr>
                    <w:t>综合利用或处置方式</w:t>
                  </w:r>
                </w:p>
              </w:tc>
              <w:tc>
                <w:tcPr>
                  <w:tcW w:w="409" w:type="pct"/>
                  <w:vAlign w:val="center"/>
                </w:tcPr>
                <w:p w14:paraId="305C1F5F">
                  <w:pPr>
                    <w:pStyle w:val="43"/>
                    <w:bidi w:val="0"/>
                    <w:jc w:val="center"/>
                    <w:rPr>
                      <w:rFonts w:hint="eastAsia" w:eastAsia="宋体" w:cs="宋体"/>
                      <w:color w:val="auto"/>
                      <w:sz w:val="21"/>
                      <w:szCs w:val="21"/>
                      <w:highlight w:val="none"/>
                      <w:lang w:val="en-US" w:eastAsia="zh-CN"/>
                    </w:rPr>
                  </w:pPr>
                  <w:r>
                    <w:rPr>
                      <w:rFonts w:hint="eastAsia" w:eastAsia="宋体" w:cs="宋体"/>
                      <w:color w:val="auto"/>
                      <w:sz w:val="21"/>
                      <w:szCs w:val="21"/>
                      <w:highlight w:val="none"/>
                      <w:lang w:val="en-US" w:eastAsia="zh-CN"/>
                    </w:rPr>
                    <w:t>产废周期</w:t>
                  </w:r>
                </w:p>
              </w:tc>
            </w:tr>
            <w:tr w14:paraId="30423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 w:hRule="atLeast"/>
              </w:trPr>
              <w:tc>
                <w:tcPr>
                  <w:tcW w:w="627" w:type="pct"/>
                  <w:vMerge w:val="restart"/>
                  <w:vAlign w:val="center"/>
                </w:tcPr>
                <w:p w14:paraId="2AEDFEA7">
                  <w:pPr>
                    <w:pStyle w:val="43"/>
                    <w:bidi w:val="0"/>
                    <w:jc w:val="center"/>
                    <w:rPr>
                      <w:rFonts w:hint="eastAsia" w:eastAsia="宋体" w:cs="宋体"/>
                      <w:color w:val="auto"/>
                      <w:sz w:val="21"/>
                      <w:szCs w:val="21"/>
                      <w:highlight w:val="none"/>
                      <w:lang w:val="en-US" w:eastAsia="zh-CN"/>
                    </w:rPr>
                  </w:pPr>
                  <w:r>
                    <w:rPr>
                      <w:rFonts w:hint="eastAsia" w:cs="宋体"/>
                      <w:color w:val="auto"/>
                      <w:sz w:val="21"/>
                      <w:szCs w:val="21"/>
                      <w:highlight w:val="none"/>
                      <w:lang w:val="en-US" w:eastAsia="zh-CN"/>
                    </w:rPr>
                    <w:t>实验室</w:t>
                  </w:r>
                </w:p>
              </w:tc>
              <w:tc>
                <w:tcPr>
                  <w:tcW w:w="761" w:type="pct"/>
                  <w:vAlign w:val="center"/>
                </w:tcPr>
                <w:p w14:paraId="1BFB685F">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宋体" w:cs="宋体"/>
                      <w:color w:val="auto"/>
                      <w:kern w:val="2"/>
                      <w:sz w:val="21"/>
                      <w:szCs w:val="21"/>
                      <w:highlight w:val="none"/>
                      <w:lang w:val="en-US" w:eastAsia="zh-CN" w:bidi="ar"/>
                    </w:rPr>
                  </w:pPr>
                  <w:r>
                    <w:rPr>
                      <w:rFonts w:hint="eastAsia" w:ascii="Times New Roman" w:hAnsi="Times New Roman" w:eastAsia="宋体" w:cs="宋体"/>
                      <w:color w:val="auto"/>
                      <w:kern w:val="2"/>
                      <w:sz w:val="21"/>
                      <w:szCs w:val="21"/>
                      <w:highlight w:val="none"/>
                      <w:lang w:val="en-US" w:eastAsia="zh-CN" w:bidi="ar"/>
                    </w:rPr>
                    <w:t>实验室危险废物</w:t>
                  </w:r>
                </w:p>
              </w:tc>
              <w:tc>
                <w:tcPr>
                  <w:tcW w:w="439" w:type="pct"/>
                  <w:vMerge w:val="restart"/>
                  <w:vAlign w:val="center"/>
                </w:tcPr>
                <w:p w14:paraId="5EEBA8D0">
                  <w:pPr>
                    <w:pStyle w:val="43"/>
                    <w:bidi w:val="0"/>
                    <w:ind w:firstLine="0" w:firstLineChars="0"/>
                    <w:jc w:val="center"/>
                    <w:rPr>
                      <w:rFonts w:hint="eastAsia" w:cs="宋体"/>
                      <w:color w:val="auto"/>
                      <w:sz w:val="21"/>
                      <w:szCs w:val="21"/>
                      <w:highlight w:val="none"/>
                      <w:lang w:val="en-US" w:eastAsia="zh-CN"/>
                    </w:rPr>
                  </w:pPr>
                  <w:r>
                    <w:rPr>
                      <w:rFonts w:hint="eastAsia" w:eastAsia="宋体" w:cs="宋体"/>
                      <w:color w:val="auto"/>
                      <w:sz w:val="21"/>
                      <w:szCs w:val="21"/>
                      <w:highlight w:val="none"/>
                      <w:lang w:val="en-US" w:eastAsia="zh-CN"/>
                    </w:rPr>
                    <w:t>危险废物</w:t>
                  </w:r>
                </w:p>
              </w:tc>
              <w:tc>
                <w:tcPr>
                  <w:tcW w:w="703" w:type="pct"/>
                  <w:vAlign w:val="center"/>
                </w:tcPr>
                <w:p w14:paraId="5C6243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s="宋体"/>
                      <w:color w:val="auto"/>
                      <w:sz w:val="21"/>
                      <w:szCs w:val="21"/>
                      <w:highlight w:val="none"/>
                      <w:lang w:val="en-US" w:eastAsia="zh-CN"/>
                    </w:rPr>
                  </w:pPr>
                  <w:r>
                    <w:rPr>
                      <w:rFonts w:hint="default" w:ascii="Times New Roman" w:hAnsi="Times New Roman" w:cs="Times New Roman"/>
                      <w:color w:val="auto"/>
                      <w:kern w:val="0"/>
                      <w:sz w:val="21"/>
                      <w:szCs w:val="21"/>
                      <w:highlight w:val="none"/>
                    </w:rPr>
                    <w:t>900-0</w:t>
                  </w:r>
                  <w:r>
                    <w:rPr>
                      <w:rFonts w:hint="eastAsia" w:ascii="Times New Roman" w:hAnsi="Times New Roman" w:cs="Times New Roman"/>
                      <w:color w:val="auto"/>
                      <w:kern w:val="0"/>
                      <w:sz w:val="21"/>
                      <w:szCs w:val="21"/>
                      <w:highlight w:val="none"/>
                      <w:lang w:val="en-US" w:eastAsia="zh-CN"/>
                    </w:rPr>
                    <w:t>47</w:t>
                  </w:r>
                  <w:r>
                    <w:rPr>
                      <w:rFonts w:hint="default" w:ascii="Times New Roman" w:hAnsi="Times New Roman" w:cs="Times New Roman"/>
                      <w:color w:val="auto"/>
                      <w:kern w:val="0"/>
                      <w:sz w:val="21"/>
                      <w:szCs w:val="21"/>
                      <w:highlight w:val="none"/>
                    </w:rPr>
                    <w:t>-49</w:t>
                  </w:r>
                </w:p>
              </w:tc>
              <w:tc>
                <w:tcPr>
                  <w:tcW w:w="392" w:type="pct"/>
                  <w:vAlign w:val="center"/>
                </w:tcPr>
                <w:p w14:paraId="77451391">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0.151</w:t>
                  </w:r>
                </w:p>
              </w:tc>
              <w:tc>
                <w:tcPr>
                  <w:tcW w:w="510" w:type="pct"/>
                  <w:vAlign w:val="center"/>
                </w:tcPr>
                <w:p w14:paraId="0D52E8AF">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0</w:t>
                  </w:r>
                </w:p>
              </w:tc>
              <w:tc>
                <w:tcPr>
                  <w:tcW w:w="836" w:type="dxa"/>
                  <w:vAlign w:val="center"/>
                </w:tcPr>
                <w:p w14:paraId="5C0386DA">
                  <w:pPr>
                    <w:pStyle w:val="43"/>
                    <w:bidi w:val="0"/>
                    <w:ind w:firstLine="0" w:firstLineChars="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0.151</w:t>
                  </w:r>
                </w:p>
              </w:tc>
              <w:tc>
                <w:tcPr>
                  <w:tcW w:w="669" w:type="pct"/>
                  <w:vMerge w:val="restart"/>
                  <w:vAlign w:val="center"/>
                </w:tcPr>
                <w:p w14:paraId="58C938AE">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委托有资质单位处置</w:t>
                  </w:r>
                </w:p>
              </w:tc>
              <w:tc>
                <w:tcPr>
                  <w:tcW w:w="409" w:type="pct"/>
                  <w:vMerge w:val="restart"/>
                  <w:vAlign w:val="center"/>
                </w:tcPr>
                <w:p w14:paraId="24338D6E">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1次/半年</w:t>
                  </w:r>
                </w:p>
              </w:tc>
            </w:tr>
            <w:tr w14:paraId="64E9B3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 w:hRule="atLeast"/>
              </w:trPr>
              <w:tc>
                <w:tcPr>
                  <w:tcW w:w="627" w:type="pct"/>
                  <w:vMerge w:val="continue"/>
                  <w:vAlign w:val="center"/>
                </w:tcPr>
                <w:p w14:paraId="46DD0856">
                  <w:pPr>
                    <w:pStyle w:val="43"/>
                    <w:bidi w:val="0"/>
                    <w:jc w:val="center"/>
                    <w:rPr>
                      <w:color w:val="auto"/>
                      <w:sz w:val="21"/>
                      <w:szCs w:val="21"/>
                      <w:highlight w:val="none"/>
                    </w:rPr>
                  </w:pPr>
                </w:p>
              </w:tc>
              <w:tc>
                <w:tcPr>
                  <w:tcW w:w="761" w:type="pct"/>
                  <w:vAlign w:val="center"/>
                </w:tcPr>
                <w:p w14:paraId="3491F36F">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Times New Roman" w:hAnsi="Times New Roman" w:eastAsia="宋体" w:cs="宋体"/>
                      <w:color w:val="auto"/>
                      <w:kern w:val="2"/>
                      <w:sz w:val="21"/>
                      <w:szCs w:val="21"/>
                      <w:highlight w:val="none"/>
                      <w:lang w:val="en-US" w:eastAsia="zh-CN" w:bidi="ar"/>
                    </w:rPr>
                  </w:pPr>
                  <w:r>
                    <w:rPr>
                      <w:rFonts w:hint="eastAsia" w:cs="宋体"/>
                      <w:color w:val="auto"/>
                      <w:kern w:val="2"/>
                      <w:sz w:val="21"/>
                      <w:szCs w:val="21"/>
                      <w:highlight w:val="none"/>
                      <w:lang w:val="en-US" w:eastAsia="zh-CN" w:bidi="ar"/>
                    </w:rPr>
                    <w:t>实验室废气治理废活性炭</w:t>
                  </w:r>
                </w:p>
              </w:tc>
              <w:tc>
                <w:tcPr>
                  <w:tcW w:w="439" w:type="pct"/>
                  <w:vMerge w:val="continue"/>
                  <w:vAlign w:val="center"/>
                </w:tcPr>
                <w:p w14:paraId="2F816DD5">
                  <w:pPr>
                    <w:pStyle w:val="43"/>
                    <w:bidi w:val="0"/>
                    <w:jc w:val="center"/>
                    <w:rPr>
                      <w:rFonts w:hint="eastAsia" w:eastAsia="宋体" w:cs="宋体"/>
                      <w:color w:val="auto"/>
                      <w:sz w:val="21"/>
                      <w:szCs w:val="21"/>
                      <w:highlight w:val="none"/>
                      <w:lang w:val="en-US" w:eastAsia="zh-CN"/>
                    </w:rPr>
                  </w:pPr>
                </w:p>
              </w:tc>
              <w:tc>
                <w:tcPr>
                  <w:tcW w:w="703" w:type="pct"/>
                  <w:vAlign w:val="center"/>
                </w:tcPr>
                <w:p w14:paraId="63E959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s="宋体"/>
                      <w:color w:val="auto"/>
                      <w:sz w:val="21"/>
                      <w:szCs w:val="21"/>
                      <w:highlight w:val="none"/>
                      <w:lang w:val="en-US" w:eastAsia="zh-CN"/>
                    </w:rPr>
                  </w:pPr>
                  <w:r>
                    <w:rPr>
                      <w:rFonts w:hint="default" w:ascii="Times New Roman" w:hAnsi="Times New Roman" w:cs="Times New Roman"/>
                      <w:color w:val="auto"/>
                      <w:kern w:val="0"/>
                      <w:sz w:val="21"/>
                      <w:szCs w:val="21"/>
                      <w:highlight w:val="none"/>
                    </w:rPr>
                    <w:t>900-039-49</w:t>
                  </w:r>
                </w:p>
              </w:tc>
              <w:tc>
                <w:tcPr>
                  <w:tcW w:w="392" w:type="pct"/>
                  <w:vAlign w:val="center"/>
                </w:tcPr>
                <w:p w14:paraId="5C36BAD7">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0.04</w:t>
                  </w:r>
                </w:p>
              </w:tc>
              <w:tc>
                <w:tcPr>
                  <w:tcW w:w="510" w:type="pct"/>
                  <w:vAlign w:val="center"/>
                </w:tcPr>
                <w:p w14:paraId="0BD239C2">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0</w:t>
                  </w:r>
                </w:p>
              </w:tc>
              <w:tc>
                <w:tcPr>
                  <w:tcW w:w="836" w:type="dxa"/>
                  <w:vAlign w:val="center"/>
                </w:tcPr>
                <w:p w14:paraId="0E350945">
                  <w:pPr>
                    <w:pStyle w:val="43"/>
                    <w:bidi w:val="0"/>
                    <w:ind w:firstLine="0" w:firstLineChars="0"/>
                    <w:jc w:val="center"/>
                    <w:rPr>
                      <w:rFonts w:hint="eastAsia" w:eastAsia="宋体" w:cs="宋体"/>
                      <w:color w:val="auto"/>
                      <w:sz w:val="21"/>
                      <w:szCs w:val="21"/>
                      <w:highlight w:val="none"/>
                      <w:lang w:val="en-US" w:eastAsia="zh-CN"/>
                    </w:rPr>
                  </w:pPr>
                  <w:r>
                    <w:rPr>
                      <w:rFonts w:hint="eastAsia" w:cs="宋体"/>
                      <w:color w:val="auto"/>
                      <w:sz w:val="21"/>
                      <w:szCs w:val="21"/>
                      <w:highlight w:val="none"/>
                      <w:lang w:val="en-US" w:eastAsia="zh-CN"/>
                    </w:rPr>
                    <w:t>0.04</w:t>
                  </w:r>
                </w:p>
              </w:tc>
              <w:tc>
                <w:tcPr>
                  <w:tcW w:w="669" w:type="pct"/>
                  <w:vMerge w:val="continue"/>
                  <w:vAlign w:val="center"/>
                </w:tcPr>
                <w:p w14:paraId="231DB5B0">
                  <w:pPr>
                    <w:pStyle w:val="43"/>
                    <w:bidi w:val="0"/>
                    <w:jc w:val="center"/>
                    <w:rPr>
                      <w:rFonts w:hint="eastAsia" w:eastAsia="宋体" w:cs="宋体"/>
                      <w:color w:val="auto"/>
                      <w:sz w:val="21"/>
                      <w:szCs w:val="21"/>
                      <w:highlight w:val="none"/>
                      <w:lang w:val="en-US" w:eastAsia="zh-CN"/>
                    </w:rPr>
                  </w:pPr>
                </w:p>
              </w:tc>
              <w:tc>
                <w:tcPr>
                  <w:tcW w:w="409" w:type="pct"/>
                  <w:vMerge w:val="continue"/>
                  <w:vAlign w:val="center"/>
                </w:tcPr>
                <w:p w14:paraId="03847C18">
                  <w:pPr>
                    <w:pStyle w:val="43"/>
                    <w:bidi w:val="0"/>
                    <w:jc w:val="center"/>
                    <w:rPr>
                      <w:rFonts w:hint="eastAsia" w:eastAsia="宋体" w:cs="宋体"/>
                      <w:color w:val="auto"/>
                      <w:sz w:val="21"/>
                      <w:szCs w:val="21"/>
                      <w:highlight w:val="none"/>
                      <w:lang w:val="en-US" w:eastAsia="zh-CN"/>
                    </w:rPr>
                  </w:pPr>
                </w:p>
              </w:tc>
            </w:tr>
            <w:tr w14:paraId="23FCB8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27" w:type="pct"/>
                  <w:vMerge w:val="restart"/>
                  <w:vAlign w:val="center"/>
                </w:tcPr>
                <w:p w14:paraId="515D761D">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食堂</w:t>
                  </w:r>
                </w:p>
              </w:tc>
              <w:tc>
                <w:tcPr>
                  <w:tcW w:w="761" w:type="pct"/>
                  <w:shd w:val="clear" w:color="auto" w:fill="auto"/>
                  <w:vAlign w:val="center"/>
                </w:tcPr>
                <w:p w14:paraId="4A6F94CD">
                  <w:pPr>
                    <w:pStyle w:val="43"/>
                    <w:bidi w:val="0"/>
                    <w:ind w:firstLine="0" w:firstLineChars="0"/>
                    <w:jc w:val="center"/>
                    <w:rPr>
                      <w:rFonts w:hint="default" w:ascii="Times New Roman" w:hAnsi="Times New Roman" w:eastAsia="宋体" w:cs="宋体"/>
                      <w:color w:val="auto"/>
                      <w:kern w:val="2"/>
                      <w:sz w:val="21"/>
                      <w:szCs w:val="21"/>
                      <w:highlight w:val="none"/>
                      <w:lang w:val="en-US" w:eastAsia="zh-CN" w:bidi="ar"/>
                    </w:rPr>
                  </w:pPr>
                  <w:r>
                    <w:rPr>
                      <w:rFonts w:hint="eastAsia" w:cs="宋体"/>
                      <w:color w:val="auto"/>
                      <w:sz w:val="21"/>
                      <w:szCs w:val="21"/>
                      <w:highlight w:val="none"/>
                      <w:lang w:val="en-US" w:eastAsia="zh-CN"/>
                    </w:rPr>
                    <w:t>餐厨垃圾</w:t>
                  </w:r>
                </w:p>
              </w:tc>
              <w:tc>
                <w:tcPr>
                  <w:tcW w:w="439" w:type="pct"/>
                  <w:vMerge w:val="restart"/>
                  <w:vAlign w:val="center"/>
                </w:tcPr>
                <w:p w14:paraId="6C7D4ABB">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一般固体废物</w:t>
                  </w:r>
                </w:p>
              </w:tc>
              <w:tc>
                <w:tcPr>
                  <w:tcW w:w="703" w:type="pct"/>
                  <w:vAlign w:val="center"/>
                </w:tcPr>
                <w:p w14:paraId="3C7DE012">
                  <w:pPr>
                    <w:pStyle w:val="43"/>
                    <w:bidi w:val="0"/>
                    <w:jc w:val="center"/>
                    <w:rPr>
                      <w:rFonts w:hint="default" w:eastAsia="宋体" w:cs="宋体"/>
                      <w:color w:val="auto"/>
                      <w:sz w:val="21"/>
                      <w:szCs w:val="21"/>
                      <w:highlight w:val="none"/>
                      <w:lang w:val="en-US" w:eastAsia="zh-CN"/>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900-002-S61</w:t>
                  </w:r>
                </w:p>
              </w:tc>
              <w:tc>
                <w:tcPr>
                  <w:tcW w:w="392" w:type="pct"/>
                  <w:vAlign w:val="center"/>
                </w:tcPr>
                <w:p w14:paraId="38530C2B">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97.5</w:t>
                  </w:r>
                </w:p>
              </w:tc>
              <w:tc>
                <w:tcPr>
                  <w:tcW w:w="510" w:type="pct"/>
                  <w:vAlign w:val="center"/>
                </w:tcPr>
                <w:p w14:paraId="6E3B817A">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0</w:t>
                  </w:r>
                </w:p>
              </w:tc>
              <w:tc>
                <w:tcPr>
                  <w:tcW w:w="485" w:type="pct"/>
                  <w:vAlign w:val="center"/>
                </w:tcPr>
                <w:p w14:paraId="537E7E32">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97.5</w:t>
                  </w:r>
                </w:p>
              </w:tc>
              <w:tc>
                <w:tcPr>
                  <w:tcW w:w="669" w:type="pct"/>
                  <w:vMerge w:val="restart"/>
                  <w:vAlign w:val="center"/>
                </w:tcPr>
                <w:p w14:paraId="28743D87">
                  <w:pPr>
                    <w:pStyle w:val="43"/>
                    <w:bidi w:val="0"/>
                    <w:jc w:val="center"/>
                    <w:rPr>
                      <w:rFonts w:hint="eastAsia" w:eastAsia="宋体" w:cs="宋体"/>
                      <w:color w:val="auto"/>
                      <w:sz w:val="21"/>
                      <w:szCs w:val="21"/>
                      <w:highlight w:val="none"/>
                      <w:lang w:val="en-US" w:eastAsia="zh-CN"/>
                    </w:rPr>
                  </w:pPr>
                  <w:r>
                    <w:rPr>
                      <w:rFonts w:hint="eastAsia" w:cs="宋体"/>
                      <w:color w:val="auto"/>
                      <w:sz w:val="21"/>
                      <w:szCs w:val="21"/>
                      <w:highlight w:val="none"/>
                      <w:lang w:val="en-US" w:eastAsia="zh-CN"/>
                    </w:rPr>
                    <w:t>收集经垃圾分类后，</w:t>
                  </w:r>
                  <w:r>
                    <w:rPr>
                      <w:rFonts w:hint="eastAsia" w:eastAsia="宋体" w:cs="宋体"/>
                      <w:color w:val="auto"/>
                      <w:sz w:val="21"/>
                      <w:szCs w:val="21"/>
                      <w:highlight w:val="none"/>
                      <w:lang w:val="en-US" w:eastAsia="zh-CN"/>
                    </w:rPr>
                    <w:t>委托环卫部门定时进行转运和处理</w:t>
                  </w:r>
                </w:p>
              </w:tc>
              <w:tc>
                <w:tcPr>
                  <w:tcW w:w="409" w:type="pct"/>
                  <w:vAlign w:val="center"/>
                </w:tcPr>
                <w:p w14:paraId="5FC91826">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1次/天</w:t>
                  </w:r>
                </w:p>
              </w:tc>
            </w:tr>
            <w:tr w14:paraId="54AF3D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27" w:type="pct"/>
                  <w:vMerge w:val="continue"/>
                  <w:vAlign w:val="center"/>
                </w:tcPr>
                <w:p w14:paraId="3F2DB098">
                  <w:pPr>
                    <w:pStyle w:val="43"/>
                    <w:bidi w:val="0"/>
                    <w:jc w:val="center"/>
                    <w:rPr>
                      <w:rFonts w:hint="default" w:cs="宋体"/>
                      <w:color w:val="auto"/>
                      <w:sz w:val="21"/>
                      <w:szCs w:val="21"/>
                      <w:highlight w:val="none"/>
                      <w:lang w:val="en-US" w:eastAsia="zh-CN"/>
                    </w:rPr>
                  </w:pPr>
                </w:p>
              </w:tc>
              <w:tc>
                <w:tcPr>
                  <w:tcW w:w="761" w:type="pct"/>
                  <w:shd w:val="clear" w:color="auto" w:fill="auto"/>
                  <w:vAlign w:val="center"/>
                </w:tcPr>
                <w:p w14:paraId="4BBDA975">
                  <w:pPr>
                    <w:pStyle w:val="43"/>
                    <w:bidi w:val="0"/>
                    <w:ind w:firstLine="0" w:firstLineChars="0"/>
                    <w:jc w:val="center"/>
                    <w:rPr>
                      <w:rFonts w:hint="eastAsia" w:ascii="Times New Roman" w:hAnsi="Times New Roman" w:eastAsia="宋体" w:cs="宋体"/>
                      <w:color w:val="auto"/>
                      <w:kern w:val="2"/>
                      <w:sz w:val="21"/>
                      <w:szCs w:val="21"/>
                      <w:highlight w:val="none"/>
                      <w:lang w:val="en-US" w:eastAsia="zh-CN" w:bidi="ar"/>
                    </w:rPr>
                  </w:pPr>
                  <w:r>
                    <w:rPr>
                      <w:rFonts w:hint="eastAsia" w:cs="宋体"/>
                      <w:color w:val="auto"/>
                      <w:sz w:val="21"/>
                      <w:szCs w:val="21"/>
                      <w:highlight w:val="none"/>
                      <w:lang w:val="en-US" w:eastAsia="zh-CN"/>
                    </w:rPr>
                    <w:t>隔油池废油脂</w:t>
                  </w:r>
                </w:p>
              </w:tc>
              <w:tc>
                <w:tcPr>
                  <w:tcW w:w="439" w:type="pct"/>
                  <w:vMerge w:val="continue"/>
                  <w:vAlign w:val="center"/>
                </w:tcPr>
                <w:p w14:paraId="21BC3822">
                  <w:pPr>
                    <w:pStyle w:val="43"/>
                    <w:bidi w:val="0"/>
                    <w:jc w:val="center"/>
                    <w:rPr>
                      <w:rFonts w:hint="eastAsia" w:cs="宋体"/>
                      <w:color w:val="auto"/>
                      <w:sz w:val="21"/>
                      <w:szCs w:val="21"/>
                      <w:highlight w:val="none"/>
                      <w:lang w:val="en-US" w:eastAsia="zh-CN"/>
                    </w:rPr>
                  </w:pPr>
                </w:p>
              </w:tc>
              <w:tc>
                <w:tcPr>
                  <w:tcW w:w="703" w:type="pct"/>
                  <w:vAlign w:val="center"/>
                </w:tcPr>
                <w:p w14:paraId="641F77E4">
                  <w:pPr>
                    <w:pStyle w:val="43"/>
                    <w:bidi w:val="0"/>
                    <w:jc w:val="center"/>
                    <w:rPr>
                      <w:rFonts w:hint="eastAsia" w:cs="宋体"/>
                      <w:color w:val="auto"/>
                      <w:sz w:val="21"/>
                      <w:szCs w:val="21"/>
                      <w:highlight w:val="none"/>
                      <w:lang w:val="en-US" w:eastAsia="zh-CN"/>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900-002-S61</w:t>
                  </w:r>
                </w:p>
              </w:tc>
              <w:tc>
                <w:tcPr>
                  <w:tcW w:w="392" w:type="pct"/>
                  <w:vAlign w:val="center"/>
                </w:tcPr>
                <w:p w14:paraId="162815D0">
                  <w:pPr>
                    <w:pStyle w:val="43"/>
                    <w:bidi w:val="0"/>
                    <w:jc w:val="center"/>
                    <w:rPr>
                      <w:rFonts w:hint="default" w:cs="宋体"/>
                      <w:color w:val="auto"/>
                      <w:sz w:val="21"/>
                      <w:szCs w:val="21"/>
                      <w:highlight w:val="none"/>
                      <w:lang w:val="en-US" w:eastAsia="zh-CN"/>
                    </w:rPr>
                  </w:pPr>
                  <w:r>
                    <w:rPr>
                      <w:rFonts w:hint="eastAsia" w:cs="宋体"/>
                      <w:color w:val="auto"/>
                      <w:sz w:val="21"/>
                      <w:szCs w:val="21"/>
                      <w:highlight w:val="none"/>
                      <w:lang w:val="en-US" w:eastAsia="zh-CN"/>
                    </w:rPr>
                    <w:t>6.5</w:t>
                  </w:r>
                </w:p>
              </w:tc>
              <w:tc>
                <w:tcPr>
                  <w:tcW w:w="510" w:type="pct"/>
                  <w:vAlign w:val="center"/>
                </w:tcPr>
                <w:p w14:paraId="39605C94">
                  <w:pPr>
                    <w:pStyle w:val="43"/>
                    <w:bidi w:val="0"/>
                    <w:jc w:val="center"/>
                    <w:rPr>
                      <w:rFonts w:hint="eastAsia" w:cs="宋体"/>
                      <w:color w:val="auto"/>
                      <w:sz w:val="21"/>
                      <w:szCs w:val="21"/>
                      <w:highlight w:val="none"/>
                      <w:lang w:val="en-US" w:eastAsia="zh-CN"/>
                    </w:rPr>
                  </w:pPr>
                  <w:r>
                    <w:rPr>
                      <w:rFonts w:hint="eastAsia" w:cs="宋体"/>
                      <w:color w:val="auto"/>
                      <w:sz w:val="21"/>
                      <w:szCs w:val="21"/>
                      <w:highlight w:val="none"/>
                      <w:lang w:val="en-US" w:eastAsia="zh-CN"/>
                    </w:rPr>
                    <w:t>0</w:t>
                  </w:r>
                </w:p>
              </w:tc>
              <w:tc>
                <w:tcPr>
                  <w:tcW w:w="485" w:type="pct"/>
                  <w:vAlign w:val="center"/>
                </w:tcPr>
                <w:p w14:paraId="41543647">
                  <w:pPr>
                    <w:pStyle w:val="43"/>
                    <w:bidi w:val="0"/>
                    <w:jc w:val="center"/>
                    <w:rPr>
                      <w:rFonts w:hint="eastAsia" w:cs="宋体"/>
                      <w:color w:val="auto"/>
                      <w:sz w:val="21"/>
                      <w:szCs w:val="21"/>
                      <w:highlight w:val="none"/>
                      <w:lang w:val="en-US" w:eastAsia="zh-CN"/>
                    </w:rPr>
                  </w:pPr>
                  <w:r>
                    <w:rPr>
                      <w:rFonts w:hint="eastAsia" w:cs="宋体"/>
                      <w:color w:val="auto"/>
                      <w:sz w:val="21"/>
                      <w:szCs w:val="21"/>
                      <w:highlight w:val="none"/>
                      <w:lang w:val="en-US" w:eastAsia="zh-CN"/>
                    </w:rPr>
                    <w:t>6.5</w:t>
                  </w:r>
                </w:p>
              </w:tc>
              <w:tc>
                <w:tcPr>
                  <w:tcW w:w="669" w:type="pct"/>
                  <w:vMerge w:val="continue"/>
                  <w:vAlign w:val="center"/>
                </w:tcPr>
                <w:p w14:paraId="735A4DE8">
                  <w:pPr>
                    <w:pStyle w:val="43"/>
                    <w:bidi w:val="0"/>
                    <w:jc w:val="center"/>
                    <w:rPr>
                      <w:rFonts w:hint="eastAsia" w:eastAsia="宋体" w:cs="宋体"/>
                      <w:color w:val="auto"/>
                      <w:sz w:val="21"/>
                      <w:szCs w:val="21"/>
                      <w:highlight w:val="none"/>
                      <w:lang w:val="en-US" w:eastAsia="zh-CN"/>
                    </w:rPr>
                  </w:pPr>
                </w:p>
              </w:tc>
              <w:tc>
                <w:tcPr>
                  <w:tcW w:w="409" w:type="pct"/>
                  <w:vMerge w:val="restart"/>
                  <w:vAlign w:val="center"/>
                </w:tcPr>
                <w:p w14:paraId="7FA9F5E9">
                  <w:pPr>
                    <w:pStyle w:val="43"/>
                    <w:bidi w:val="0"/>
                    <w:jc w:val="center"/>
                    <w:rPr>
                      <w:rFonts w:hint="eastAsia" w:cs="宋体"/>
                      <w:color w:val="auto"/>
                      <w:sz w:val="21"/>
                      <w:szCs w:val="21"/>
                      <w:highlight w:val="none"/>
                      <w:lang w:val="en-US" w:eastAsia="zh-CN"/>
                    </w:rPr>
                  </w:pPr>
                  <w:r>
                    <w:rPr>
                      <w:rFonts w:hint="eastAsia" w:cs="宋体"/>
                      <w:color w:val="auto"/>
                      <w:sz w:val="21"/>
                      <w:szCs w:val="21"/>
                      <w:highlight w:val="none"/>
                      <w:lang w:val="en-US" w:eastAsia="zh-CN"/>
                    </w:rPr>
                    <w:t>1次/半年</w:t>
                  </w:r>
                </w:p>
              </w:tc>
            </w:tr>
            <w:tr w14:paraId="2A12CE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27" w:type="pct"/>
                  <w:vAlign w:val="center"/>
                </w:tcPr>
                <w:p w14:paraId="4672DAC9">
                  <w:pPr>
                    <w:pStyle w:val="43"/>
                    <w:bidi w:val="0"/>
                    <w:jc w:val="center"/>
                    <w:rPr>
                      <w:rFonts w:hint="default" w:cs="宋体"/>
                      <w:color w:val="auto"/>
                      <w:sz w:val="21"/>
                      <w:szCs w:val="21"/>
                      <w:highlight w:val="none"/>
                      <w:lang w:val="en-US" w:eastAsia="zh-CN"/>
                    </w:rPr>
                  </w:pPr>
                  <w:r>
                    <w:rPr>
                      <w:rFonts w:hint="eastAsia" w:cs="宋体"/>
                      <w:color w:val="auto"/>
                      <w:sz w:val="21"/>
                      <w:szCs w:val="21"/>
                      <w:highlight w:val="none"/>
                      <w:lang w:val="en-US" w:eastAsia="zh-CN"/>
                    </w:rPr>
                    <w:t>实验室</w:t>
                  </w:r>
                </w:p>
              </w:tc>
              <w:tc>
                <w:tcPr>
                  <w:tcW w:w="761" w:type="pct"/>
                  <w:vAlign w:val="center"/>
                </w:tcPr>
                <w:p w14:paraId="2947E8DE">
                  <w:pPr>
                    <w:pStyle w:val="43"/>
                    <w:bidi w:val="0"/>
                    <w:jc w:val="center"/>
                    <w:rPr>
                      <w:rFonts w:hint="eastAsia" w:cs="宋体"/>
                      <w:color w:val="auto"/>
                      <w:sz w:val="21"/>
                      <w:szCs w:val="21"/>
                      <w:highlight w:val="none"/>
                      <w:lang w:val="en-US" w:eastAsia="zh-CN"/>
                    </w:rPr>
                  </w:pPr>
                  <w:r>
                    <w:rPr>
                      <w:rFonts w:hint="eastAsia" w:cs="宋体"/>
                      <w:color w:val="auto"/>
                      <w:sz w:val="21"/>
                      <w:szCs w:val="21"/>
                      <w:highlight w:val="none"/>
                      <w:lang w:val="en-US" w:eastAsia="zh-CN"/>
                    </w:rPr>
                    <w:t>实验室一般固废</w:t>
                  </w:r>
                </w:p>
              </w:tc>
              <w:tc>
                <w:tcPr>
                  <w:tcW w:w="439" w:type="pct"/>
                  <w:vMerge w:val="continue"/>
                  <w:vAlign w:val="center"/>
                </w:tcPr>
                <w:p w14:paraId="45596A0F">
                  <w:pPr>
                    <w:pStyle w:val="43"/>
                    <w:bidi w:val="0"/>
                    <w:jc w:val="center"/>
                    <w:rPr>
                      <w:rFonts w:hint="eastAsia" w:cs="宋体"/>
                      <w:color w:val="auto"/>
                      <w:sz w:val="21"/>
                      <w:szCs w:val="21"/>
                      <w:highlight w:val="none"/>
                      <w:lang w:val="en-US" w:eastAsia="zh-CN"/>
                    </w:rPr>
                  </w:pPr>
                </w:p>
              </w:tc>
              <w:tc>
                <w:tcPr>
                  <w:tcW w:w="703" w:type="pct"/>
                  <w:vAlign w:val="center"/>
                </w:tcPr>
                <w:p w14:paraId="1D20320C">
                  <w:pPr>
                    <w:pStyle w:val="43"/>
                    <w:bidi w:val="0"/>
                    <w:jc w:val="center"/>
                    <w:rPr>
                      <w:rFonts w:hint="eastAsia" w:cs="宋体"/>
                      <w:color w:val="auto"/>
                      <w:sz w:val="21"/>
                      <w:szCs w:val="21"/>
                      <w:highlight w:val="none"/>
                      <w:lang w:val="en-US" w:eastAsia="zh-CN"/>
                    </w:rPr>
                  </w:pPr>
                  <w:r>
                    <w:rPr>
                      <w:rFonts w:hint="default" w:ascii="Times New Roman" w:hAnsi="Times New Roman" w:eastAsia="宋体" w:cs="Times New Roman"/>
                      <w:color w:val="auto"/>
                      <w:spacing w:val="0"/>
                      <w:w w:val="100"/>
                      <w:kern w:val="2"/>
                      <w:position w:val="0"/>
                      <w:sz w:val="21"/>
                      <w:szCs w:val="21"/>
                      <w:highlight w:val="none"/>
                      <w:u w:val="none"/>
                      <w:lang w:val="en-US" w:eastAsia="zh-CN" w:bidi="ar-SA"/>
                    </w:rPr>
                    <w:t>900-001-S92</w:t>
                  </w:r>
                </w:p>
              </w:tc>
              <w:tc>
                <w:tcPr>
                  <w:tcW w:w="392" w:type="pct"/>
                  <w:vAlign w:val="center"/>
                </w:tcPr>
                <w:p w14:paraId="6FB47FB2">
                  <w:pPr>
                    <w:pStyle w:val="43"/>
                    <w:bidi w:val="0"/>
                    <w:jc w:val="center"/>
                    <w:rPr>
                      <w:rFonts w:hint="default" w:cs="宋体"/>
                      <w:color w:val="auto"/>
                      <w:sz w:val="21"/>
                      <w:szCs w:val="21"/>
                      <w:highlight w:val="none"/>
                      <w:lang w:val="en-US" w:eastAsia="zh-CN"/>
                    </w:rPr>
                  </w:pPr>
                  <w:r>
                    <w:rPr>
                      <w:rFonts w:hint="eastAsia" w:cs="宋体"/>
                      <w:color w:val="auto"/>
                      <w:sz w:val="21"/>
                      <w:szCs w:val="21"/>
                      <w:highlight w:val="none"/>
                      <w:lang w:val="en-US" w:eastAsia="zh-CN"/>
                    </w:rPr>
                    <w:t>0.5</w:t>
                  </w:r>
                </w:p>
              </w:tc>
              <w:tc>
                <w:tcPr>
                  <w:tcW w:w="510" w:type="pct"/>
                  <w:vAlign w:val="center"/>
                </w:tcPr>
                <w:p w14:paraId="1D0E56AE">
                  <w:pPr>
                    <w:pStyle w:val="43"/>
                    <w:bidi w:val="0"/>
                    <w:jc w:val="center"/>
                    <w:rPr>
                      <w:rFonts w:hint="default" w:cs="宋体"/>
                      <w:color w:val="auto"/>
                      <w:sz w:val="21"/>
                      <w:szCs w:val="21"/>
                      <w:highlight w:val="none"/>
                      <w:lang w:val="en-US" w:eastAsia="zh-CN"/>
                    </w:rPr>
                  </w:pPr>
                  <w:r>
                    <w:rPr>
                      <w:rFonts w:hint="eastAsia" w:cs="宋体"/>
                      <w:color w:val="auto"/>
                      <w:sz w:val="21"/>
                      <w:szCs w:val="21"/>
                      <w:highlight w:val="none"/>
                      <w:lang w:val="en-US" w:eastAsia="zh-CN"/>
                    </w:rPr>
                    <w:t>0</w:t>
                  </w:r>
                </w:p>
              </w:tc>
              <w:tc>
                <w:tcPr>
                  <w:tcW w:w="485" w:type="pct"/>
                  <w:vAlign w:val="center"/>
                </w:tcPr>
                <w:p w14:paraId="25157C3E">
                  <w:pPr>
                    <w:pStyle w:val="43"/>
                    <w:bidi w:val="0"/>
                    <w:jc w:val="center"/>
                    <w:rPr>
                      <w:rFonts w:hint="default" w:cs="宋体"/>
                      <w:color w:val="auto"/>
                      <w:sz w:val="21"/>
                      <w:szCs w:val="21"/>
                      <w:highlight w:val="none"/>
                      <w:lang w:val="en-US" w:eastAsia="zh-CN"/>
                    </w:rPr>
                  </w:pPr>
                  <w:r>
                    <w:rPr>
                      <w:rFonts w:hint="eastAsia" w:cs="宋体"/>
                      <w:color w:val="auto"/>
                      <w:sz w:val="21"/>
                      <w:szCs w:val="21"/>
                      <w:highlight w:val="none"/>
                      <w:lang w:val="en-US" w:eastAsia="zh-CN"/>
                    </w:rPr>
                    <w:t>0.5</w:t>
                  </w:r>
                </w:p>
              </w:tc>
              <w:tc>
                <w:tcPr>
                  <w:tcW w:w="669" w:type="pct"/>
                  <w:vMerge w:val="continue"/>
                  <w:vAlign w:val="center"/>
                </w:tcPr>
                <w:p w14:paraId="54866994">
                  <w:pPr>
                    <w:pStyle w:val="43"/>
                    <w:bidi w:val="0"/>
                    <w:jc w:val="center"/>
                    <w:rPr>
                      <w:rFonts w:hint="eastAsia" w:eastAsia="宋体" w:cs="宋体"/>
                      <w:color w:val="auto"/>
                      <w:sz w:val="21"/>
                      <w:szCs w:val="21"/>
                      <w:highlight w:val="none"/>
                      <w:lang w:val="en-US" w:eastAsia="zh-CN"/>
                    </w:rPr>
                  </w:pPr>
                </w:p>
              </w:tc>
              <w:tc>
                <w:tcPr>
                  <w:tcW w:w="409" w:type="pct"/>
                  <w:vMerge w:val="continue"/>
                  <w:vAlign w:val="center"/>
                </w:tcPr>
                <w:p w14:paraId="50D58BA6">
                  <w:pPr>
                    <w:pStyle w:val="43"/>
                    <w:bidi w:val="0"/>
                    <w:jc w:val="center"/>
                    <w:rPr>
                      <w:rFonts w:hint="eastAsia" w:cs="宋体"/>
                      <w:color w:val="auto"/>
                      <w:sz w:val="21"/>
                      <w:szCs w:val="21"/>
                      <w:highlight w:val="none"/>
                      <w:lang w:val="en-US" w:eastAsia="zh-CN"/>
                    </w:rPr>
                  </w:pPr>
                </w:p>
              </w:tc>
            </w:tr>
            <w:tr w14:paraId="10E3BB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27" w:type="pct"/>
                  <w:vAlign w:val="center"/>
                </w:tcPr>
                <w:p w14:paraId="6F8B1125">
                  <w:pPr>
                    <w:pStyle w:val="43"/>
                    <w:bidi w:val="0"/>
                    <w:jc w:val="center"/>
                    <w:rPr>
                      <w:rFonts w:hint="default" w:eastAsia="宋体" w:cs="宋体"/>
                      <w:color w:val="auto"/>
                      <w:sz w:val="21"/>
                      <w:szCs w:val="21"/>
                      <w:highlight w:val="none"/>
                      <w:lang w:val="en-US" w:eastAsia="zh-CN"/>
                    </w:rPr>
                  </w:pPr>
                  <w:r>
                    <w:rPr>
                      <w:rFonts w:hint="eastAsia" w:eastAsia="宋体" w:cs="宋体"/>
                      <w:color w:val="auto"/>
                      <w:sz w:val="21"/>
                      <w:szCs w:val="21"/>
                      <w:highlight w:val="none"/>
                      <w:lang w:val="en-US" w:eastAsia="zh-CN"/>
                    </w:rPr>
                    <w:t>职工生活</w:t>
                  </w:r>
                </w:p>
              </w:tc>
              <w:tc>
                <w:tcPr>
                  <w:tcW w:w="761" w:type="pct"/>
                  <w:vAlign w:val="center"/>
                </w:tcPr>
                <w:p w14:paraId="253AE553">
                  <w:pPr>
                    <w:pStyle w:val="43"/>
                    <w:bidi w:val="0"/>
                    <w:jc w:val="center"/>
                    <w:rPr>
                      <w:rFonts w:hint="default" w:eastAsia="宋体" w:cs="宋体"/>
                      <w:color w:val="auto"/>
                      <w:sz w:val="21"/>
                      <w:szCs w:val="21"/>
                      <w:highlight w:val="none"/>
                      <w:lang w:val="en-US" w:eastAsia="zh-CN"/>
                    </w:rPr>
                  </w:pPr>
                  <w:r>
                    <w:rPr>
                      <w:rFonts w:hint="eastAsia" w:eastAsia="宋体" w:cs="宋体"/>
                      <w:color w:val="auto"/>
                      <w:sz w:val="21"/>
                      <w:szCs w:val="21"/>
                      <w:highlight w:val="none"/>
                      <w:lang w:val="en-US" w:eastAsia="zh-CN"/>
                    </w:rPr>
                    <w:t>生活垃圾</w:t>
                  </w:r>
                </w:p>
              </w:tc>
              <w:tc>
                <w:tcPr>
                  <w:tcW w:w="439" w:type="pct"/>
                  <w:vAlign w:val="center"/>
                </w:tcPr>
                <w:p w14:paraId="54605143">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w:t>
                  </w:r>
                </w:p>
              </w:tc>
              <w:tc>
                <w:tcPr>
                  <w:tcW w:w="703" w:type="pct"/>
                  <w:vAlign w:val="center"/>
                </w:tcPr>
                <w:p w14:paraId="6399596E">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w:t>
                  </w:r>
                </w:p>
              </w:tc>
              <w:tc>
                <w:tcPr>
                  <w:tcW w:w="392" w:type="pct"/>
                  <w:vAlign w:val="center"/>
                </w:tcPr>
                <w:p w14:paraId="4DDB1215">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39.2</w:t>
                  </w:r>
                </w:p>
              </w:tc>
              <w:tc>
                <w:tcPr>
                  <w:tcW w:w="510" w:type="pct"/>
                  <w:vAlign w:val="center"/>
                </w:tcPr>
                <w:p w14:paraId="6473CC80">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0</w:t>
                  </w:r>
                </w:p>
              </w:tc>
              <w:tc>
                <w:tcPr>
                  <w:tcW w:w="485" w:type="pct"/>
                  <w:vAlign w:val="center"/>
                </w:tcPr>
                <w:p w14:paraId="476B9B15">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39.2</w:t>
                  </w:r>
                </w:p>
              </w:tc>
              <w:tc>
                <w:tcPr>
                  <w:tcW w:w="669" w:type="pct"/>
                  <w:vMerge w:val="continue"/>
                  <w:vAlign w:val="center"/>
                </w:tcPr>
                <w:p w14:paraId="7A789857">
                  <w:pPr>
                    <w:pStyle w:val="43"/>
                    <w:bidi w:val="0"/>
                    <w:jc w:val="center"/>
                    <w:rPr>
                      <w:rFonts w:hint="eastAsia" w:eastAsia="宋体" w:cs="宋体"/>
                      <w:color w:val="auto"/>
                      <w:sz w:val="21"/>
                      <w:szCs w:val="21"/>
                      <w:highlight w:val="none"/>
                      <w:lang w:val="en-US" w:eastAsia="zh-CN"/>
                    </w:rPr>
                  </w:pPr>
                </w:p>
              </w:tc>
              <w:tc>
                <w:tcPr>
                  <w:tcW w:w="409" w:type="pct"/>
                  <w:vAlign w:val="center"/>
                </w:tcPr>
                <w:p w14:paraId="32181489">
                  <w:pPr>
                    <w:pStyle w:val="43"/>
                    <w:bidi w:val="0"/>
                    <w:jc w:val="center"/>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1次/天</w:t>
                  </w:r>
                </w:p>
              </w:tc>
            </w:tr>
          </w:tbl>
          <w:p w14:paraId="4ECA80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bCs/>
                <w:color w:val="auto"/>
                <w:sz w:val="24"/>
                <w:highlight w:val="none"/>
              </w:rPr>
            </w:pPr>
            <w:bookmarkStart w:id="55" w:name="_Ref31994"/>
            <w:r>
              <w:rPr>
                <w:rFonts w:hint="default" w:ascii="Times New Roman" w:hAnsi="Times New Roman" w:eastAsia="宋体" w:cs="Times New Roman"/>
                <w:color w:val="auto"/>
                <w:sz w:val="24"/>
                <w:highlight w:val="none"/>
              </w:rPr>
              <w:t>根据《建设项目危险废物环境影响评价指南》，本项目产生的危险废物汇总表见</w:t>
            </w:r>
            <w:r>
              <w:rPr>
                <w:rFonts w:hint="default" w:ascii="Times New Roman" w:hAnsi="Times New Roman" w:eastAsia="宋体" w:cs="Times New Roman"/>
                <w:b w:val="0"/>
                <w:bCs w:val="0"/>
                <w:color w:val="auto"/>
                <w:sz w:val="24"/>
                <w:szCs w:val="24"/>
                <w:highlight w:val="none"/>
              </w:rPr>
              <w:fldChar w:fldCharType="begin"/>
            </w:r>
            <w:r>
              <w:rPr>
                <w:rFonts w:hint="default" w:ascii="Times New Roman" w:hAnsi="Times New Roman" w:eastAsia="宋体" w:cs="Times New Roman"/>
                <w:b w:val="0"/>
                <w:bCs w:val="0"/>
                <w:color w:val="auto"/>
                <w:sz w:val="24"/>
                <w:szCs w:val="24"/>
                <w:highlight w:val="none"/>
              </w:rPr>
              <w:instrText xml:space="preserve"> REF _Ref29052 \h </w:instrText>
            </w:r>
            <w:r>
              <w:rPr>
                <w:rFonts w:hint="default" w:ascii="Times New Roman" w:hAnsi="Times New Roman" w:eastAsia="宋体" w:cs="Times New Roman"/>
                <w:b w:val="0"/>
                <w:bCs w:val="0"/>
                <w:color w:val="auto"/>
                <w:sz w:val="24"/>
                <w:szCs w:val="24"/>
                <w:highlight w:val="none"/>
              </w:rPr>
              <w:fldChar w:fldCharType="separate"/>
            </w:r>
            <w:r>
              <w:rPr>
                <w:rFonts w:hint="default" w:ascii="Times New Roman" w:hAnsi="Times New Roman" w:eastAsia="宋体" w:cs="Times New Roman"/>
                <w:b w:val="0"/>
                <w:bCs w:val="0"/>
                <w:color w:val="auto"/>
                <w:sz w:val="24"/>
                <w:szCs w:val="24"/>
                <w:highlight w:val="none"/>
                <w:lang w:eastAsia="zh-CN"/>
              </w:rPr>
              <w:t>表</w:t>
            </w:r>
            <w:r>
              <w:rPr>
                <w:rFonts w:hint="default" w:ascii="Times New Roman" w:hAnsi="Times New Roman" w:eastAsia="宋体" w:cs="Times New Roman"/>
                <w:b w:val="0"/>
                <w:bCs w:val="0"/>
                <w:color w:val="auto"/>
                <w:sz w:val="24"/>
                <w:szCs w:val="24"/>
                <w:highlight w:val="none"/>
              </w:rPr>
              <w:fldChar w:fldCharType="begin"/>
            </w:r>
            <w:r>
              <w:rPr>
                <w:rFonts w:hint="default" w:ascii="Times New Roman" w:hAnsi="Times New Roman" w:eastAsia="宋体" w:cs="Times New Roman"/>
                <w:b w:val="0"/>
                <w:bCs w:val="0"/>
                <w:color w:val="auto"/>
                <w:sz w:val="24"/>
                <w:szCs w:val="24"/>
                <w:highlight w:val="none"/>
              </w:rPr>
              <w:instrText xml:space="preserve"> STYLEREF 1 \s </w:instrText>
            </w:r>
            <w:r>
              <w:rPr>
                <w:rFonts w:hint="default" w:ascii="Times New Roman" w:hAnsi="Times New Roman" w:eastAsia="宋体" w:cs="Times New Roman"/>
                <w:b w:val="0"/>
                <w:bCs w:val="0"/>
                <w:color w:val="auto"/>
                <w:sz w:val="24"/>
                <w:szCs w:val="24"/>
                <w:highlight w:val="none"/>
              </w:rPr>
              <w:fldChar w:fldCharType="separate"/>
            </w:r>
            <w:r>
              <w:rPr>
                <w:rFonts w:hint="default" w:ascii="Times New Roman" w:hAnsi="Times New Roman" w:eastAsia="宋体" w:cs="Times New Roman"/>
                <w:b w:val="0"/>
                <w:bCs w:val="0"/>
                <w:color w:val="auto"/>
                <w:sz w:val="24"/>
                <w:szCs w:val="24"/>
                <w:highlight w:val="none"/>
              </w:rPr>
              <w:t>4</w:t>
            </w:r>
            <w:r>
              <w:rPr>
                <w:rFonts w:hint="default" w:ascii="Times New Roman" w:hAnsi="Times New Roman" w:eastAsia="宋体" w:cs="Times New Roman"/>
                <w:b w:val="0"/>
                <w:bCs w:val="0"/>
                <w:color w:val="auto"/>
                <w:sz w:val="24"/>
                <w:szCs w:val="24"/>
                <w:highlight w:val="none"/>
              </w:rPr>
              <w:fldChar w:fldCharType="end"/>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rPr>
              <w:t>16</w:t>
            </w:r>
            <w:r>
              <w:rPr>
                <w:rFonts w:hint="default" w:ascii="Times New Roman" w:hAnsi="Times New Roman" w:eastAsia="宋体" w:cs="Times New Roman"/>
                <w:b w:val="0"/>
                <w:bCs w:val="0"/>
                <w:color w:val="auto"/>
                <w:sz w:val="24"/>
                <w:szCs w:val="24"/>
                <w:highlight w:val="none"/>
              </w:rPr>
              <w:fldChar w:fldCharType="end"/>
            </w:r>
            <w:r>
              <w:rPr>
                <w:rFonts w:hint="default" w:ascii="Times New Roman" w:hAnsi="Times New Roman" w:eastAsia="宋体" w:cs="Times New Roman"/>
                <w:color w:val="auto"/>
                <w:sz w:val="24"/>
                <w:highlight w:val="none"/>
              </w:rPr>
              <w:t>。</w:t>
            </w:r>
          </w:p>
          <w:p w14:paraId="061230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rPr>
            </w:pPr>
            <w:bookmarkStart w:id="56" w:name="_Ref29052"/>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STYLEREF 1 \s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4</w:t>
            </w:r>
            <w:r>
              <w:rPr>
                <w:rFonts w:hint="default" w:ascii="Times New Roman" w:hAnsi="Times New Roman" w:eastAsia="宋体" w:cs="Times New Roman"/>
                <w:b/>
                <w:bCs/>
                <w:color w:val="auto"/>
                <w:sz w:val="21"/>
                <w:szCs w:val="21"/>
                <w:highlight w:val="none"/>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SEQ 表 \* ARABIC \s 1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16</w:t>
            </w:r>
            <w:r>
              <w:rPr>
                <w:rFonts w:hint="default" w:ascii="Times New Roman" w:hAnsi="Times New Roman" w:eastAsia="宋体" w:cs="Times New Roman"/>
                <w:b/>
                <w:bCs/>
                <w:color w:val="auto"/>
                <w:sz w:val="21"/>
                <w:szCs w:val="21"/>
                <w:highlight w:val="none"/>
              </w:rPr>
              <w:fldChar w:fldCharType="end"/>
            </w:r>
            <w:bookmarkEnd w:id="56"/>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rPr>
              <w:t>危险废物汇总一览表</w:t>
            </w:r>
          </w:p>
          <w:tbl>
            <w:tblPr>
              <w:tblStyle w:val="33"/>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710"/>
              <w:gridCol w:w="776"/>
              <w:gridCol w:w="1196"/>
              <w:gridCol w:w="899"/>
              <w:gridCol w:w="1003"/>
              <w:gridCol w:w="721"/>
              <w:gridCol w:w="1070"/>
              <w:gridCol w:w="687"/>
              <w:gridCol w:w="1107"/>
            </w:tblGrid>
            <w:tr w14:paraId="7F979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trPr>
              <w:tc>
                <w:tcPr>
                  <w:tcW w:w="256" w:type="pct"/>
                  <w:noWrap w:val="0"/>
                  <w:vAlign w:val="center"/>
                </w:tcPr>
                <w:p w14:paraId="3CF2C6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437" w:type="pct"/>
                  <w:noWrap w:val="0"/>
                  <w:vAlign w:val="center"/>
                </w:tcPr>
                <w:p w14:paraId="3AE184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危险废物</w:t>
                  </w:r>
                  <w:r>
                    <w:rPr>
                      <w:rFonts w:hint="default" w:ascii="Times New Roman" w:hAnsi="Times New Roman" w:eastAsia="宋体" w:cs="Times New Roman"/>
                      <w:b/>
                      <w:bCs/>
                      <w:color w:val="auto"/>
                      <w:sz w:val="21"/>
                      <w:szCs w:val="21"/>
                      <w:highlight w:val="none"/>
                    </w:rPr>
                    <w:t>名称</w:t>
                  </w:r>
                </w:p>
              </w:tc>
              <w:tc>
                <w:tcPr>
                  <w:tcW w:w="458" w:type="pct"/>
                  <w:noWrap w:val="0"/>
                  <w:vAlign w:val="center"/>
                </w:tcPr>
                <w:p w14:paraId="6BE11C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危险废物</w:t>
                  </w:r>
                  <w:r>
                    <w:rPr>
                      <w:rFonts w:hint="default" w:ascii="Times New Roman" w:hAnsi="Times New Roman" w:eastAsia="宋体" w:cs="Times New Roman"/>
                      <w:b/>
                      <w:bCs/>
                      <w:color w:val="auto"/>
                      <w:sz w:val="21"/>
                      <w:szCs w:val="21"/>
                      <w:highlight w:val="none"/>
                    </w:rPr>
                    <w:t>类别</w:t>
                  </w:r>
                </w:p>
              </w:tc>
              <w:tc>
                <w:tcPr>
                  <w:tcW w:w="549" w:type="pct"/>
                  <w:noWrap w:val="0"/>
                  <w:vAlign w:val="center"/>
                </w:tcPr>
                <w:p w14:paraId="0EA7C9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废物代码</w:t>
                  </w:r>
                </w:p>
              </w:tc>
              <w:tc>
                <w:tcPr>
                  <w:tcW w:w="537" w:type="pct"/>
                  <w:noWrap w:val="0"/>
                  <w:vAlign w:val="center"/>
                </w:tcPr>
                <w:p w14:paraId="54C659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产生量</w:t>
                  </w:r>
                </w:p>
              </w:tc>
              <w:tc>
                <w:tcPr>
                  <w:tcW w:w="610" w:type="pct"/>
                  <w:noWrap w:val="0"/>
                  <w:vAlign w:val="center"/>
                </w:tcPr>
                <w:p w14:paraId="498CAA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产生工序</w:t>
                  </w:r>
                  <w:r>
                    <w:rPr>
                      <w:rFonts w:hint="default" w:ascii="Times New Roman" w:hAnsi="Times New Roman" w:eastAsia="宋体" w:cs="Times New Roman"/>
                      <w:b/>
                      <w:bCs/>
                      <w:color w:val="auto"/>
                      <w:sz w:val="21"/>
                      <w:szCs w:val="21"/>
                      <w:highlight w:val="none"/>
                      <w:lang w:val="en-US" w:eastAsia="zh-CN"/>
                    </w:rPr>
                    <w:t>及装置</w:t>
                  </w:r>
                </w:p>
              </w:tc>
              <w:tc>
                <w:tcPr>
                  <w:tcW w:w="435" w:type="pct"/>
                  <w:noWrap w:val="0"/>
                  <w:vAlign w:val="center"/>
                </w:tcPr>
                <w:p w14:paraId="46B10A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形态</w:t>
                  </w:r>
                </w:p>
              </w:tc>
              <w:tc>
                <w:tcPr>
                  <w:tcW w:w="638" w:type="pct"/>
                  <w:noWrap w:val="0"/>
                  <w:vAlign w:val="center"/>
                </w:tcPr>
                <w:p w14:paraId="187255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主要成分</w:t>
                  </w:r>
                </w:p>
              </w:tc>
              <w:tc>
                <w:tcPr>
                  <w:tcW w:w="415" w:type="pct"/>
                  <w:noWrap w:val="0"/>
                  <w:vAlign w:val="center"/>
                </w:tcPr>
                <w:p w14:paraId="0EF4BC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危险特性</w:t>
                  </w:r>
                </w:p>
              </w:tc>
              <w:tc>
                <w:tcPr>
                  <w:tcW w:w="659" w:type="pct"/>
                  <w:noWrap w:val="0"/>
                  <w:vAlign w:val="center"/>
                </w:tcPr>
                <w:p w14:paraId="33F468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污染防治措施</w:t>
                  </w:r>
                </w:p>
              </w:tc>
            </w:tr>
            <w:tr w14:paraId="5DC96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56" w:type="pct"/>
                  <w:noWrap w:val="0"/>
                  <w:vAlign w:val="center"/>
                </w:tcPr>
                <w:p w14:paraId="47C42B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437" w:type="pct"/>
                  <w:noWrap w:val="0"/>
                  <w:vAlign w:val="center"/>
                </w:tcPr>
                <w:p w14:paraId="508FE1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实验室危险废物</w:t>
                  </w:r>
                </w:p>
              </w:tc>
              <w:tc>
                <w:tcPr>
                  <w:tcW w:w="458" w:type="pct"/>
                  <w:vMerge w:val="restart"/>
                  <w:noWrap w:val="0"/>
                  <w:vAlign w:val="center"/>
                </w:tcPr>
                <w:p w14:paraId="1DB174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HW49</w:t>
                  </w:r>
                </w:p>
              </w:tc>
              <w:tc>
                <w:tcPr>
                  <w:tcW w:w="549" w:type="pct"/>
                  <w:noWrap w:val="0"/>
                  <w:vAlign w:val="center"/>
                </w:tcPr>
                <w:p w14:paraId="5B36CD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900-047-49</w:t>
                  </w:r>
                </w:p>
              </w:tc>
              <w:tc>
                <w:tcPr>
                  <w:tcW w:w="537" w:type="pct"/>
                  <w:noWrap w:val="0"/>
                  <w:vAlign w:val="center"/>
                </w:tcPr>
                <w:p w14:paraId="5B8EED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w:t>
                  </w:r>
                  <w:r>
                    <w:rPr>
                      <w:rFonts w:hint="eastAsia" w:ascii="Times New Roman" w:hAnsi="Times New Roman" w:eastAsia="宋体" w:cs="Times New Roman"/>
                      <w:color w:val="auto"/>
                      <w:sz w:val="21"/>
                      <w:szCs w:val="21"/>
                      <w:highlight w:val="none"/>
                      <w:lang w:val="en-US" w:eastAsia="zh-CN"/>
                    </w:rPr>
                    <w:t>151</w:t>
                  </w:r>
                  <w:r>
                    <w:rPr>
                      <w:rFonts w:hint="default" w:ascii="Times New Roman" w:hAnsi="Times New Roman" w:eastAsia="宋体" w:cs="Times New Roman"/>
                      <w:color w:val="auto"/>
                      <w:sz w:val="21"/>
                      <w:szCs w:val="21"/>
                      <w:highlight w:val="none"/>
                    </w:rPr>
                    <w:t>t/a</w:t>
                  </w:r>
                </w:p>
              </w:tc>
              <w:tc>
                <w:tcPr>
                  <w:tcW w:w="610" w:type="pct"/>
                  <w:noWrap w:val="0"/>
                  <w:vAlign w:val="center"/>
                </w:tcPr>
                <w:p w14:paraId="0A4A11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实验室日常实验</w:t>
                  </w:r>
                </w:p>
              </w:tc>
              <w:tc>
                <w:tcPr>
                  <w:tcW w:w="435" w:type="pct"/>
                  <w:noWrap w:val="0"/>
                  <w:vAlign w:val="center"/>
                </w:tcPr>
                <w:p w14:paraId="58B82E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液态</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固态</w:t>
                  </w:r>
                </w:p>
              </w:tc>
              <w:tc>
                <w:tcPr>
                  <w:tcW w:w="638" w:type="pct"/>
                  <w:noWrap w:val="0"/>
                  <w:vAlign w:val="center"/>
                </w:tcPr>
                <w:p w14:paraId="3B8C9E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实验室废液、过期试剂、耗材、废试剂瓶等</w:t>
                  </w:r>
                </w:p>
              </w:tc>
              <w:tc>
                <w:tcPr>
                  <w:tcW w:w="415" w:type="pct"/>
                  <w:noWrap w:val="0"/>
                  <w:vAlign w:val="center"/>
                </w:tcPr>
                <w:p w14:paraId="16B33C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T/C/I</w:t>
                  </w:r>
                </w:p>
                <w:p w14:paraId="58EC32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/R</w:t>
                  </w:r>
                </w:p>
              </w:tc>
              <w:tc>
                <w:tcPr>
                  <w:tcW w:w="659" w:type="pct"/>
                  <w:vMerge w:val="restart"/>
                  <w:noWrap w:val="0"/>
                  <w:vAlign w:val="center"/>
                </w:tcPr>
                <w:p w14:paraId="035873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eastAsia" w:cs="Times New Roman"/>
                      <w:color w:val="auto"/>
                      <w:sz w:val="21"/>
                      <w:szCs w:val="21"/>
                      <w:highlight w:val="none"/>
                      <w:lang w:val="en-US" w:eastAsia="zh-CN"/>
                    </w:rPr>
                    <w:t>危废贮存点</w:t>
                  </w:r>
                  <w:r>
                    <w:rPr>
                      <w:rFonts w:hint="default" w:ascii="Times New Roman" w:hAnsi="Times New Roman" w:eastAsia="宋体" w:cs="Times New Roman"/>
                      <w:color w:val="auto"/>
                      <w:sz w:val="21"/>
                      <w:szCs w:val="21"/>
                      <w:highlight w:val="none"/>
                    </w:rPr>
                    <w:t>暂存，定期委托有资质单位处置</w:t>
                  </w:r>
                </w:p>
              </w:tc>
            </w:tr>
            <w:tr w14:paraId="7EDA7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56" w:type="pct"/>
                  <w:noWrap w:val="0"/>
                  <w:vAlign w:val="center"/>
                </w:tcPr>
                <w:p w14:paraId="10C422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p>
              </w:tc>
              <w:tc>
                <w:tcPr>
                  <w:tcW w:w="437" w:type="pct"/>
                  <w:noWrap w:val="0"/>
                  <w:vAlign w:val="center"/>
                </w:tcPr>
                <w:p w14:paraId="20C520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废活性炭</w:t>
                  </w:r>
                </w:p>
              </w:tc>
              <w:tc>
                <w:tcPr>
                  <w:tcW w:w="458" w:type="pct"/>
                  <w:vMerge w:val="continue"/>
                  <w:noWrap w:val="0"/>
                  <w:vAlign w:val="center"/>
                </w:tcPr>
                <w:p w14:paraId="58072E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549" w:type="pct"/>
                  <w:noWrap w:val="0"/>
                  <w:vAlign w:val="center"/>
                </w:tcPr>
                <w:p w14:paraId="0035BF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900-039-49</w:t>
                  </w:r>
                </w:p>
              </w:tc>
              <w:tc>
                <w:tcPr>
                  <w:tcW w:w="537" w:type="pct"/>
                  <w:noWrap w:val="0"/>
                  <w:vAlign w:val="center"/>
                </w:tcPr>
                <w:p w14:paraId="78141D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0</w:t>
                  </w:r>
                  <w:r>
                    <w:rPr>
                      <w:rFonts w:hint="eastAsia"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t/a</w:t>
                  </w:r>
                </w:p>
              </w:tc>
              <w:tc>
                <w:tcPr>
                  <w:tcW w:w="610" w:type="pct"/>
                  <w:noWrap w:val="0"/>
                  <w:vAlign w:val="center"/>
                </w:tcPr>
                <w:p w14:paraId="2E8571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实验室废气治理</w:t>
                  </w:r>
                </w:p>
              </w:tc>
              <w:tc>
                <w:tcPr>
                  <w:tcW w:w="435" w:type="pct"/>
                  <w:noWrap w:val="0"/>
                  <w:vAlign w:val="center"/>
                </w:tcPr>
                <w:p w14:paraId="270652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固态</w:t>
                  </w:r>
                </w:p>
              </w:tc>
              <w:tc>
                <w:tcPr>
                  <w:tcW w:w="638" w:type="pct"/>
                  <w:noWrap w:val="0"/>
                  <w:vAlign w:val="center"/>
                </w:tcPr>
                <w:p w14:paraId="52C9F8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碳氢化合物</w:t>
                  </w:r>
                </w:p>
              </w:tc>
              <w:tc>
                <w:tcPr>
                  <w:tcW w:w="415" w:type="pct"/>
                  <w:noWrap w:val="0"/>
                  <w:vAlign w:val="center"/>
                </w:tcPr>
                <w:p w14:paraId="2A42A4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T</w:t>
                  </w:r>
                </w:p>
              </w:tc>
              <w:tc>
                <w:tcPr>
                  <w:tcW w:w="659" w:type="pct"/>
                  <w:vMerge w:val="continue"/>
                  <w:noWrap w:val="0"/>
                  <w:vAlign w:val="center"/>
                </w:tcPr>
                <w:p w14:paraId="157400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r>
          </w:tbl>
          <w:p w14:paraId="1541A04C">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480" w:firstLineChars="200"/>
              <w:jc w:val="left"/>
              <w:textAlignment w:val="auto"/>
              <w:rPr>
                <w:rFonts w:hint="default" w:ascii="Times New Roman" w:hAnsi="Times New Roman" w:cs="Times New Roman"/>
                <w:b w:val="0"/>
                <w:bCs/>
                <w:color w:val="auto"/>
                <w:spacing w:val="0"/>
                <w:w w:val="100"/>
                <w:position w:val="0"/>
                <w:sz w:val="24"/>
                <w:highlight w:val="none"/>
              </w:rPr>
            </w:pPr>
            <w:r>
              <w:rPr>
                <w:rFonts w:hint="default" w:ascii="Times New Roman" w:hAnsi="Times New Roman" w:cs="Times New Roman"/>
                <w:b w:val="0"/>
                <w:bCs/>
                <w:color w:val="auto"/>
                <w:spacing w:val="0"/>
                <w:w w:val="100"/>
                <w:position w:val="0"/>
                <w:sz w:val="24"/>
                <w:highlight w:val="none"/>
              </w:rPr>
              <w:t>本项目危险废物贮存场所基本情况见下表。</w:t>
            </w:r>
          </w:p>
          <w:p w14:paraId="56BACF63">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STYLEREF 1 \s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4</w:t>
            </w:r>
            <w:r>
              <w:rPr>
                <w:rFonts w:hint="default" w:ascii="Times New Roman" w:hAnsi="Times New Roman" w:eastAsia="宋体" w:cs="Times New Roman"/>
                <w:b/>
                <w:bCs/>
                <w:color w:val="auto"/>
                <w:sz w:val="21"/>
                <w:szCs w:val="21"/>
                <w:highlight w:val="none"/>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SEQ 表 \* ARABIC \s 1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17</w:t>
            </w:r>
            <w:r>
              <w:rPr>
                <w:rFonts w:hint="default" w:ascii="Times New Roman" w:hAnsi="Times New Roman" w:eastAsia="宋体" w:cs="Times New Roman"/>
                <w:b/>
                <w:bCs/>
                <w:color w:val="auto"/>
                <w:sz w:val="21"/>
                <w:szCs w:val="21"/>
                <w:highlight w:val="none"/>
              </w:rPr>
              <w:fldChar w:fldCharType="end"/>
            </w:r>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本项目危险废物贮存场所基本情况一览表</w:t>
            </w:r>
          </w:p>
          <w:tbl>
            <w:tblPr>
              <w:tblStyle w:val="33"/>
              <w:tblW w:w="4997"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71"/>
              <w:gridCol w:w="1054"/>
              <w:gridCol w:w="1159"/>
              <w:gridCol w:w="869"/>
              <w:gridCol w:w="1381"/>
              <w:gridCol w:w="728"/>
              <w:gridCol w:w="755"/>
              <w:gridCol w:w="767"/>
              <w:gridCol w:w="699"/>
              <w:gridCol w:w="708"/>
            </w:tblGrid>
            <w:tr w14:paraId="045BA5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4" w:type="pct"/>
                  <w:tcBorders>
                    <w:tl2br w:val="nil"/>
                    <w:tr2bl w:val="nil"/>
                  </w:tcBorders>
                  <w:noWrap w:val="0"/>
                  <w:vAlign w:val="center"/>
                </w:tcPr>
                <w:p w14:paraId="649DD8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序号</w:t>
                  </w:r>
                </w:p>
              </w:tc>
              <w:tc>
                <w:tcPr>
                  <w:tcW w:w="613" w:type="pct"/>
                  <w:tcBorders>
                    <w:tl2br w:val="nil"/>
                    <w:tr2bl w:val="nil"/>
                  </w:tcBorders>
                  <w:noWrap w:val="0"/>
                  <w:vAlign w:val="center"/>
                </w:tcPr>
                <w:p w14:paraId="2B228C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贮存场所（设施名称）</w:t>
                  </w:r>
                </w:p>
              </w:tc>
              <w:tc>
                <w:tcPr>
                  <w:tcW w:w="674" w:type="pct"/>
                  <w:tcBorders>
                    <w:tl2br w:val="nil"/>
                    <w:tr2bl w:val="nil"/>
                  </w:tcBorders>
                  <w:noWrap w:val="0"/>
                  <w:vAlign w:val="center"/>
                </w:tcPr>
                <w:p w14:paraId="318AC9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危险废物名称</w:t>
                  </w:r>
                </w:p>
              </w:tc>
              <w:tc>
                <w:tcPr>
                  <w:tcW w:w="505" w:type="pct"/>
                  <w:tcBorders>
                    <w:tl2br w:val="nil"/>
                    <w:tr2bl w:val="nil"/>
                  </w:tcBorders>
                  <w:noWrap w:val="0"/>
                  <w:vAlign w:val="center"/>
                </w:tcPr>
                <w:p w14:paraId="63DF68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危险废物类别</w:t>
                  </w:r>
                </w:p>
              </w:tc>
              <w:tc>
                <w:tcPr>
                  <w:tcW w:w="803" w:type="pct"/>
                  <w:tcBorders>
                    <w:tl2br w:val="nil"/>
                    <w:tr2bl w:val="nil"/>
                  </w:tcBorders>
                  <w:noWrap w:val="0"/>
                  <w:vAlign w:val="center"/>
                </w:tcPr>
                <w:p w14:paraId="27CC62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危险废物代码</w:t>
                  </w:r>
                </w:p>
              </w:tc>
              <w:tc>
                <w:tcPr>
                  <w:tcW w:w="423" w:type="pct"/>
                  <w:tcBorders>
                    <w:tl2br w:val="nil"/>
                    <w:tr2bl w:val="nil"/>
                  </w:tcBorders>
                  <w:noWrap w:val="0"/>
                  <w:vAlign w:val="center"/>
                </w:tcPr>
                <w:p w14:paraId="4CE86A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位置</w:t>
                  </w:r>
                </w:p>
              </w:tc>
              <w:tc>
                <w:tcPr>
                  <w:tcW w:w="439" w:type="pct"/>
                  <w:tcBorders>
                    <w:tl2br w:val="nil"/>
                    <w:tr2bl w:val="nil"/>
                  </w:tcBorders>
                  <w:noWrap w:val="0"/>
                  <w:vAlign w:val="center"/>
                </w:tcPr>
                <w:p w14:paraId="4CB756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占地面积</w:t>
                  </w:r>
                </w:p>
              </w:tc>
              <w:tc>
                <w:tcPr>
                  <w:tcW w:w="446" w:type="pct"/>
                  <w:tcBorders>
                    <w:tl2br w:val="nil"/>
                    <w:tr2bl w:val="nil"/>
                  </w:tcBorders>
                  <w:noWrap w:val="0"/>
                  <w:vAlign w:val="center"/>
                </w:tcPr>
                <w:p w14:paraId="19DEBB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贮存方式</w:t>
                  </w:r>
                </w:p>
              </w:tc>
              <w:tc>
                <w:tcPr>
                  <w:tcW w:w="406" w:type="pct"/>
                  <w:tcBorders>
                    <w:tl2br w:val="nil"/>
                    <w:tr2bl w:val="nil"/>
                  </w:tcBorders>
                  <w:noWrap w:val="0"/>
                  <w:vAlign w:val="center"/>
                </w:tcPr>
                <w:p w14:paraId="5A5AD7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贮存</w:t>
                  </w:r>
                </w:p>
                <w:p w14:paraId="453903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能力</w:t>
                  </w:r>
                </w:p>
              </w:tc>
              <w:tc>
                <w:tcPr>
                  <w:tcW w:w="411" w:type="pct"/>
                  <w:tcBorders>
                    <w:tl2br w:val="nil"/>
                    <w:tr2bl w:val="nil"/>
                  </w:tcBorders>
                  <w:noWrap w:val="0"/>
                  <w:vAlign w:val="center"/>
                </w:tcPr>
                <w:p w14:paraId="10680D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贮存</w:t>
                  </w:r>
                </w:p>
                <w:p w14:paraId="2C87B0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周期</w:t>
                  </w:r>
                </w:p>
              </w:tc>
            </w:tr>
            <w:tr w14:paraId="2B37FF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4" w:type="pct"/>
                  <w:tcBorders>
                    <w:tl2br w:val="nil"/>
                    <w:tr2bl w:val="nil"/>
                  </w:tcBorders>
                  <w:noWrap w:val="0"/>
                  <w:vAlign w:val="center"/>
                </w:tcPr>
                <w:p w14:paraId="637FA6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w:t>
                  </w:r>
                </w:p>
              </w:tc>
              <w:tc>
                <w:tcPr>
                  <w:tcW w:w="613" w:type="pct"/>
                  <w:vMerge w:val="restart"/>
                  <w:tcBorders>
                    <w:tl2br w:val="nil"/>
                    <w:tr2bl w:val="nil"/>
                  </w:tcBorders>
                  <w:noWrap w:val="0"/>
                  <w:vAlign w:val="center"/>
                </w:tcPr>
                <w:p w14:paraId="2DFD52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0"/>
                      <w:sz w:val="21"/>
                      <w:szCs w:val="21"/>
                      <w:highlight w:val="none"/>
                      <w:lang w:eastAsia="zh-CN"/>
                    </w:rPr>
                  </w:pPr>
                  <w:r>
                    <w:rPr>
                      <w:rFonts w:hint="eastAsia" w:cs="Times New Roman"/>
                      <w:color w:val="auto"/>
                      <w:kern w:val="0"/>
                      <w:sz w:val="21"/>
                      <w:szCs w:val="21"/>
                      <w:highlight w:val="none"/>
                      <w:lang w:val="en-US" w:eastAsia="zh-CN"/>
                    </w:rPr>
                    <w:t>危废贮存点</w:t>
                  </w:r>
                </w:p>
              </w:tc>
              <w:tc>
                <w:tcPr>
                  <w:tcW w:w="674" w:type="pct"/>
                  <w:tcBorders>
                    <w:tl2br w:val="nil"/>
                    <w:tr2bl w:val="nil"/>
                  </w:tcBorders>
                  <w:noWrap w:val="0"/>
                  <w:vAlign w:val="center"/>
                </w:tcPr>
                <w:p w14:paraId="10EC67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废活性炭</w:t>
                  </w:r>
                </w:p>
              </w:tc>
              <w:tc>
                <w:tcPr>
                  <w:tcW w:w="505" w:type="pct"/>
                  <w:vMerge w:val="restart"/>
                  <w:tcBorders>
                    <w:tl2br w:val="nil"/>
                    <w:tr2bl w:val="nil"/>
                  </w:tcBorders>
                  <w:noWrap w:val="0"/>
                  <w:vAlign w:val="center"/>
                </w:tcPr>
                <w:p w14:paraId="632E7B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cs="Times New Roman"/>
                      <w:color w:val="auto"/>
                      <w:kern w:val="0"/>
                      <w:sz w:val="21"/>
                      <w:szCs w:val="21"/>
                      <w:highlight w:val="none"/>
                    </w:rPr>
                    <w:t>HW49</w:t>
                  </w:r>
                  <w:r>
                    <w:rPr>
                      <w:rFonts w:hint="default" w:ascii="Times New Roman" w:hAnsi="Times New Roman" w:cs="Times New Roman"/>
                      <w:color w:val="auto"/>
                      <w:kern w:val="0"/>
                      <w:sz w:val="21"/>
                      <w:szCs w:val="21"/>
                      <w:highlight w:val="none"/>
                      <w:lang w:eastAsia="zh-CN"/>
                    </w:rPr>
                    <w:t>其他废物</w:t>
                  </w:r>
                </w:p>
              </w:tc>
              <w:tc>
                <w:tcPr>
                  <w:tcW w:w="803" w:type="pct"/>
                  <w:tcBorders>
                    <w:tl2br w:val="nil"/>
                    <w:tr2bl w:val="nil"/>
                  </w:tcBorders>
                  <w:noWrap w:val="0"/>
                  <w:vAlign w:val="center"/>
                </w:tcPr>
                <w:p w14:paraId="2A1A02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900-039-49</w:t>
                  </w:r>
                </w:p>
              </w:tc>
              <w:tc>
                <w:tcPr>
                  <w:tcW w:w="423" w:type="pct"/>
                  <w:vMerge w:val="restart"/>
                  <w:tcBorders>
                    <w:tl2br w:val="nil"/>
                    <w:tr2bl w:val="nil"/>
                  </w:tcBorders>
                  <w:noWrap w:val="0"/>
                  <w:vAlign w:val="center"/>
                </w:tcPr>
                <w:p w14:paraId="2E905A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教学实验楼一层</w:t>
                  </w:r>
                </w:p>
              </w:tc>
              <w:tc>
                <w:tcPr>
                  <w:tcW w:w="439" w:type="pct"/>
                  <w:vMerge w:val="restart"/>
                  <w:tcBorders>
                    <w:tl2br w:val="nil"/>
                    <w:tr2bl w:val="nil"/>
                  </w:tcBorders>
                  <w:noWrap w:val="0"/>
                  <w:vAlign w:val="center"/>
                </w:tcPr>
                <w:p w14:paraId="7AF5E5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5m</w:t>
                  </w:r>
                  <w:r>
                    <w:rPr>
                      <w:rFonts w:hint="default" w:ascii="Times New Roman" w:hAnsi="Times New Roman" w:cs="Times New Roman"/>
                      <w:color w:val="auto"/>
                      <w:kern w:val="0"/>
                      <w:sz w:val="21"/>
                      <w:szCs w:val="21"/>
                      <w:highlight w:val="none"/>
                      <w:vertAlign w:val="superscript"/>
                    </w:rPr>
                    <w:t>2</w:t>
                  </w:r>
                </w:p>
              </w:tc>
              <w:tc>
                <w:tcPr>
                  <w:tcW w:w="446" w:type="pct"/>
                  <w:tcBorders>
                    <w:tl2br w:val="nil"/>
                    <w:tr2bl w:val="nil"/>
                  </w:tcBorders>
                  <w:noWrap w:val="0"/>
                  <w:vAlign w:val="center"/>
                </w:tcPr>
                <w:p w14:paraId="459244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rPr>
                    <w:t>桶装</w:t>
                  </w:r>
                </w:p>
              </w:tc>
              <w:tc>
                <w:tcPr>
                  <w:tcW w:w="406" w:type="pct"/>
                  <w:tcBorders>
                    <w:tl2br w:val="nil"/>
                    <w:tr2bl w:val="nil"/>
                  </w:tcBorders>
                  <w:noWrap w:val="0"/>
                  <w:vAlign w:val="center"/>
                </w:tcPr>
                <w:p w14:paraId="003B1E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rPr>
                    <w:t>1t</w:t>
                  </w:r>
                </w:p>
              </w:tc>
              <w:tc>
                <w:tcPr>
                  <w:tcW w:w="411" w:type="pct"/>
                  <w:tcBorders>
                    <w:tl2br w:val="nil"/>
                    <w:tr2bl w:val="nil"/>
                  </w:tcBorders>
                  <w:noWrap w:val="0"/>
                  <w:vAlign w:val="center"/>
                </w:tcPr>
                <w:p w14:paraId="2AE909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6</w:t>
                  </w:r>
                  <w:r>
                    <w:rPr>
                      <w:rFonts w:hint="default" w:ascii="Times New Roman" w:hAnsi="Times New Roman" w:cs="Times New Roman"/>
                      <w:color w:val="auto"/>
                      <w:kern w:val="0"/>
                      <w:sz w:val="21"/>
                      <w:szCs w:val="21"/>
                      <w:highlight w:val="none"/>
                    </w:rPr>
                    <w:t>月</w:t>
                  </w:r>
                </w:p>
              </w:tc>
            </w:tr>
            <w:tr w14:paraId="6B97C0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4" w:type="pct"/>
                  <w:tcBorders>
                    <w:tl2br w:val="nil"/>
                    <w:tr2bl w:val="nil"/>
                  </w:tcBorders>
                  <w:noWrap w:val="0"/>
                  <w:vAlign w:val="center"/>
                </w:tcPr>
                <w:p w14:paraId="2DC1C1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2</w:t>
                  </w:r>
                </w:p>
              </w:tc>
              <w:tc>
                <w:tcPr>
                  <w:tcW w:w="613" w:type="pct"/>
                  <w:vMerge w:val="continue"/>
                  <w:tcBorders>
                    <w:tl2br w:val="nil"/>
                    <w:tr2bl w:val="nil"/>
                  </w:tcBorders>
                  <w:noWrap w:val="0"/>
                  <w:vAlign w:val="center"/>
                </w:tcPr>
                <w:p w14:paraId="568FEF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rPr>
                  </w:pPr>
                </w:p>
              </w:tc>
              <w:tc>
                <w:tcPr>
                  <w:tcW w:w="674" w:type="pct"/>
                  <w:tcBorders>
                    <w:tl2br w:val="nil"/>
                    <w:tr2bl w:val="nil"/>
                  </w:tcBorders>
                  <w:noWrap w:val="0"/>
                  <w:vAlign w:val="center"/>
                </w:tcPr>
                <w:p w14:paraId="753DC5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实验室危险废物</w:t>
                  </w:r>
                </w:p>
              </w:tc>
              <w:tc>
                <w:tcPr>
                  <w:tcW w:w="505" w:type="pct"/>
                  <w:vMerge w:val="continue"/>
                  <w:tcBorders>
                    <w:tl2br w:val="nil"/>
                    <w:tr2bl w:val="nil"/>
                  </w:tcBorders>
                  <w:noWrap w:val="0"/>
                  <w:vAlign w:val="center"/>
                </w:tcPr>
                <w:p w14:paraId="275042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rPr>
                  </w:pPr>
                </w:p>
              </w:tc>
              <w:tc>
                <w:tcPr>
                  <w:tcW w:w="803" w:type="pct"/>
                  <w:tcBorders>
                    <w:tl2br w:val="nil"/>
                    <w:tr2bl w:val="nil"/>
                  </w:tcBorders>
                  <w:noWrap w:val="0"/>
                  <w:vAlign w:val="center"/>
                </w:tcPr>
                <w:p w14:paraId="68B764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900-047-49</w:t>
                  </w:r>
                </w:p>
              </w:tc>
              <w:tc>
                <w:tcPr>
                  <w:tcW w:w="423" w:type="pct"/>
                  <w:vMerge w:val="continue"/>
                  <w:tcBorders>
                    <w:tl2br w:val="nil"/>
                    <w:tr2bl w:val="nil"/>
                  </w:tcBorders>
                  <w:noWrap w:val="0"/>
                  <w:vAlign w:val="top"/>
                </w:tcPr>
                <w:p w14:paraId="62D46D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rPr>
                  </w:pPr>
                </w:p>
              </w:tc>
              <w:tc>
                <w:tcPr>
                  <w:tcW w:w="439" w:type="pct"/>
                  <w:vMerge w:val="continue"/>
                  <w:tcBorders>
                    <w:tl2br w:val="nil"/>
                    <w:tr2bl w:val="nil"/>
                  </w:tcBorders>
                  <w:noWrap w:val="0"/>
                  <w:vAlign w:val="center"/>
                </w:tcPr>
                <w:p w14:paraId="3EE0B2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rPr>
                  </w:pPr>
                </w:p>
              </w:tc>
              <w:tc>
                <w:tcPr>
                  <w:tcW w:w="446" w:type="pct"/>
                  <w:tcBorders>
                    <w:tl2br w:val="nil"/>
                    <w:tr2bl w:val="nil"/>
                  </w:tcBorders>
                  <w:noWrap w:val="0"/>
                  <w:vAlign w:val="center"/>
                </w:tcPr>
                <w:p w14:paraId="2143D4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rPr>
                    <w:t>桶装</w:t>
                  </w:r>
                </w:p>
              </w:tc>
              <w:tc>
                <w:tcPr>
                  <w:tcW w:w="406" w:type="pct"/>
                  <w:tcBorders>
                    <w:tl2br w:val="nil"/>
                    <w:tr2bl w:val="nil"/>
                  </w:tcBorders>
                  <w:noWrap w:val="0"/>
                  <w:vAlign w:val="center"/>
                </w:tcPr>
                <w:p w14:paraId="065477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rPr>
                    <w:t>1t</w:t>
                  </w:r>
                </w:p>
              </w:tc>
              <w:tc>
                <w:tcPr>
                  <w:tcW w:w="411" w:type="pct"/>
                  <w:tcBorders>
                    <w:tl2br w:val="nil"/>
                    <w:tr2bl w:val="nil"/>
                  </w:tcBorders>
                  <w:noWrap w:val="0"/>
                  <w:vAlign w:val="center"/>
                </w:tcPr>
                <w:p w14:paraId="017543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6</w:t>
                  </w:r>
                  <w:r>
                    <w:rPr>
                      <w:rFonts w:hint="default" w:ascii="Times New Roman" w:hAnsi="Times New Roman" w:cs="Times New Roman"/>
                      <w:color w:val="auto"/>
                      <w:kern w:val="0"/>
                      <w:sz w:val="21"/>
                      <w:szCs w:val="21"/>
                      <w:highlight w:val="none"/>
                    </w:rPr>
                    <w:t>月</w:t>
                  </w:r>
                </w:p>
              </w:tc>
            </w:tr>
          </w:tbl>
          <w:p w14:paraId="5B23BBDF">
            <w:pPr>
              <w:pStyle w:val="4"/>
              <w:keepNext/>
              <w:keepLines/>
              <w:pageBreakBefore w:val="0"/>
              <w:widowControl w:val="0"/>
              <w:kinsoku/>
              <w:wordWrap/>
              <w:overflowPunct/>
              <w:topLinePunct w:val="0"/>
              <w:autoSpaceDE/>
              <w:autoSpaceDN/>
              <w:bidi w:val="0"/>
              <w:adjustRightInd/>
              <w:snapToGrid/>
              <w:spacing w:before="0" w:beforeLines="0" w:after="0" w:afterLines="0"/>
              <w:ind w:left="0" w:firstLine="482" w:firstLineChars="200"/>
              <w:jc w:val="left"/>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危险废物环境管理要求</w:t>
            </w:r>
          </w:p>
          <w:p w14:paraId="3A299C3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①危险废物贮存设施</w:t>
            </w:r>
          </w:p>
          <w:p w14:paraId="0368EFAD">
            <w:pPr>
              <w:keepNext w:val="0"/>
              <w:keepLines w:val="0"/>
              <w:pageBreakBefore w:val="0"/>
              <w:widowControl w:val="0"/>
              <w:numPr>
                <w:ilvl w:val="0"/>
                <w:numId w:val="14"/>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贮存设施建设要求</w:t>
            </w:r>
          </w:p>
          <w:p w14:paraId="58693E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rPr>
            </w:pPr>
            <w:r>
              <w:rPr>
                <w:rFonts w:hint="default" w:ascii="Times New Roman" w:hAnsi="Times New Roman" w:eastAsia="宋体" w:cs="Times New Roman"/>
                <w:color w:val="auto"/>
                <w:sz w:val="24"/>
                <w:highlight w:val="none"/>
              </w:rPr>
              <w:t>本项目运营后，危险废物应尽快送往委托单位处理，不宜存放过长时间；若由于危废处置单位暂时无法转移危废，需将危废暂时存储在</w:t>
            </w:r>
            <w:r>
              <w:rPr>
                <w:rFonts w:hint="eastAsia" w:ascii="Times New Roman" w:hAnsi="Times New Roman" w:eastAsia="宋体" w:cs="Times New Roman"/>
                <w:color w:val="auto"/>
                <w:sz w:val="24"/>
                <w:highlight w:val="none"/>
                <w:lang w:val="en-US" w:eastAsia="zh-CN"/>
              </w:rPr>
              <w:t>校内</w:t>
            </w:r>
            <w:r>
              <w:rPr>
                <w:rFonts w:hint="default" w:ascii="Times New Roman" w:hAnsi="Times New Roman" w:eastAsia="宋体" w:cs="Times New Roman"/>
                <w:color w:val="auto"/>
                <w:sz w:val="24"/>
                <w:highlight w:val="none"/>
              </w:rPr>
              <w:t>，则需修建临时贮存场所，且暂存期不得超过一年。</w:t>
            </w:r>
            <w:r>
              <w:rPr>
                <w:rFonts w:hint="eastAsia" w:cs="Times New Roman"/>
                <w:color w:val="auto"/>
                <w:sz w:val="24"/>
                <w:highlight w:val="none"/>
                <w:lang w:val="en-US" w:eastAsia="zh-CN"/>
              </w:rPr>
              <w:t>本项目拟在教学实验楼一层建设1座危废贮存点，占地面积5m</w:t>
            </w:r>
            <w:r>
              <w:rPr>
                <w:rFonts w:hint="eastAsia" w:cs="Times New Roman"/>
                <w:color w:val="auto"/>
                <w:sz w:val="24"/>
                <w:highlight w:val="none"/>
                <w:vertAlign w:val="superscript"/>
                <w:lang w:val="en-US" w:eastAsia="zh-CN"/>
              </w:rPr>
              <w:t>2</w:t>
            </w:r>
            <w:r>
              <w:rPr>
                <w:rFonts w:hint="eastAsia" w:cs="Times New Roman"/>
                <w:color w:val="auto"/>
                <w:sz w:val="24"/>
                <w:highlight w:val="none"/>
                <w:lang w:val="en-US" w:eastAsia="zh-CN"/>
              </w:rPr>
              <w:t>，用于暂存项目产生的危险废物。</w:t>
            </w:r>
          </w:p>
          <w:p w14:paraId="7700D6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厂内危险废物贮存设施建设应满足以下要求：</w:t>
            </w:r>
          </w:p>
          <w:p w14:paraId="5AEE87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①危废贮存设施应具有独立的封闭空间，具备防风、防晒、防雨、防漏、防渗及防腐等环境污染防治措施；</w:t>
            </w:r>
          </w:p>
          <w:p w14:paraId="218F97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②根据危险废物类别、数量、形态和污染防治等要求设置贮存分区，按照《危险废物识别标志设置技术规范》（HJ 1276-2022）设置分区标志，避免不相容的危险废物接触、混合；</w:t>
            </w:r>
          </w:p>
          <w:p w14:paraId="60FC6E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③贮存设施内地面、墙面裙脚、截堵泄漏的围堰、接触危险废物的隔板和墙体等采用坚固的材料建造，表面无裂缝；</w:t>
            </w:r>
          </w:p>
          <w:p w14:paraId="1128F9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④</w:t>
            </w:r>
            <w:r>
              <w:rPr>
                <w:rFonts w:hint="eastAsia" w:cs="Times New Roman"/>
                <w:color w:val="auto"/>
                <w:sz w:val="24"/>
                <w:highlight w:val="none"/>
                <w:lang w:val="en-US" w:eastAsia="zh-CN"/>
              </w:rPr>
              <w:t>危废贮存点</w:t>
            </w:r>
            <w:r>
              <w:rPr>
                <w:rFonts w:hint="default" w:ascii="Times New Roman" w:hAnsi="Times New Roman" w:eastAsia="宋体" w:cs="Times New Roman"/>
                <w:color w:val="auto"/>
                <w:sz w:val="24"/>
                <w:highlight w:val="none"/>
                <w:lang w:val="en-US" w:eastAsia="zh-CN"/>
              </w:rPr>
              <w:t>内</w:t>
            </w:r>
            <w:r>
              <w:rPr>
                <w:rFonts w:hint="default" w:ascii="Times New Roman" w:hAnsi="Times New Roman" w:eastAsia="宋体" w:cs="Times New Roman"/>
                <w:color w:val="auto"/>
                <w:sz w:val="24"/>
                <w:highlight w:val="none"/>
              </w:rPr>
              <w:t>应设集液池、四周设导流渠，地面全部做防渗防腐处理，结合本项目实际情况，其集液池容积不应小于</w:t>
            </w:r>
            <w:r>
              <w:rPr>
                <w:rFonts w:hint="default" w:ascii="Times New Roman" w:hAnsi="Times New Roman" w:eastAsia="宋体" w:cs="Times New Roman"/>
                <w:color w:val="auto"/>
                <w:sz w:val="24"/>
                <w:highlight w:val="none"/>
                <w:lang w:val="en-US" w:eastAsia="zh-CN"/>
              </w:rPr>
              <w:t>0.1</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w:t>
            </w:r>
          </w:p>
          <w:p w14:paraId="4EF6FB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⑤</w:t>
            </w:r>
            <w:r>
              <w:rPr>
                <w:rFonts w:hint="eastAsia" w:cs="Times New Roman"/>
                <w:color w:val="auto"/>
                <w:sz w:val="24"/>
                <w:highlight w:val="none"/>
                <w:lang w:val="en-US" w:eastAsia="zh-CN"/>
              </w:rPr>
              <w:t>危废贮存点</w:t>
            </w:r>
            <w:r>
              <w:rPr>
                <w:rFonts w:hint="default" w:ascii="Times New Roman" w:hAnsi="Times New Roman" w:eastAsia="宋体" w:cs="Times New Roman"/>
                <w:color w:val="auto"/>
                <w:sz w:val="24"/>
                <w:highlight w:val="none"/>
                <w:lang w:val="en-US" w:eastAsia="zh-CN"/>
              </w:rPr>
              <w:t>地面及裙脚采取表面防渗措施</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表面防渗材料应与所接触的物料或污染物相容，可采用抗渗混凝土、高密度聚乙烯膜或其他防渗性能等效材料。危险废物直接接触地面的应进行基础防渗，</w:t>
            </w:r>
            <w:r>
              <w:rPr>
                <w:rFonts w:hint="default" w:ascii="Times New Roman" w:hAnsi="Times New Roman" w:eastAsia="宋体" w:cs="Times New Roman"/>
                <w:color w:val="auto"/>
                <w:sz w:val="24"/>
                <w:highlight w:val="none"/>
              </w:rPr>
              <w:t>防渗层为至少1m厚</w:t>
            </w:r>
            <w:r>
              <w:rPr>
                <w:rFonts w:hint="default" w:ascii="Times New Roman" w:hAnsi="Times New Roman" w:eastAsia="宋体" w:cs="Times New Roman"/>
                <w:color w:val="auto"/>
                <w:sz w:val="24"/>
                <w:highlight w:val="none"/>
                <w:lang w:val="en-US" w:eastAsia="zh-CN"/>
              </w:rPr>
              <w:t>黏土</w:t>
            </w:r>
            <w:r>
              <w:rPr>
                <w:rFonts w:hint="default" w:ascii="Times New Roman" w:hAnsi="Times New Roman" w:eastAsia="宋体" w:cs="Times New Roman"/>
                <w:color w:val="auto"/>
                <w:sz w:val="24"/>
                <w:highlight w:val="none"/>
              </w:rPr>
              <w:t>层</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渗透系数≤10</w:t>
            </w:r>
            <w:r>
              <w:rPr>
                <w:rFonts w:hint="default" w:ascii="Times New Roman" w:hAnsi="Times New Roman" w:eastAsia="宋体" w:cs="Times New Roman"/>
                <w:color w:val="auto"/>
                <w:sz w:val="24"/>
                <w:highlight w:val="none"/>
                <w:vertAlign w:val="superscript"/>
              </w:rPr>
              <w:t>-7</w:t>
            </w:r>
            <w:r>
              <w:rPr>
                <w:rFonts w:hint="default" w:ascii="Times New Roman" w:hAnsi="Times New Roman" w:eastAsia="宋体" w:cs="Times New Roman"/>
                <w:color w:val="auto"/>
                <w:sz w:val="24"/>
                <w:highlight w:val="none"/>
              </w:rPr>
              <w:t>cm/s</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，或至少2mm厚高密度聚乙烯</w:t>
            </w:r>
            <w:r>
              <w:rPr>
                <w:rFonts w:hint="default" w:ascii="Times New Roman" w:hAnsi="Times New Roman" w:eastAsia="宋体" w:cs="Times New Roman"/>
                <w:color w:val="auto"/>
                <w:sz w:val="24"/>
                <w:highlight w:val="none"/>
                <w:lang w:val="en-US" w:eastAsia="zh-CN"/>
              </w:rPr>
              <w:t>膜等人工防渗材料</w:t>
            </w:r>
            <w:r>
              <w:rPr>
                <w:rFonts w:hint="default" w:ascii="Times New Roman" w:hAnsi="Times New Roman" w:eastAsia="宋体" w:cs="Times New Roman"/>
                <w:color w:val="auto"/>
                <w:sz w:val="24"/>
                <w:highlight w:val="none"/>
              </w:rPr>
              <w:t>，渗透系数≤10</w:t>
            </w:r>
            <w:r>
              <w:rPr>
                <w:rFonts w:hint="default" w:ascii="Times New Roman" w:hAnsi="Times New Roman" w:eastAsia="宋体" w:cs="Times New Roman"/>
                <w:color w:val="auto"/>
                <w:sz w:val="24"/>
                <w:highlight w:val="none"/>
                <w:vertAlign w:val="superscript"/>
              </w:rPr>
              <w:t>-</w:t>
            </w:r>
            <w:r>
              <w:rPr>
                <w:rFonts w:hint="default" w:ascii="Times New Roman" w:hAnsi="Times New Roman" w:eastAsia="宋体" w:cs="Times New Roman"/>
                <w:color w:val="auto"/>
                <w:sz w:val="24"/>
                <w:highlight w:val="none"/>
                <w:vertAlign w:val="superscript"/>
                <w:lang w:val="en-US" w:eastAsia="zh-CN"/>
              </w:rPr>
              <w:t>10</w:t>
            </w:r>
            <w:r>
              <w:rPr>
                <w:rFonts w:hint="default" w:ascii="Times New Roman" w:hAnsi="Times New Roman" w:eastAsia="宋体" w:cs="Times New Roman"/>
                <w:color w:val="auto"/>
                <w:sz w:val="24"/>
                <w:highlight w:val="none"/>
              </w:rPr>
              <w:t>cm/s。</w:t>
            </w:r>
          </w:p>
          <w:p w14:paraId="31F0F3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2）容器及包装物要求</w:t>
            </w:r>
          </w:p>
          <w:p w14:paraId="5406DC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①容器和包装物材质、内衬应与盛装的危险废物相容；</w:t>
            </w:r>
          </w:p>
          <w:p w14:paraId="57B271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②针对不同类别、形态、物理化学性质的危险废物，容器、包装物满足相应的防渗、防漏、防腐和强度等要求；</w:t>
            </w:r>
          </w:p>
          <w:p w14:paraId="63091F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③硬质容器和包装物及其支护结构堆叠码放时不应有明显变形，无破损泄漏；</w:t>
            </w:r>
          </w:p>
          <w:p w14:paraId="42735B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④柔性容器和包装物堆叠码放时应封口严密，无破损泄漏；</w:t>
            </w:r>
          </w:p>
          <w:p w14:paraId="193F4C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⑤使用容器盛装液态、半固态危险废物时，容器内部应留有适当的空间，以适应因温度变化等可能引发的收缩和膨胀，防止其导致容器渗漏或永久变形；</w:t>
            </w:r>
          </w:p>
          <w:p w14:paraId="780E78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⑥容器和包装物外表面应保持清洁。</w:t>
            </w:r>
          </w:p>
          <w:p w14:paraId="42F738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3）贮存设施运行管理要求</w:t>
            </w:r>
          </w:p>
          <w:p w14:paraId="598E2F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vertAlign w:val="baseline"/>
                <w:lang w:val="en-US" w:eastAsia="zh-CN"/>
              </w:rPr>
            </w:pPr>
            <w:r>
              <w:rPr>
                <w:rFonts w:hint="default" w:ascii="Times New Roman" w:hAnsi="Times New Roman" w:eastAsia="宋体" w:cs="Times New Roman"/>
                <w:color w:val="auto"/>
                <w:sz w:val="24"/>
                <w:highlight w:val="none"/>
                <w:lang w:val="en-US" w:eastAsia="zh-CN"/>
              </w:rPr>
              <w:t>①危险废物存入贮存设施前应对危险废物类别和特性与危险废物标签等危险废物识别标志的一致性进行核验，不一致的或类别、特性不明的不应存入；</w:t>
            </w:r>
          </w:p>
          <w:tbl>
            <w:tblPr>
              <w:tblStyle w:val="3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022"/>
              <w:gridCol w:w="3262"/>
            </w:tblGrid>
            <w:tr w14:paraId="1CC26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4" w:hRule="atLeast"/>
                <w:jc w:val="center"/>
              </w:trPr>
              <w:tc>
                <w:tcPr>
                  <w:tcW w:w="5022" w:type="dxa"/>
                  <w:vAlign w:val="center"/>
                </w:tcPr>
                <w:p w14:paraId="60BD4B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vertAlign w:val="baseline"/>
                      <w:lang w:val="en-US" w:eastAsia="zh-CN"/>
                    </w:rPr>
                  </w:pPr>
                  <w:r>
                    <w:rPr>
                      <w:rFonts w:hint="default" w:ascii="Times New Roman" w:hAnsi="Times New Roman" w:eastAsia="宋体" w:cs="Times New Roman"/>
                      <w:b w:val="0"/>
                      <w:bCs/>
                      <w:color w:val="auto"/>
                      <w:sz w:val="21"/>
                      <w:szCs w:val="21"/>
                      <w:highlight w:val="none"/>
                      <w:lang w:val="en-US" w:eastAsia="zh-CN"/>
                    </w:rPr>
                    <w:drawing>
                      <wp:anchor distT="0" distB="0" distL="114300" distR="114300" simplePos="0" relativeHeight="251660288" behindDoc="0" locked="0" layoutInCell="1" allowOverlap="1">
                        <wp:simplePos x="0" y="0"/>
                        <wp:positionH relativeFrom="column">
                          <wp:posOffset>-22860</wp:posOffset>
                        </wp:positionH>
                        <wp:positionV relativeFrom="paragraph">
                          <wp:posOffset>44450</wp:posOffset>
                        </wp:positionV>
                        <wp:extent cx="3043555" cy="1882775"/>
                        <wp:effectExtent l="0" t="0" r="4445" b="3175"/>
                        <wp:wrapNone/>
                        <wp:docPr id="4" name="图片 347" descr="829a6190fb1f3447c93a698bec4b6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47" descr="829a6190fb1f3447c93a698bec4b63c"/>
                                <pic:cNvPicPr>
                                  <a:picLocks noChangeAspect="1"/>
                                </pic:cNvPicPr>
                              </pic:nvPicPr>
                              <pic:blipFill>
                                <a:blip r:embed="rId18"/>
                                <a:stretch>
                                  <a:fillRect/>
                                </a:stretch>
                              </pic:blipFill>
                              <pic:spPr>
                                <a:xfrm>
                                  <a:off x="0" y="0"/>
                                  <a:ext cx="3043555" cy="1882775"/>
                                </a:xfrm>
                                <a:prstGeom prst="rect">
                                  <a:avLst/>
                                </a:prstGeom>
                                <a:noFill/>
                                <a:ln>
                                  <a:noFill/>
                                </a:ln>
                              </pic:spPr>
                            </pic:pic>
                          </a:graphicData>
                        </a:graphic>
                      </wp:anchor>
                    </w:drawing>
                  </w:r>
                </w:p>
              </w:tc>
              <w:tc>
                <w:tcPr>
                  <w:tcW w:w="3262" w:type="dxa"/>
                  <w:vAlign w:val="center"/>
                </w:tcPr>
                <w:p w14:paraId="05DE21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vertAlign w:val="baseline"/>
                      <w:lang w:val="en-US" w:eastAsia="zh-CN"/>
                    </w:rPr>
                  </w:pPr>
                  <w:r>
                    <w:rPr>
                      <w:rFonts w:hint="default" w:ascii="Times New Roman" w:hAnsi="Times New Roman" w:eastAsia="宋体" w:cs="Times New Roman"/>
                      <w:color w:val="auto"/>
                      <w:sz w:val="21"/>
                      <w:szCs w:val="21"/>
                      <w:highlight w:val="none"/>
                    </w:rPr>
                    <w:drawing>
                      <wp:anchor distT="0" distB="0" distL="114300" distR="114300" simplePos="0" relativeHeight="251661312" behindDoc="0" locked="0" layoutInCell="1" allowOverlap="1">
                        <wp:simplePos x="0" y="0"/>
                        <wp:positionH relativeFrom="column">
                          <wp:posOffset>34290</wp:posOffset>
                        </wp:positionH>
                        <wp:positionV relativeFrom="paragraph">
                          <wp:posOffset>40005</wp:posOffset>
                        </wp:positionV>
                        <wp:extent cx="1811020" cy="1814195"/>
                        <wp:effectExtent l="0" t="0" r="17780" b="14605"/>
                        <wp:wrapNone/>
                        <wp:docPr id="29" name="图片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48"/>
                                <pic:cNvPicPr>
                                  <a:picLocks noChangeAspect="1"/>
                                </pic:cNvPicPr>
                              </pic:nvPicPr>
                              <pic:blipFill>
                                <a:blip r:embed="rId19"/>
                                <a:stretch>
                                  <a:fillRect/>
                                </a:stretch>
                              </pic:blipFill>
                              <pic:spPr>
                                <a:xfrm>
                                  <a:off x="0" y="0"/>
                                  <a:ext cx="1811020" cy="1814195"/>
                                </a:xfrm>
                                <a:prstGeom prst="rect">
                                  <a:avLst/>
                                </a:prstGeom>
                                <a:noFill/>
                                <a:ln>
                                  <a:noFill/>
                                </a:ln>
                              </pic:spPr>
                            </pic:pic>
                          </a:graphicData>
                        </a:graphic>
                      </wp:anchor>
                    </w:drawing>
                  </w:r>
                </w:p>
              </w:tc>
            </w:tr>
            <w:tr w14:paraId="20E5E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22" w:type="dxa"/>
                  <w:vAlign w:val="center"/>
                </w:tcPr>
                <w:p w14:paraId="0935D1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vertAlign w:val="baseline"/>
                      <w:lang w:val="en-US" w:eastAsia="zh-CN"/>
                    </w:rPr>
                  </w:pPr>
                  <w:r>
                    <w:rPr>
                      <w:rFonts w:hint="default" w:ascii="Times New Roman" w:hAnsi="Times New Roman" w:eastAsia="宋体" w:cs="Times New Roman"/>
                      <w:b/>
                      <w:bCs/>
                      <w:color w:val="auto"/>
                      <w:sz w:val="21"/>
                      <w:szCs w:val="21"/>
                      <w:highlight w:val="none"/>
                      <w:lang w:val="en-US" w:eastAsia="zh-CN"/>
                    </w:rPr>
                    <w:t>危险废物贮存设施标志</w:t>
                  </w:r>
                </w:p>
              </w:tc>
              <w:tc>
                <w:tcPr>
                  <w:tcW w:w="3262" w:type="dxa"/>
                  <w:vAlign w:val="center"/>
                </w:tcPr>
                <w:p w14:paraId="766B1A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highlight w:val="none"/>
                      <w:vertAlign w:val="baseline"/>
                      <w:lang w:val="en-US" w:eastAsia="zh-CN"/>
                    </w:rPr>
                  </w:pPr>
                  <w:r>
                    <w:rPr>
                      <w:rFonts w:hint="default" w:ascii="Times New Roman" w:hAnsi="Times New Roman" w:eastAsia="宋体" w:cs="Times New Roman"/>
                      <w:b/>
                      <w:bCs/>
                      <w:color w:val="auto"/>
                      <w:sz w:val="21"/>
                      <w:szCs w:val="21"/>
                      <w:highlight w:val="none"/>
                      <w:lang w:val="en-US" w:eastAsia="zh-CN"/>
                    </w:rPr>
                    <w:t>危险废物识别标识</w:t>
                  </w:r>
                </w:p>
              </w:tc>
            </w:tr>
          </w:tbl>
          <w:p w14:paraId="0AA3FC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②定期检查危险废物的贮存状况，及时清理贮存设施地面，更换破损泄漏的危险废物贮存容器和包装物，保证堆存危险废物的防雨、防风、防扬尘等设施功能完好；</w:t>
            </w:r>
          </w:p>
          <w:p w14:paraId="69AEA0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③作业设备及车辆等结束作业离开贮存设施时，应对其残留的危险废物进行清理，清理的废物或清洗废水应收集处理；</w:t>
            </w:r>
          </w:p>
          <w:p w14:paraId="6078E8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④按照《危险废物管理计划和管理台账制定技术导则》（HJ 1258-2022）制定危险废物管理台账并保存；</w:t>
            </w:r>
          </w:p>
          <w:p w14:paraId="61BC3B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⑤建立贮存设施环境管理制度、管理人员岗位职责制度、设施运行操作制度、人员岗位培训制度等；</w:t>
            </w:r>
          </w:p>
          <w:p w14:paraId="753835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⑥建立贮存设施全部档案，包括设计、施工、验收、运行、监测和环境应急等，应按国家有关档案管理的法律法规进行整理和归档；</w:t>
            </w:r>
          </w:p>
          <w:p w14:paraId="7D9237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val="en-US" w:eastAsia="zh-CN"/>
              </w:rPr>
              <w:t>⑦采取技术和管理措施防止无关人员进入。</w:t>
            </w:r>
          </w:p>
          <w:p w14:paraId="00D86B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本项目所有危废全部进行密封保存，然后放入</w:t>
            </w:r>
            <w:r>
              <w:rPr>
                <w:rFonts w:hint="eastAsia" w:cs="Times New Roman"/>
                <w:color w:val="auto"/>
                <w:sz w:val="24"/>
                <w:highlight w:val="none"/>
                <w:lang w:val="en-US" w:eastAsia="zh-CN"/>
              </w:rPr>
              <w:t>危废贮存点</w:t>
            </w:r>
            <w:r>
              <w:rPr>
                <w:rFonts w:hint="default" w:ascii="Times New Roman" w:hAnsi="Times New Roman" w:eastAsia="宋体" w:cs="Times New Roman"/>
                <w:color w:val="auto"/>
                <w:sz w:val="24"/>
                <w:highlight w:val="none"/>
              </w:rPr>
              <w:t>储存，贮存时间较短，定期交有资质单位处置，所有危险废物密封保存，</w:t>
            </w:r>
            <w:r>
              <w:rPr>
                <w:rFonts w:hint="default" w:ascii="Times New Roman" w:hAnsi="Times New Roman" w:eastAsia="宋体" w:cs="Times New Roman"/>
                <w:color w:val="auto"/>
                <w:sz w:val="24"/>
                <w:highlight w:val="none"/>
                <w:lang w:eastAsia="zh-CN"/>
              </w:rPr>
              <w:t>有效地减少了</w:t>
            </w:r>
            <w:r>
              <w:rPr>
                <w:rFonts w:hint="default" w:ascii="Times New Roman" w:hAnsi="Times New Roman" w:eastAsia="宋体" w:cs="Times New Roman"/>
                <w:color w:val="auto"/>
                <w:sz w:val="24"/>
                <w:highlight w:val="none"/>
              </w:rPr>
              <w:t>废气的挥发。</w:t>
            </w:r>
          </w:p>
          <w:p w14:paraId="516628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zh-CN"/>
              </w:rPr>
            </w:pPr>
            <w:r>
              <w:rPr>
                <w:rFonts w:hint="eastAsia"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zh-CN"/>
              </w:rPr>
              <w:t>危险废物暂存对环境影响分析</w:t>
            </w:r>
          </w:p>
          <w:p w14:paraId="3A960B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zh-CN"/>
              </w:rPr>
              <w:t>正常情况下，项目危险废物暂存对环境</w:t>
            </w:r>
            <w:r>
              <w:rPr>
                <w:rFonts w:hint="default" w:ascii="Times New Roman" w:hAnsi="Times New Roman" w:eastAsia="宋体" w:cs="Times New Roman"/>
                <w:color w:val="auto"/>
                <w:sz w:val="24"/>
                <w:highlight w:val="none"/>
                <w:lang w:val="en-US" w:eastAsia="zh-CN"/>
              </w:rPr>
              <w:t>无</w:t>
            </w:r>
            <w:r>
              <w:rPr>
                <w:rFonts w:hint="default" w:ascii="Times New Roman" w:hAnsi="Times New Roman" w:eastAsia="宋体" w:cs="Times New Roman"/>
                <w:color w:val="auto"/>
                <w:sz w:val="24"/>
                <w:highlight w:val="none"/>
                <w:lang w:val="zh-CN"/>
              </w:rPr>
              <w:t>影响，但是在风险情况下，危险废物临时暂存时发生渗漏对环境产生不利影响，因此应加强管理，严格按《危险废物贮存污染控制标准》（GB18597-20</w:t>
            </w:r>
            <w:r>
              <w:rPr>
                <w:rFonts w:hint="default" w:ascii="Times New Roman" w:hAnsi="Times New Roman" w:eastAsia="宋体" w:cs="Times New Roman"/>
                <w:color w:val="auto"/>
                <w:sz w:val="24"/>
                <w:highlight w:val="none"/>
                <w:lang w:val="en-US" w:eastAsia="zh-CN"/>
              </w:rPr>
              <w:t>23</w:t>
            </w:r>
            <w:r>
              <w:rPr>
                <w:rFonts w:hint="default" w:ascii="Times New Roman" w:hAnsi="Times New Roman" w:eastAsia="宋体" w:cs="Times New Roman"/>
                <w:color w:val="auto"/>
                <w:sz w:val="24"/>
                <w:highlight w:val="none"/>
                <w:lang w:val="zh-CN"/>
              </w:rPr>
              <w:t>）的要求进行运行管理，本项目存在泄漏可能的危险废物为</w:t>
            </w:r>
            <w:r>
              <w:rPr>
                <w:rFonts w:hint="eastAsia" w:ascii="Times New Roman" w:hAnsi="Times New Roman" w:eastAsia="宋体" w:cs="Times New Roman"/>
                <w:color w:val="auto"/>
                <w:sz w:val="24"/>
                <w:highlight w:val="none"/>
                <w:lang w:val="en-US" w:eastAsia="zh-CN"/>
              </w:rPr>
              <w:t>实验室危险废物</w:t>
            </w:r>
            <w:r>
              <w:rPr>
                <w:rFonts w:hint="default" w:ascii="Times New Roman" w:hAnsi="Times New Roman" w:eastAsia="宋体" w:cs="Times New Roman"/>
                <w:color w:val="auto"/>
                <w:sz w:val="24"/>
                <w:highlight w:val="none"/>
                <w:lang w:val="zh-CN"/>
              </w:rPr>
              <w:t>，年产生量为0.</w:t>
            </w:r>
            <w:r>
              <w:rPr>
                <w:rFonts w:hint="eastAsia" w:ascii="Times New Roman" w:hAnsi="Times New Roman" w:eastAsia="宋体" w:cs="Times New Roman"/>
                <w:color w:val="auto"/>
                <w:sz w:val="24"/>
                <w:highlight w:val="none"/>
                <w:lang w:val="en-US" w:eastAsia="zh-CN"/>
              </w:rPr>
              <w:t>151</w:t>
            </w:r>
            <w:r>
              <w:rPr>
                <w:rFonts w:hint="default" w:ascii="Times New Roman" w:hAnsi="Times New Roman" w:eastAsia="宋体" w:cs="Times New Roman"/>
                <w:color w:val="auto"/>
                <w:sz w:val="24"/>
                <w:highlight w:val="none"/>
                <w:lang w:val="zh-CN"/>
              </w:rPr>
              <w:t>t，建设单位尽量在产生</w:t>
            </w:r>
            <w:r>
              <w:rPr>
                <w:rFonts w:hint="eastAsia" w:ascii="Times New Roman" w:hAnsi="Times New Roman" w:eastAsia="宋体" w:cs="Times New Roman"/>
                <w:color w:val="auto"/>
                <w:sz w:val="24"/>
                <w:highlight w:val="none"/>
                <w:lang w:val="en-US" w:eastAsia="zh-CN"/>
              </w:rPr>
              <w:t>实验室危险废物</w:t>
            </w:r>
            <w:r>
              <w:rPr>
                <w:rFonts w:hint="default" w:ascii="Times New Roman" w:hAnsi="Times New Roman" w:eastAsia="宋体" w:cs="Times New Roman"/>
                <w:color w:val="auto"/>
                <w:sz w:val="24"/>
                <w:highlight w:val="none"/>
                <w:lang w:val="zh-CN"/>
              </w:rPr>
              <w:t>后及时运走，减少可能对环境产生“二次污染”的中间贮存环节，避免危废临时贮存过程中的环境风险。</w:t>
            </w:r>
          </w:p>
          <w:p w14:paraId="419FAA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zh-CN"/>
              </w:rPr>
            </w:pP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lang w:val="zh-CN"/>
              </w:rPr>
              <w:t>）转移过程环境影响分析</w:t>
            </w:r>
          </w:p>
          <w:p w14:paraId="1CF5A6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en-US" w:eastAsia="zh-CN"/>
              </w:rPr>
              <w:t>危险废物转移应按照《危险废物转移管理办法》要求</w:t>
            </w:r>
            <w:r>
              <w:rPr>
                <w:rFonts w:hint="default" w:ascii="Times New Roman" w:hAnsi="Times New Roman" w:eastAsia="宋体" w:cs="Times New Roman"/>
                <w:color w:val="auto"/>
                <w:sz w:val="24"/>
                <w:highlight w:val="none"/>
                <w:lang w:val="zh-CN"/>
              </w:rPr>
              <w:t>办理废物转移手续，填报转移联单，杜绝二次污染。</w:t>
            </w:r>
          </w:p>
          <w:p w14:paraId="4A6FA0B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color w:val="auto"/>
                <w:highlight w:val="none"/>
                <w:lang w:val="en-US" w:eastAsia="zh-CN"/>
              </w:rPr>
            </w:pPr>
            <w:r>
              <w:rPr>
                <w:rFonts w:hint="default" w:ascii="Times New Roman" w:hAnsi="Times New Roman" w:eastAsia="宋体" w:cs="Times New Roman"/>
                <w:color w:val="auto"/>
                <w:sz w:val="24"/>
                <w:highlight w:val="none"/>
                <w:lang w:val="zh-CN"/>
              </w:rPr>
              <w:t>综上，项目生产过程中产生的各项固废均得到了合理处置，不会对外界环境产生不良影响。</w:t>
            </w:r>
          </w:p>
          <w:bookmarkEnd w:id="55"/>
          <w:p w14:paraId="1CEF13C6">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left"/>
              <w:textAlignment w:val="auto"/>
              <w:rPr>
                <w:rFonts w:hint="default" w:ascii="Times New Roman" w:hAnsi="Times New Roman" w:eastAsia="宋体" w:cs="宋体"/>
                <w:b/>
                <w:bCs/>
                <w:color w:val="auto"/>
                <w:highlight w:val="none"/>
                <w:lang w:val="en-US" w:eastAsia="zh-CN"/>
              </w:rPr>
            </w:pPr>
            <w:r>
              <w:rPr>
                <w:rFonts w:hint="default" w:ascii="Times New Roman" w:hAnsi="Times New Roman" w:eastAsia="宋体" w:cs="宋体"/>
                <w:b/>
                <w:bCs/>
                <w:color w:val="auto"/>
                <w:highlight w:val="none"/>
                <w:lang w:val="en-US" w:eastAsia="zh-CN"/>
              </w:rPr>
              <w:t>地下水及土壤环境影响分析</w:t>
            </w:r>
          </w:p>
          <w:p w14:paraId="2BB744E9">
            <w:pPr>
              <w:keepNext w:val="0"/>
              <w:keepLines w:val="0"/>
              <w:pageBreakBefore w:val="0"/>
              <w:widowControl/>
              <w:kinsoku/>
              <w:wordWrap/>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b w:val="0"/>
                <w:bCs w:val="0"/>
                <w:color w:val="auto"/>
                <w:kern w:val="0"/>
                <w:sz w:val="24"/>
                <w:highlight w:val="none"/>
                <w:u w:val="none"/>
                <w:lang w:bidi="ar"/>
              </w:rPr>
            </w:pPr>
            <w:r>
              <w:rPr>
                <w:rFonts w:hint="default" w:ascii="Times New Roman" w:hAnsi="Times New Roman" w:eastAsia="宋体" w:cs="Times New Roman"/>
                <w:b w:val="0"/>
                <w:bCs w:val="0"/>
                <w:color w:val="auto"/>
                <w:kern w:val="0"/>
                <w:sz w:val="24"/>
                <w:highlight w:val="none"/>
                <w:u w:val="none"/>
                <w:lang w:bidi="ar"/>
              </w:rPr>
              <w:t>本项目污染物可能造成地下水和土壤污染的主要污染源和途径包括：</w:t>
            </w:r>
            <w:r>
              <w:rPr>
                <w:rFonts w:hint="eastAsia" w:cs="Times New Roman"/>
                <w:b w:val="0"/>
                <w:bCs w:val="0"/>
                <w:color w:val="auto"/>
                <w:kern w:val="0"/>
                <w:sz w:val="24"/>
                <w:highlight w:val="none"/>
                <w:u w:val="none"/>
                <w:lang w:eastAsia="zh-CN" w:bidi="ar"/>
              </w:rPr>
              <w:t>危废暂存点</w:t>
            </w:r>
            <w:r>
              <w:rPr>
                <w:rFonts w:hint="default" w:ascii="Times New Roman" w:hAnsi="Times New Roman" w:eastAsia="宋体" w:cs="Times New Roman"/>
                <w:b w:val="0"/>
                <w:bCs w:val="0"/>
                <w:color w:val="auto"/>
                <w:kern w:val="0"/>
                <w:sz w:val="24"/>
                <w:highlight w:val="none"/>
                <w:u w:val="none"/>
                <w:lang w:bidi="ar"/>
              </w:rPr>
              <w:t>和化学、生物实验室防渗措施不到位，在危废和化学试剂贮存、转运过程中操作不当引起物料泄漏，造成污染。</w:t>
            </w:r>
          </w:p>
          <w:p w14:paraId="26A0E66C">
            <w:pPr>
              <w:keepNext w:val="0"/>
              <w:keepLines w:val="0"/>
              <w:pageBreakBefore w:val="0"/>
              <w:widowControl/>
              <w:kinsoku/>
              <w:wordWrap/>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b w:val="0"/>
                <w:bCs w:val="0"/>
                <w:color w:val="auto"/>
                <w:kern w:val="0"/>
                <w:sz w:val="24"/>
                <w:highlight w:val="none"/>
                <w:u w:val="none"/>
                <w:lang w:bidi="ar"/>
              </w:rPr>
            </w:pPr>
            <w:r>
              <w:rPr>
                <w:rFonts w:hint="default" w:ascii="Times New Roman" w:hAnsi="Times New Roman" w:eastAsia="宋体" w:cs="Times New Roman"/>
                <w:b w:val="0"/>
                <w:bCs w:val="0"/>
                <w:color w:val="auto"/>
                <w:sz w:val="24"/>
                <w:highlight w:val="none"/>
                <w:u w:val="none"/>
              </w:rPr>
              <w:t>实验室严格按照《危险化学品安全管理条例》及《常用化学危险品贮存通则》等的要求进行危险品贮存；</w:t>
            </w:r>
            <w:r>
              <w:rPr>
                <w:rFonts w:hint="default" w:ascii="Times New Roman" w:hAnsi="Times New Roman" w:eastAsia="宋体" w:cs="Times New Roman"/>
                <w:b w:val="0"/>
                <w:bCs w:val="0"/>
                <w:color w:val="auto"/>
                <w:kern w:val="0"/>
                <w:sz w:val="24"/>
                <w:highlight w:val="none"/>
                <w:u w:val="none"/>
                <w:lang w:bidi="ar"/>
              </w:rPr>
              <w:t>化学试剂暂存在</w:t>
            </w:r>
            <w:r>
              <w:rPr>
                <w:rFonts w:hint="default" w:ascii="Times New Roman" w:hAnsi="Times New Roman" w:eastAsia="宋体" w:cs="Times New Roman"/>
                <w:b w:val="0"/>
                <w:bCs w:val="0"/>
                <w:color w:val="auto"/>
                <w:kern w:val="0"/>
                <w:sz w:val="24"/>
                <w:highlight w:val="none"/>
                <w:u w:val="none"/>
                <w:lang w:eastAsia="zh-CN" w:bidi="ar"/>
              </w:rPr>
              <w:t>药品室</w:t>
            </w:r>
            <w:r>
              <w:rPr>
                <w:rFonts w:hint="default" w:ascii="Times New Roman" w:hAnsi="Times New Roman" w:eastAsia="宋体" w:cs="Times New Roman"/>
                <w:b w:val="0"/>
                <w:bCs w:val="0"/>
                <w:color w:val="auto"/>
                <w:kern w:val="0"/>
                <w:sz w:val="24"/>
                <w:highlight w:val="none"/>
                <w:u w:val="none"/>
                <w:lang w:bidi="ar"/>
              </w:rPr>
              <w:t>内的</w:t>
            </w:r>
            <w:r>
              <w:rPr>
                <w:rFonts w:hint="default" w:ascii="Times New Roman" w:hAnsi="Times New Roman" w:eastAsia="宋体" w:cs="Times New Roman"/>
                <w:b w:val="0"/>
                <w:bCs w:val="0"/>
                <w:color w:val="auto"/>
                <w:sz w:val="24"/>
                <w:highlight w:val="none"/>
                <w:u w:val="none"/>
              </w:rPr>
              <w:t>专用</w:t>
            </w:r>
            <w:r>
              <w:rPr>
                <w:rFonts w:hint="default" w:ascii="Times New Roman" w:hAnsi="Times New Roman" w:eastAsia="宋体" w:cs="Times New Roman"/>
                <w:b w:val="0"/>
                <w:bCs w:val="0"/>
                <w:color w:val="auto"/>
                <w:kern w:val="0"/>
                <w:sz w:val="24"/>
                <w:highlight w:val="none"/>
                <w:u w:val="none"/>
                <w:lang w:bidi="ar"/>
              </w:rPr>
              <w:t>试剂柜内，暂存量较少，专人管理；项目危废严格执行</w:t>
            </w:r>
            <w:r>
              <w:rPr>
                <w:rFonts w:hint="default" w:ascii="Times New Roman" w:hAnsi="Times New Roman" w:eastAsia="宋体" w:cs="Times New Roman"/>
                <w:b w:val="0"/>
                <w:bCs w:val="0"/>
                <w:color w:val="auto"/>
                <w:sz w:val="24"/>
                <w:highlight w:val="none"/>
                <w:u w:val="none"/>
              </w:rPr>
              <w:t>《危险废物贮存污染控制标准》（GB 18597-2023）</w:t>
            </w:r>
            <w:r>
              <w:rPr>
                <w:rFonts w:hint="default" w:ascii="Times New Roman" w:hAnsi="Times New Roman" w:eastAsia="宋体" w:cs="Times New Roman"/>
                <w:b w:val="0"/>
                <w:bCs w:val="0"/>
                <w:color w:val="auto"/>
                <w:kern w:val="0"/>
                <w:sz w:val="24"/>
                <w:highlight w:val="none"/>
                <w:u w:val="none"/>
                <w:lang w:bidi="ar"/>
              </w:rPr>
              <w:t>要求</w:t>
            </w:r>
            <w:r>
              <w:rPr>
                <w:rFonts w:hint="default" w:ascii="Times New Roman" w:hAnsi="Times New Roman" w:eastAsia="宋体" w:cs="Times New Roman"/>
                <w:b w:val="0"/>
                <w:bCs w:val="0"/>
                <w:color w:val="auto"/>
                <w:kern w:val="0"/>
                <w:sz w:val="24"/>
                <w:highlight w:val="none"/>
                <w:u w:val="none"/>
                <w:lang w:eastAsia="zh-CN" w:bidi="ar"/>
              </w:rPr>
              <w:t>，</w:t>
            </w:r>
            <w:r>
              <w:rPr>
                <w:rFonts w:hint="default" w:ascii="Times New Roman" w:hAnsi="Times New Roman" w:eastAsia="宋体" w:cs="Times New Roman"/>
                <w:b w:val="0"/>
                <w:bCs w:val="0"/>
                <w:color w:val="auto"/>
                <w:kern w:val="0"/>
                <w:sz w:val="24"/>
                <w:highlight w:val="none"/>
                <w:u w:val="none"/>
                <w:lang w:bidi="ar"/>
              </w:rPr>
              <w:t>收集的危废根据物料性质选择相容材质的密闭容器暂存，液态危废包装容器底部均设置防渗漏托盘；制定相应的环境安全管理办法和环境安全检查制度，定期对</w:t>
            </w:r>
            <w:r>
              <w:rPr>
                <w:rFonts w:hint="eastAsia" w:cs="Times New Roman"/>
                <w:b w:val="0"/>
                <w:bCs w:val="0"/>
                <w:color w:val="auto"/>
                <w:kern w:val="0"/>
                <w:sz w:val="24"/>
                <w:highlight w:val="none"/>
                <w:u w:val="none"/>
                <w:lang w:eastAsia="zh-CN" w:bidi="ar"/>
              </w:rPr>
              <w:t>危废暂存点</w:t>
            </w:r>
            <w:r>
              <w:rPr>
                <w:rFonts w:hint="default" w:ascii="Times New Roman" w:hAnsi="Times New Roman" w:eastAsia="宋体" w:cs="Times New Roman"/>
                <w:b w:val="0"/>
                <w:bCs w:val="0"/>
                <w:color w:val="auto"/>
                <w:kern w:val="0"/>
                <w:sz w:val="24"/>
                <w:highlight w:val="none"/>
                <w:u w:val="none"/>
                <w:lang w:bidi="ar"/>
              </w:rPr>
              <w:t>和化学试剂柜进行检查，及时排除安全隐患。</w:t>
            </w:r>
          </w:p>
          <w:p w14:paraId="660F48AF">
            <w:pPr>
              <w:keepNext w:val="0"/>
              <w:keepLines w:val="0"/>
              <w:pageBreakBefore w:val="0"/>
              <w:widowControl/>
              <w:kinsoku/>
              <w:wordWrap/>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b w:val="0"/>
                <w:bCs w:val="0"/>
                <w:color w:val="auto"/>
                <w:sz w:val="24"/>
                <w:highlight w:val="none"/>
                <w:u w:val="none"/>
              </w:rPr>
            </w:pPr>
            <w:r>
              <w:rPr>
                <w:rFonts w:hint="default" w:ascii="Times New Roman" w:hAnsi="Times New Roman" w:eastAsia="宋体" w:cs="Times New Roman"/>
                <w:b w:val="0"/>
                <w:bCs w:val="0"/>
                <w:color w:val="auto"/>
                <w:sz w:val="24"/>
                <w:highlight w:val="none"/>
                <w:u w:val="none"/>
              </w:rPr>
              <w:t>本项目化学</w:t>
            </w:r>
            <w:r>
              <w:rPr>
                <w:rFonts w:hint="default" w:ascii="Times New Roman" w:hAnsi="Times New Roman" w:eastAsia="宋体" w:cs="Times New Roman"/>
                <w:b w:val="0"/>
                <w:bCs w:val="0"/>
                <w:color w:val="auto"/>
                <w:sz w:val="24"/>
                <w:highlight w:val="none"/>
                <w:u w:val="none"/>
                <w:lang w:val="en-US" w:eastAsia="zh-CN"/>
              </w:rPr>
              <w:t>和</w:t>
            </w:r>
            <w:r>
              <w:rPr>
                <w:rFonts w:hint="default" w:ascii="Times New Roman" w:hAnsi="Times New Roman" w:eastAsia="宋体" w:cs="Times New Roman"/>
                <w:b w:val="0"/>
                <w:bCs w:val="0"/>
                <w:color w:val="auto"/>
                <w:sz w:val="24"/>
                <w:highlight w:val="none"/>
                <w:u w:val="none"/>
              </w:rPr>
              <w:t>生物实验室、</w:t>
            </w:r>
            <w:r>
              <w:rPr>
                <w:rFonts w:hint="eastAsia" w:cs="Times New Roman"/>
                <w:b w:val="0"/>
                <w:bCs w:val="0"/>
                <w:color w:val="auto"/>
                <w:sz w:val="24"/>
                <w:highlight w:val="none"/>
                <w:u w:val="none"/>
                <w:lang w:eastAsia="zh-CN"/>
              </w:rPr>
              <w:t>危废暂存点</w:t>
            </w:r>
            <w:r>
              <w:rPr>
                <w:rFonts w:hint="default" w:ascii="Times New Roman" w:hAnsi="Times New Roman" w:eastAsia="宋体" w:cs="Times New Roman"/>
                <w:b w:val="0"/>
                <w:bCs w:val="0"/>
                <w:color w:val="auto"/>
                <w:sz w:val="24"/>
                <w:highlight w:val="none"/>
                <w:u w:val="none"/>
              </w:rPr>
              <w:t>、化学仪器试剂及准备室</w:t>
            </w:r>
            <w:r>
              <w:rPr>
                <w:rFonts w:hint="default" w:ascii="Times New Roman" w:hAnsi="Times New Roman" w:eastAsia="宋体" w:cs="Times New Roman"/>
                <w:b w:val="0"/>
                <w:bCs w:val="0"/>
                <w:color w:val="auto"/>
                <w:sz w:val="24"/>
                <w:highlight w:val="none"/>
                <w:u w:val="none"/>
                <w:lang w:eastAsia="zh-CN"/>
              </w:rPr>
              <w:t>等</w:t>
            </w:r>
            <w:r>
              <w:rPr>
                <w:rFonts w:hint="default" w:ascii="Times New Roman" w:hAnsi="Times New Roman" w:eastAsia="宋体" w:cs="Times New Roman"/>
                <w:b w:val="0"/>
                <w:bCs w:val="0"/>
                <w:color w:val="auto"/>
                <w:sz w:val="24"/>
                <w:highlight w:val="none"/>
                <w:u w:val="none"/>
              </w:rPr>
              <w:t>作为重点防渗区，采用易冲洗、耐酸碱、耐腐蚀的楼地面做法，并装设密闭地漏，达到等效粘土防渗层Mb≥6.0m，渗透系数K≤1.0×10</w:t>
            </w:r>
            <w:r>
              <w:rPr>
                <w:rFonts w:hint="default" w:ascii="Times New Roman" w:hAnsi="Times New Roman" w:eastAsia="宋体" w:cs="Times New Roman"/>
                <w:b w:val="0"/>
                <w:bCs w:val="0"/>
                <w:color w:val="auto"/>
                <w:sz w:val="24"/>
                <w:highlight w:val="none"/>
                <w:u w:val="none"/>
                <w:vertAlign w:val="superscript"/>
              </w:rPr>
              <w:t>-7</w:t>
            </w:r>
            <w:r>
              <w:rPr>
                <w:rFonts w:hint="default" w:ascii="Times New Roman" w:hAnsi="Times New Roman" w:eastAsia="宋体" w:cs="Times New Roman"/>
                <w:b w:val="0"/>
                <w:bCs w:val="0"/>
                <w:color w:val="auto"/>
                <w:sz w:val="24"/>
                <w:highlight w:val="none"/>
                <w:u w:val="none"/>
              </w:rPr>
              <w:t>cm防渗技术要求为或参照《危险废物贮存污染控制标准》（GB 18597-2023）相关要求。</w:t>
            </w:r>
          </w:p>
          <w:p w14:paraId="11FE8712">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color w:val="auto"/>
                <w:spacing w:val="0"/>
                <w:w w:val="100"/>
                <w:position w:val="0"/>
                <w:sz w:val="24"/>
                <w:highlight w:val="none"/>
                <w:u w:val="none"/>
                <w:lang w:val="en-US" w:eastAsia="zh-CN"/>
              </w:rPr>
            </w:pPr>
            <w:r>
              <w:rPr>
                <w:rFonts w:hint="default" w:ascii="Times New Roman" w:hAnsi="Times New Roman" w:eastAsia="宋体" w:cs="Times New Roman"/>
                <w:b w:val="0"/>
                <w:bCs w:val="0"/>
                <w:color w:val="auto"/>
                <w:sz w:val="24"/>
                <w:highlight w:val="none"/>
                <w:u w:val="none"/>
              </w:rPr>
              <w:t>在落实上述防渗措施后，并加强实验室管理的前提下，可有效控制危险废物和化学试剂发生泄漏造成的下渗，避免污染土壤、地下水，因此项目不会对区域地下水、土壤环境</w:t>
            </w:r>
            <w:r>
              <w:rPr>
                <w:rFonts w:hint="default" w:ascii="Times New Roman" w:hAnsi="Times New Roman" w:eastAsia="宋体" w:cs="Times New Roman"/>
                <w:b w:val="0"/>
                <w:bCs w:val="0"/>
                <w:color w:val="auto"/>
                <w:spacing w:val="0"/>
                <w:w w:val="100"/>
                <w:position w:val="0"/>
                <w:sz w:val="24"/>
                <w:highlight w:val="none"/>
                <w:u w:val="none"/>
                <w:lang w:val="en-US" w:eastAsia="zh-CN"/>
              </w:rPr>
              <w:t>产生明显影响。</w:t>
            </w:r>
          </w:p>
          <w:p w14:paraId="316410CA">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left"/>
              <w:textAlignment w:val="auto"/>
              <w:rPr>
                <w:rFonts w:hint="default" w:ascii="Times New Roman" w:hAnsi="Times New Roman" w:eastAsia="宋体" w:cs="宋体"/>
                <w:b/>
                <w:bCs/>
                <w:color w:val="auto"/>
                <w:highlight w:val="none"/>
                <w:lang w:val="en-US" w:eastAsia="zh-CN"/>
              </w:rPr>
            </w:pPr>
            <w:r>
              <w:rPr>
                <w:rFonts w:hint="default" w:ascii="Times New Roman" w:hAnsi="Times New Roman" w:eastAsia="宋体" w:cs="宋体"/>
                <w:b/>
                <w:bCs/>
                <w:color w:val="auto"/>
                <w:highlight w:val="none"/>
                <w:lang w:val="en-US" w:eastAsia="zh-CN"/>
              </w:rPr>
              <w:t>环境风险</w:t>
            </w:r>
          </w:p>
          <w:p w14:paraId="76126A6F">
            <w:pPr>
              <w:pStyle w:val="4"/>
              <w:keepNext/>
              <w:keepLines/>
              <w:pageBreakBefore w:val="0"/>
              <w:widowControl w:val="0"/>
              <w:kinsoku/>
              <w:wordWrap/>
              <w:overflowPunct/>
              <w:topLinePunct w:val="0"/>
              <w:autoSpaceDE/>
              <w:autoSpaceDN/>
              <w:bidi w:val="0"/>
              <w:adjustRightInd/>
              <w:snapToGrid/>
              <w:spacing w:before="0" w:beforeLines="0" w:after="0" w:afterLines="0"/>
              <w:ind w:left="0" w:leftChars="0"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风险潜势初判</w:t>
            </w:r>
          </w:p>
          <w:p w14:paraId="3DCCFFEF">
            <w:pPr>
              <w:keepNext w:val="0"/>
              <w:keepLines w:val="0"/>
              <w:pageBreakBefore w:val="0"/>
              <w:widowControl/>
              <w:kinsoku/>
              <w:wordWrap/>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b w:val="0"/>
                <w:bCs w:val="0"/>
                <w:color w:val="auto"/>
                <w:kern w:val="2"/>
                <w:sz w:val="24"/>
                <w:szCs w:val="24"/>
                <w:highlight w:val="none"/>
                <w:u w:val="none"/>
                <w:lang w:val="en-US" w:eastAsia="zh-CN" w:bidi="ar-SA"/>
              </w:rPr>
            </w:pPr>
            <w:r>
              <w:rPr>
                <w:rFonts w:hint="default" w:ascii="Times New Roman" w:hAnsi="Times New Roman" w:eastAsia="宋体" w:cs="Times New Roman"/>
                <w:b w:val="0"/>
                <w:bCs w:val="0"/>
                <w:color w:val="auto"/>
                <w:sz w:val="24"/>
                <w:highlight w:val="none"/>
                <w:u w:val="none"/>
                <w:lang w:val="en-US" w:eastAsia="zh-CN"/>
              </w:rPr>
              <w:t>建设项目Q值</w:t>
            </w:r>
            <w:r>
              <w:rPr>
                <w:rFonts w:hint="default" w:ascii="Times New Roman" w:hAnsi="Times New Roman" w:eastAsia="宋体" w:cs="Times New Roman"/>
                <w:b w:val="0"/>
                <w:bCs w:val="0"/>
                <w:color w:val="auto"/>
                <w:kern w:val="2"/>
                <w:sz w:val="24"/>
                <w:szCs w:val="24"/>
                <w:highlight w:val="none"/>
                <w:u w:val="none"/>
                <w:lang w:val="en-US" w:eastAsia="zh-CN" w:bidi="ar-SA"/>
              </w:rPr>
              <w:t>确定对照《建设项目环境风险评价技术导则》（HJ169-2018）附录B，本项目涉及风险物质最大存在总量与其临界量的比值见下表。</w:t>
            </w:r>
          </w:p>
          <w:p w14:paraId="7F1A0F50">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STYLEREF 1 \s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4</w:t>
            </w:r>
            <w:r>
              <w:rPr>
                <w:rFonts w:hint="default" w:ascii="Times New Roman" w:hAnsi="Times New Roman" w:eastAsia="宋体" w:cs="Times New Roman"/>
                <w:b/>
                <w:bCs/>
                <w:color w:val="auto"/>
                <w:sz w:val="21"/>
                <w:szCs w:val="21"/>
                <w:highlight w:val="none"/>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SEQ 表 \* ARABIC \s 1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18</w:t>
            </w:r>
            <w:r>
              <w:rPr>
                <w:rFonts w:hint="default" w:ascii="Times New Roman" w:hAnsi="Times New Roman" w:eastAsia="宋体" w:cs="Times New Roman"/>
                <w:b/>
                <w:bCs/>
                <w:color w:val="auto"/>
                <w:sz w:val="21"/>
                <w:szCs w:val="21"/>
                <w:highlight w:val="none"/>
              </w:rPr>
              <w:fldChar w:fldCharType="end"/>
            </w:r>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本次工程危险物质数量与临界量比值一览表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108" w:type="dxa"/>
                <w:bottom w:w="85" w:type="dxa"/>
                <w:right w:w="108" w:type="dxa"/>
              </w:tblCellMar>
            </w:tblPr>
            <w:tblGrid>
              <w:gridCol w:w="870"/>
              <w:gridCol w:w="1560"/>
              <w:gridCol w:w="1536"/>
              <w:gridCol w:w="1536"/>
              <w:gridCol w:w="1558"/>
              <w:gridCol w:w="1539"/>
              <w:gridCol w:w="7"/>
            </w:tblGrid>
            <w:tr w14:paraId="6FF81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gridAfter w:val="1"/>
                <w:wAfter w:w="4" w:type="pct"/>
                <w:trHeight w:val="23" w:hRule="atLeast"/>
                <w:jc w:val="center"/>
              </w:trPr>
              <w:tc>
                <w:tcPr>
                  <w:tcW w:w="506" w:type="pct"/>
                  <w:noWrap w:val="0"/>
                  <w:vAlign w:val="center"/>
                </w:tcPr>
                <w:p w14:paraId="2A740CD0">
                  <w:pPr>
                    <w:pStyle w:val="1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bCs/>
                      <w:color w:val="auto"/>
                      <w:spacing w:val="0"/>
                      <w:w w:val="100"/>
                      <w:position w:val="0"/>
                      <w:sz w:val="21"/>
                      <w:szCs w:val="21"/>
                      <w:highlight w:val="none"/>
                      <w:lang w:eastAsia="zh-CN"/>
                    </w:rPr>
                  </w:pPr>
                  <w:r>
                    <w:rPr>
                      <w:rFonts w:hint="default" w:ascii="Times New Roman" w:hAnsi="Times New Roman" w:eastAsia="宋体" w:cs="Times New Roman"/>
                      <w:b/>
                      <w:bCs/>
                      <w:color w:val="auto"/>
                      <w:spacing w:val="0"/>
                      <w:w w:val="100"/>
                      <w:position w:val="0"/>
                      <w:sz w:val="21"/>
                      <w:szCs w:val="21"/>
                      <w:highlight w:val="none"/>
                      <w:lang w:eastAsia="zh-CN"/>
                    </w:rPr>
                    <w:t>序号</w:t>
                  </w:r>
                </w:p>
              </w:tc>
              <w:tc>
                <w:tcPr>
                  <w:tcW w:w="906" w:type="pct"/>
                  <w:noWrap w:val="0"/>
                  <w:vAlign w:val="center"/>
                </w:tcPr>
                <w:p w14:paraId="0A64A0AF">
                  <w:pPr>
                    <w:pStyle w:val="1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bCs/>
                      <w:color w:val="auto"/>
                      <w:spacing w:val="0"/>
                      <w:w w:val="100"/>
                      <w:position w:val="0"/>
                      <w:sz w:val="21"/>
                      <w:szCs w:val="21"/>
                      <w:highlight w:val="none"/>
                    </w:rPr>
                  </w:pPr>
                  <w:r>
                    <w:rPr>
                      <w:rFonts w:hint="default" w:ascii="Times New Roman" w:hAnsi="Times New Roman" w:eastAsia="宋体" w:cs="Times New Roman"/>
                      <w:b/>
                      <w:bCs/>
                      <w:color w:val="auto"/>
                      <w:spacing w:val="0"/>
                      <w:w w:val="100"/>
                      <w:position w:val="0"/>
                      <w:sz w:val="21"/>
                      <w:szCs w:val="21"/>
                      <w:highlight w:val="none"/>
                      <w:lang w:eastAsia="zh-CN"/>
                    </w:rPr>
                    <w:t>危险物质</w:t>
                  </w:r>
                  <w:r>
                    <w:rPr>
                      <w:rFonts w:hint="default" w:ascii="Times New Roman" w:hAnsi="Times New Roman" w:eastAsia="宋体" w:cs="Times New Roman"/>
                      <w:b/>
                      <w:bCs/>
                      <w:color w:val="auto"/>
                      <w:spacing w:val="0"/>
                      <w:w w:val="100"/>
                      <w:position w:val="0"/>
                      <w:sz w:val="21"/>
                      <w:szCs w:val="21"/>
                      <w:highlight w:val="none"/>
                    </w:rPr>
                    <w:t>名称</w:t>
                  </w:r>
                </w:p>
              </w:tc>
              <w:tc>
                <w:tcPr>
                  <w:tcW w:w="892" w:type="pct"/>
                  <w:noWrap w:val="0"/>
                  <w:vAlign w:val="center"/>
                </w:tcPr>
                <w:p w14:paraId="24193274">
                  <w:pPr>
                    <w:pStyle w:val="1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napToGrid w:val="0"/>
                      <w:color w:val="auto"/>
                      <w:spacing w:val="0"/>
                      <w:w w:val="100"/>
                      <w:kern w:val="0"/>
                      <w:position w:val="0"/>
                      <w:sz w:val="21"/>
                      <w:szCs w:val="21"/>
                      <w:highlight w:val="none"/>
                      <w:lang w:val="en-US" w:eastAsia="zh-CN" w:bidi="ar-SA"/>
                    </w:rPr>
                  </w:pPr>
                  <w:r>
                    <w:rPr>
                      <w:rFonts w:hint="default" w:ascii="Times New Roman" w:hAnsi="Times New Roman" w:eastAsia="宋体" w:cs="Times New Roman"/>
                      <w:b/>
                      <w:bCs/>
                      <w:color w:val="auto"/>
                      <w:spacing w:val="0"/>
                      <w:w w:val="100"/>
                      <w:position w:val="0"/>
                      <w:sz w:val="21"/>
                      <w:szCs w:val="21"/>
                      <w:highlight w:val="none"/>
                      <w:lang w:val="en-US" w:eastAsia="zh-CN"/>
                    </w:rPr>
                    <w:t>CAS号</w:t>
                  </w:r>
                </w:p>
              </w:tc>
              <w:tc>
                <w:tcPr>
                  <w:tcW w:w="892" w:type="pct"/>
                  <w:noWrap w:val="0"/>
                  <w:vAlign w:val="center"/>
                </w:tcPr>
                <w:p w14:paraId="3B388EA0">
                  <w:pPr>
                    <w:pStyle w:val="1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napToGrid w:val="0"/>
                      <w:color w:val="auto"/>
                      <w:spacing w:val="0"/>
                      <w:w w:val="100"/>
                      <w:kern w:val="0"/>
                      <w:position w:val="0"/>
                      <w:sz w:val="21"/>
                      <w:szCs w:val="21"/>
                      <w:highlight w:val="none"/>
                      <w:lang w:val="en-US" w:eastAsia="zh-CN" w:bidi="ar-SA"/>
                    </w:rPr>
                  </w:pPr>
                  <w:r>
                    <w:rPr>
                      <w:rFonts w:hint="default" w:ascii="Times New Roman" w:hAnsi="Times New Roman" w:eastAsia="宋体" w:cs="Times New Roman"/>
                      <w:b/>
                      <w:bCs/>
                      <w:color w:val="auto"/>
                      <w:spacing w:val="0"/>
                      <w:w w:val="100"/>
                      <w:position w:val="0"/>
                      <w:sz w:val="21"/>
                      <w:szCs w:val="21"/>
                      <w:highlight w:val="none"/>
                      <w:lang w:eastAsia="zh-CN"/>
                    </w:rPr>
                    <w:t>临界量（t）</w:t>
                  </w:r>
                </w:p>
              </w:tc>
              <w:tc>
                <w:tcPr>
                  <w:tcW w:w="903" w:type="pct"/>
                  <w:noWrap w:val="0"/>
                  <w:vAlign w:val="center"/>
                </w:tcPr>
                <w:p w14:paraId="78DC040A">
                  <w:pPr>
                    <w:pStyle w:val="1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napToGrid w:val="0"/>
                      <w:color w:val="auto"/>
                      <w:spacing w:val="0"/>
                      <w:w w:val="100"/>
                      <w:kern w:val="0"/>
                      <w:position w:val="0"/>
                      <w:sz w:val="21"/>
                      <w:szCs w:val="21"/>
                      <w:highlight w:val="none"/>
                      <w:lang w:val="en-US" w:eastAsia="zh-CN" w:bidi="ar-SA"/>
                    </w:rPr>
                  </w:pPr>
                  <w:r>
                    <w:rPr>
                      <w:rFonts w:hint="default" w:ascii="Times New Roman" w:hAnsi="Times New Roman" w:eastAsia="宋体" w:cs="Times New Roman"/>
                      <w:b/>
                      <w:bCs/>
                      <w:color w:val="auto"/>
                      <w:spacing w:val="0"/>
                      <w:w w:val="100"/>
                      <w:position w:val="0"/>
                      <w:sz w:val="21"/>
                      <w:szCs w:val="21"/>
                      <w:highlight w:val="none"/>
                      <w:lang w:eastAsia="zh-CN"/>
                    </w:rPr>
                    <w:t>最大存在总量</w:t>
                  </w:r>
                  <w:r>
                    <w:rPr>
                      <w:rFonts w:hint="default" w:ascii="Times New Roman" w:hAnsi="Times New Roman" w:eastAsia="宋体" w:cs="Times New Roman"/>
                      <w:b/>
                      <w:bCs/>
                      <w:color w:val="auto"/>
                      <w:spacing w:val="0"/>
                      <w:w w:val="100"/>
                      <w:position w:val="0"/>
                      <w:sz w:val="21"/>
                      <w:szCs w:val="21"/>
                      <w:highlight w:val="none"/>
                      <w:lang w:val="en-US" w:eastAsia="zh-CN"/>
                    </w:rPr>
                    <w:t>q</w:t>
                  </w:r>
                  <w:r>
                    <w:rPr>
                      <w:rFonts w:hint="default" w:ascii="Times New Roman" w:hAnsi="Times New Roman" w:eastAsia="宋体" w:cs="Times New Roman"/>
                      <w:b/>
                      <w:bCs/>
                      <w:color w:val="auto"/>
                      <w:spacing w:val="0"/>
                      <w:w w:val="100"/>
                      <w:position w:val="0"/>
                      <w:sz w:val="21"/>
                      <w:szCs w:val="21"/>
                      <w:highlight w:val="none"/>
                      <w:vertAlign w:val="subscript"/>
                      <w:lang w:val="en-US" w:eastAsia="zh-CN"/>
                    </w:rPr>
                    <w:t>n</w:t>
                  </w:r>
                  <w:r>
                    <w:rPr>
                      <w:rFonts w:hint="default" w:ascii="Times New Roman" w:hAnsi="Times New Roman" w:eastAsia="宋体" w:cs="Times New Roman"/>
                      <w:b/>
                      <w:bCs/>
                      <w:color w:val="auto"/>
                      <w:spacing w:val="0"/>
                      <w:w w:val="100"/>
                      <w:position w:val="0"/>
                      <w:sz w:val="21"/>
                      <w:szCs w:val="21"/>
                      <w:highlight w:val="none"/>
                    </w:rPr>
                    <w:t>（</w:t>
                  </w:r>
                  <w:r>
                    <w:rPr>
                      <w:rFonts w:hint="default" w:ascii="Times New Roman" w:hAnsi="Times New Roman" w:eastAsia="宋体" w:cs="Times New Roman"/>
                      <w:b/>
                      <w:bCs/>
                      <w:color w:val="auto"/>
                      <w:spacing w:val="0"/>
                      <w:w w:val="100"/>
                      <w:position w:val="0"/>
                      <w:sz w:val="21"/>
                      <w:szCs w:val="21"/>
                      <w:highlight w:val="none"/>
                      <w:lang w:val="en-US" w:eastAsia="zh-CN"/>
                    </w:rPr>
                    <w:t>t</w:t>
                  </w:r>
                  <w:r>
                    <w:rPr>
                      <w:rFonts w:hint="default" w:ascii="Times New Roman" w:hAnsi="Times New Roman" w:eastAsia="宋体" w:cs="Times New Roman"/>
                      <w:b/>
                      <w:bCs/>
                      <w:color w:val="auto"/>
                      <w:spacing w:val="0"/>
                      <w:w w:val="100"/>
                      <w:position w:val="0"/>
                      <w:sz w:val="21"/>
                      <w:szCs w:val="21"/>
                      <w:highlight w:val="none"/>
                    </w:rPr>
                    <w:t>）</w:t>
                  </w:r>
                </w:p>
              </w:tc>
              <w:tc>
                <w:tcPr>
                  <w:tcW w:w="894" w:type="pct"/>
                  <w:noWrap w:val="0"/>
                  <w:vAlign w:val="center"/>
                </w:tcPr>
                <w:p w14:paraId="30F88A32">
                  <w:pPr>
                    <w:pStyle w:val="1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bCs/>
                      <w:color w:val="auto"/>
                      <w:spacing w:val="0"/>
                      <w:w w:val="100"/>
                      <w:position w:val="0"/>
                      <w:sz w:val="21"/>
                      <w:szCs w:val="21"/>
                      <w:highlight w:val="none"/>
                      <w:lang w:val="en-US" w:eastAsia="zh-CN"/>
                    </w:rPr>
                  </w:pPr>
                  <w:r>
                    <w:rPr>
                      <w:rFonts w:hint="default" w:ascii="Times New Roman" w:hAnsi="Times New Roman" w:eastAsia="宋体" w:cs="Times New Roman"/>
                      <w:b/>
                      <w:bCs/>
                      <w:color w:val="auto"/>
                      <w:spacing w:val="0"/>
                      <w:w w:val="100"/>
                      <w:position w:val="0"/>
                      <w:sz w:val="21"/>
                      <w:szCs w:val="21"/>
                      <w:highlight w:val="none"/>
                      <w:lang w:val="en-US" w:eastAsia="zh-CN"/>
                    </w:rPr>
                    <w:t>Q值</w:t>
                  </w:r>
                </w:p>
              </w:tc>
            </w:tr>
            <w:tr w14:paraId="14636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gridAfter w:val="1"/>
                <w:wAfter w:w="4" w:type="pct"/>
                <w:trHeight w:val="23" w:hRule="atLeast"/>
                <w:jc w:val="center"/>
              </w:trPr>
              <w:tc>
                <w:tcPr>
                  <w:tcW w:w="506" w:type="pct"/>
                  <w:noWrap w:val="0"/>
                  <w:vAlign w:val="center"/>
                </w:tcPr>
                <w:p w14:paraId="4CCFFB1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906" w:type="pct"/>
                  <w:noWrap w:val="0"/>
                  <w:vAlign w:val="center"/>
                </w:tcPr>
                <w:p w14:paraId="3BA9DD7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盐酸</w:t>
                  </w:r>
                </w:p>
              </w:tc>
              <w:tc>
                <w:tcPr>
                  <w:tcW w:w="892" w:type="pct"/>
                  <w:noWrap w:val="0"/>
                  <w:vAlign w:val="center"/>
                </w:tcPr>
                <w:p w14:paraId="7536754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pacing w:val="0"/>
                      <w:w w:val="100"/>
                      <w:kern w:val="2"/>
                      <w:positio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7647-01-0</w:t>
                  </w:r>
                </w:p>
              </w:tc>
              <w:tc>
                <w:tcPr>
                  <w:tcW w:w="892" w:type="pct"/>
                  <w:noWrap w:val="0"/>
                  <w:vAlign w:val="center"/>
                </w:tcPr>
                <w:p w14:paraId="027E1CF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napToGrid w:val="0"/>
                      <w:color w:val="auto"/>
                      <w:spacing w:val="0"/>
                      <w:w w:val="100"/>
                      <w:kern w:val="0"/>
                      <w:positio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7.5</w:t>
                  </w:r>
                </w:p>
              </w:tc>
              <w:tc>
                <w:tcPr>
                  <w:tcW w:w="1557" w:type="dxa"/>
                  <w:noWrap w:val="0"/>
                  <w:vAlign w:val="center"/>
                </w:tcPr>
                <w:p w14:paraId="2DBCBEB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0.00736</w:t>
                  </w:r>
                </w:p>
              </w:tc>
              <w:tc>
                <w:tcPr>
                  <w:tcW w:w="1540" w:type="dxa"/>
                  <w:noWrap w:val="0"/>
                  <w:vAlign w:val="center"/>
                </w:tcPr>
                <w:p w14:paraId="01CD33D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0.00098</w:t>
                  </w:r>
                </w:p>
              </w:tc>
            </w:tr>
            <w:tr w14:paraId="178F5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gridAfter w:val="1"/>
                <w:wAfter w:w="4" w:type="pct"/>
                <w:trHeight w:val="23" w:hRule="atLeast"/>
                <w:jc w:val="center"/>
              </w:trPr>
              <w:tc>
                <w:tcPr>
                  <w:tcW w:w="506" w:type="pct"/>
                  <w:noWrap w:val="0"/>
                  <w:vAlign w:val="center"/>
                </w:tcPr>
                <w:p w14:paraId="41E6CFC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906" w:type="pct"/>
                  <w:noWrap w:val="0"/>
                  <w:vAlign w:val="center"/>
                </w:tcPr>
                <w:p w14:paraId="545A01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硫酸</w:t>
                  </w:r>
                </w:p>
              </w:tc>
              <w:tc>
                <w:tcPr>
                  <w:tcW w:w="892" w:type="pct"/>
                  <w:noWrap w:val="0"/>
                  <w:vAlign w:val="center"/>
                </w:tcPr>
                <w:p w14:paraId="080E1A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pacing w:val="0"/>
                      <w:w w:val="100"/>
                      <w:kern w:val="2"/>
                      <w:positio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7664-93-9</w:t>
                  </w:r>
                </w:p>
              </w:tc>
              <w:tc>
                <w:tcPr>
                  <w:tcW w:w="892" w:type="pct"/>
                  <w:noWrap w:val="0"/>
                  <w:vAlign w:val="center"/>
                </w:tcPr>
                <w:p w14:paraId="61DF3C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napToGrid w:val="0"/>
                      <w:color w:val="auto"/>
                      <w:spacing w:val="0"/>
                      <w:w w:val="100"/>
                      <w:kern w:val="0"/>
                      <w:positio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557" w:type="dxa"/>
                  <w:noWrap w:val="0"/>
                  <w:vAlign w:val="center"/>
                </w:tcPr>
                <w:p w14:paraId="3D0C778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0.00118</w:t>
                  </w:r>
                </w:p>
              </w:tc>
              <w:tc>
                <w:tcPr>
                  <w:tcW w:w="1540" w:type="dxa"/>
                  <w:noWrap w:val="0"/>
                  <w:vAlign w:val="center"/>
                </w:tcPr>
                <w:p w14:paraId="67A707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0.00012</w:t>
                  </w:r>
                </w:p>
              </w:tc>
            </w:tr>
            <w:tr w14:paraId="66826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gridAfter w:val="1"/>
                <w:wAfter w:w="4" w:type="pct"/>
                <w:trHeight w:val="23" w:hRule="atLeast"/>
                <w:jc w:val="center"/>
              </w:trPr>
              <w:tc>
                <w:tcPr>
                  <w:tcW w:w="506" w:type="pct"/>
                  <w:noWrap w:val="0"/>
                  <w:vAlign w:val="center"/>
                </w:tcPr>
                <w:p w14:paraId="2D5C3A0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906" w:type="pct"/>
                  <w:noWrap w:val="0"/>
                  <w:vAlign w:val="center"/>
                </w:tcPr>
                <w:p w14:paraId="21148C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硝酸</w:t>
                  </w:r>
                </w:p>
              </w:tc>
              <w:tc>
                <w:tcPr>
                  <w:tcW w:w="892" w:type="pct"/>
                  <w:noWrap w:val="0"/>
                  <w:vAlign w:val="center"/>
                </w:tcPr>
                <w:p w14:paraId="6DB013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pacing w:val="0"/>
                      <w:w w:val="100"/>
                      <w:kern w:val="2"/>
                      <w:positio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7697-37-2</w:t>
                  </w:r>
                </w:p>
              </w:tc>
              <w:tc>
                <w:tcPr>
                  <w:tcW w:w="892" w:type="pct"/>
                  <w:noWrap w:val="0"/>
                  <w:vAlign w:val="center"/>
                </w:tcPr>
                <w:p w14:paraId="7D728EC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napToGrid w:val="0"/>
                      <w:color w:val="auto"/>
                      <w:spacing w:val="0"/>
                      <w:w w:val="100"/>
                      <w:kern w:val="0"/>
                      <w:positio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7.5</w:t>
                  </w:r>
                </w:p>
              </w:tc>
              <w:tc>
                <w:tcPr>
                  <w:tcW w:w="1557" w:type="dxa"/>
                  <w:noWrap w:val="0"/>
                  <w:vAlign w:val="center"/>
                </w:tcPr>
                <w:p w14:paraId="0717AA7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0.00105</w:t>
                  </w:r>
                </w:p>
              </w:tc>
              <w:tc>
                <w:tcPr>
                  <w:tcW w:w="1540" w:type="dxa"/>
                  <w:noWrap w:val="0"/>
                  <w:vAlign w:val="center"/>
                </w:tcPr>
                <w:p w14:paraId="04D786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0.00014</w:t>
                  </w:r>
                </w:p>
              </w:tc>
            </w:tr>
            <w:tr w14:paraId="0B53B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gridAfter w:val="1"/>
                <w:wAfter w:w="4" w:type="pct"/>
                <w:trHeight w:val="23" w:hRule="atLeast"/>
                <w:jc w:val="center"/>
              </w:trPr>
              <w:tc>
                <w:tcPr>
                  <w:tcW w:w="506" w:type="pct"/>
                  <w:noWrap w:val="0"/>
                  <w:vAlign w:val="center"/>
                </w:tcPr>
                <w:p w14:paraId="6D3457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default" w:ascii="Times New Roman" w:hAnsi="Times New Roman" w:eastAsia="宋体" w:cs="Times New Roman"/>
                      <w:color w:val="auto"/>
                      <w:spacing w:val="0"/>
                      <w:w w:val="100"/>
                      <w:kern w:val="0"/>
                      <w:position w:val="0"/>
                      <w:sz w:val="21"/>
                      <w:szCs w:val="21"/>
                      <w:highlight w:val="none"/>
                      <w:u w:val="none"/>
                      <w:lang w:val="en-US" w:eastAsia="zh-CN" w:bidi="ar"/>
                    </w:rPr>
                    <w:t>4</w:t>
                  </w:r>
                </w:p>
              </w:tc>
              <w:tc>
                <w:tcPr>
                  <w:tcW w:w="906" w:type="pct"/>
                  <w:noWrap w:val="0"/>
                  <w:vAlign w:val="center"/>
                </w:tcPr>
                <w:p w14:paraId="0A6E774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乙酸</w:t>
                  </w:r>
                </w:p>
              </w:tc>
              <w:tc>
                <w:tcPr>
                  <w:tcW w:w="892" w:type="pct"/>
                  <w:noWrap w:val="0"/>
                  <w:vAlign w:val="center"/>
                </w:tcPr>
                <w:p w14:paraId="67FFA7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pacing w:val="0"/>
                      <w:w w:val="100"/>
                      <w:kern w:val="2"/>
                      <w:positio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64-19-7</w:t>
                  </w:r>
                </w:p>
              </w:tc>
              <w:tc>
                <w:tcPr>
                  <w:tcW w:w="892" w:type="pct"/>
                  <w:noWrap w:val="0"/>
                  <w:vAlign w:val="center"/>
                </w:tcPr>
                <w:p w14:paraId="6CE0C0C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napToGrid w:val="0"/>
                      <w:color w:val="auto"/>
                      <w:spacing w:val="0"/>
                      <w:w w:val="100"/>
                      <w:kern w:val="0"/>
                      <w:positio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557" w:type="dxa"/>
                  <w:noWrap w:val="0"/>
                  <w:vAlign w:val="center"/>
                </w:tcPr>
                <w:p w14:paraId="3CFDEC1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0.00210</w:t>
                  </w:r>
                </w:p>
              </w:tc>
              <w:tc>
                <w:tcPr>
                  <w:tcW w:w="1540" w:type="dxa"/>
                  <w:noWrap w:val="0"/>
                  <w:vAlign w:val="center"/>
                </w:tcPr>
                <w:p w14:paraId="6AB7098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0.00021</w:t>
                  </w:r>
                </w:p>
              </w:tc>
            </w:tr>
            <w:tr w14:paraId="7AA30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gridAfter w:val="1"/>
                <w:wAfter w:w="4" w:type="pct"/>
                <w:trHeight w:val="23" w:hRule="atLeast"/>
                <w:jc w:val="center"/>
              </w:trPr>
              <w:tc>
                <w:tcPr>
                  <w:tcW w:w="506" w:type="pct"/>
                  <w:noWrap w:val="0"/>
                  <w:vAlign w:val="center"/>
                </w:tcPr>
                <w:p w14:paraId="61E83CE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default" w:ascii="Times New Roman" w:hAnsi="Times New Roman" w:eastAsia="宋体" w:cs="Times New Roman"/>
                      <w:color w:val="auto"/>
                      <w:spacing w:val="0"/>
                      <w:w w:val="100"/>
                      <w:kern w:val="0"/>
                      <w:position w:val="0"/>
                      <w:sz w:val="21"/>
                      <w:szCs w:val="21"/>
                      <w:highlight w:val="none"/>
                      <w:u w:val="none"/>
                      <w:lang w:val="en-US" w:eastAsia="zh-CN" w:bidi="ar"/>
                    </w:rPr>
                    <w:t>5</w:t>
                  </w:r>
                </w:p>
              </w:tc>
              <w:tc>
                <w:tcPr>
                  <w:tcW w:w="906" w:type="pct"/>
                  <w:noWrap w:val="0"/>
                  <w:vAlign w:val="center"/>
                </w:tcPr>
                <w:p w14:paraId="2A489FB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default" w:ascii="Times New Roman" w:hAnsi="Times New Roman" w:eastAsia="宋体" w:cs="Times New Roman"/>
                      <w:color w:val="auto"/>
                      <w:spacing w:val="0"/>
                      <w:w w:val="100"/>
                      <w:kern w:val="0"/>
                      <w:position w:val="0"/>
                      <w:sz w:val="21"/>
                      <w:szCs w:val="21"/>
                      <w:highlight w:val="none"/>
                      <w:u w:val="none"/>
                      <w:lang w:val="en-US" w:eastAsia="zh-CN" w:bidi="ar"/>
                    </w:rPr>
                    <w:t>乙酸乙酯</w:t>
                  </w:r>
                </w:p>
              </w:tc>
              <w:tc>
                <w:tcPr>
                  <w:tcW w:w="892" w:type="pct"/>
                  <w:noWrap w:val="0"/>
                  <w:vAlign w:val="center"/>
                </w:tcPr>
                <w:p w14:paraId="1C64E03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default" w:ascii="Times New Roman" w:hAnsi="Times New Roman" w:eastAsia="宋体" w:cs="Times New Roman"/>
                      <w:color w:val="auto"/>
                      <w:spacing w:val="0"/>
                      <w:w w:val="100"/>
                      <w:kern w:val="0"/>
                      <w:position w:val="0"/>
                      <w:sz w:val="21"/>
                      <w:szCs w:val="21"/>
                      <w:highlight w:val="none"/>
                      <w:u w:val="none"/>
                      <w:lang w:val="en-US" w:eastAsia="zh-CN" w:bidi="ar"/>
                    </w:rPr>
                    <w:t>141-78-6</w:t>
                  </w:r>
                </w:p>
              </w:tc>
              <w:tc>
                <w:tcPr>
                  <w:tcW w:w="892" w:type="pct"/>
                  <w:noWrap w:val="0"/>
                  <w:vAlign w:val="center"/>
                </w:tcPr>
                <w:p w14:paraId="22994C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default" w:ascii="Times New Roman" w:hAnsi="Times New Roman" w:eastAsia="宋体" w:cs="Times New Roman"/>
                      <w:color w:val="auto"/>
                      <w:spacing w:val="0"/>
                      <w:w w:val="100"/>
                      <w:kern w:val="0"/>
                      <w:position w:val="0"/>
                      <w:sz w:val="21"/>
                      <w:szCs w:val="21"/>
                      <w:highlight w:val="none"/>
                      <w:u w:val="none"/>
                      <w:lang w:val="en-US" w:eastAsia="zh-CN" w:bidi="ar"/>
                    </w:rPr>
                    <w:t>10</w:t>
                  </w:r>
                </w:p>
              </w:tc>
              <w:tc>
                <w:tcPr>
                  <w:tcW w:w="1557" w:type="dxa"/>
                  <w:noWrap w:val="0"/>
                  <w:vAlign w:val="center"/>
                </w:tcPr>
                <w:p w14:paraId="2E2C73C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0.00090</w:t>
                  </w:r>
                </w:p>
              </w:tc>
              <w:tc>
                <w:tcPr>
                  <w:tcW w:w="1540" w:type="dxa"/>
                  <w:noWrap w:val="0"/>
                  <w:vAlign w:val="center"/>
                </w:tcPr>
                <w:p w14:paraId="0D715F0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0.00009</w:t>
                  </w:r>
                </w:p>
              </w:tc>
            </w:tr>
            <w:tr w14:paraId="47E74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gridAfter w:val="1"/>
                <w:wAfter w:w="4" w:type="pct"/>
                <w:trHeight w:val="23" w:hRule="atLeast"/>
                <w:jc w:val="center"/>
              </w:trPr>
              <w:tc>
                <w:tcPr>
                  <w:tcW w:w="506" w:type="pct"/>
                  <w:noWrap w:val="0"/>
                  <w:vAlign w:val="center"/>
                </w:tcPr>
                <w:p w14:paraId="0CD2B8C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default" w:ascii="Times New Roman" w:hAnsi="Times New Roman" w:eastAsia="宋体" w:cs="Times New Roman"/>
                      <w:color w:val="auto"/>
                      <w:spacing w:val="0"/>
                      <w:w w:val="100"/>
                      <w:kern w:val="0"/>
                      <w:position w:val="0"/>
                      <w:sz w:val="21"/>
                      <w:szCs w:val="21"/>
                      <w:highlight w:val="none"/>
                      <w:u w:val="none"/>
                      <w:lang w:val="en-US" w:eastAsia="zh-CN" w:bidi="ar"/>
                    </w:rPr>
                    <w:t>6</w:t>
                  </w:r>
                </w:p>
              </w:tc>
              <w:tc>
                <w:tcPr>
                  <w:tcW w:w="906" w:type="pct"/>
                  <w:noWrap w:val="0"/>
                  <w:vAlign w:val="center"/>
                </w:tcPr>
                <w:p w14:paraId="6043075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石油醚</w:t>
                  </w:r>
                </w:p>
              </w:tc>
              <w:tc>
                <w:tcPr>
                  <w:tcW w:w="892" w:type="pct"/>
                  <w:noWrap w:val="0"/>
                  <w:vAlign w:val="center"/>
                </w:tcPr>
                <w:p w14:paraId="06838B3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pacing w:val="0"/>
                      <w:w w:val="100"/>
                      <w:kern w:val="2"/>
                      <w:positio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8032-32-4</w:t>
                  </w:r>
                </w:p>
              </w:tc>
              <w:tc>
                <w:tcPr>
                  <w:tcW w:w="892" w:type="pct"/>
                  <w:noWrap w:val="0"/>
                  <w:vAlign w:val="center"/>
                </w:tcPr>
                <w:p w14:paraId="7D260F4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napToGrid w:val="0"/>
                      <w:color w:val="auto"/>
                      <w:spacing w:val="0"/>
                      <w:w w:val="100"/>
                      <w:kern w:val="0"/>
                      <w:positio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557" w:type="dxa"/>
                  <w:noWrap w:val="0"/>
                  <w:vAlign w:val="center"/>
                </w:tcPr>
                <w:p w14:paraId="5D87E1D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0.00198</w:t>
                  </w:r>
                </w:p>
              </w:tc>
              <w:tc>
                <w:tcPr>
                  <w:tcW w:w="1540" w:type="dxa"/>
                  <w:noWrap w:val="0"/>
                  <w:vAlign w:val="center"/>
                </w:tcPr>
                <w:p w14:paraId="577A00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0.00020</w:t>
                  </w:r>
                </w:p>
              </w:tc>
            </w:tr>
            <w:tr w14:paraId="400C7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23" w:hRule="atLeast"/>
                <w:jc w:val="center"/>
              </w:trPr>
              <w:tc>
                <w:tcPr>
                  <w:tcW w:w="4101" w:type="pct"/>
                  <w:gridSpan w:val="5"/>
                  <w:noWrap w:val="0"/>
                  <w:vAlign w:val="center"/>
                </w:tcPr>
                <w:p w14:paraId="4BAF583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default" w:ascii="Times New Roman" w:hAnsi="Times New Roman" w:eastAsia="宋体" w:cs="Times New Roman"/>
                      <w:color w:val="auto"/>
                      <w:spacing w:val="0"/>
                      <w:w w:val="100"/>
                      <w:kern w:val="0"/>
                      <w:position w:val="0"/>
                      <w:sz w:val="21"/>
                      <w:szCs w:val="21"/>
                      <w:highlight w:val="none"/>
                      <w:u w:val="none"/>
                      <w:lang w:val="en-US" w:eastAsia="zh-CN" w:bidi="ar"/>
                    </w:rPr>
                    <w:t>合计</w:t>
                  </w:r>
                </w:p>
              </w:tc>
              <w:tc>
                <w:tcPr>
                  <w:tcW w:w="898" w:type="pct"/>
                  <w:gridSpan w:val="2"/>
                  <w:noWrap w:val="0"/>
                  <w:vAlign w:val="center"/>
                </w:tcPr>
                <w:p w14:paraId="22CBF7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bidi="ar"/>
                    </w:rPr>
                  </w:pPr>
                  <w:r>
                    <w:rPr>
                      <w:rFonts w:hint="eastAsia" w:ascii="Times New Roman" w:hAnsi="Times New Roman" w:eastAsia="宋体" w:cs="Times New Roman"/>
                      <w:color w:val="auto"/>
                      <w:spacing w:val="0"/>
                      <w:w w:val="100"/>
                      <w:kern w:val="0"/>
                      <w:position w:val="0"/>
                      <w:sz w:val="21"/>
                      <w:szCs w:val="21"/>
                      <w:highlight w:val="none"/>
                      <w:u w:val="none"/>
                      <w:lang w:val="en-US" w:eastAsia="zh-CN" w:bidi="ar"/>
                    </w:rPr>
                    <w:t>0.00174</w:t>
                  </w:r>
                </w:p>
              </w:tc>
            </w:tr>
          </w:tbl>
          <w:p w14:paraId="7E7AA39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pacing w:val="0"/>
                <w:w w:val="100"/>
                <w:kern w:val="0"/>
                <w:position w:val="0"/>
                <w:sz w:val="24"/>
                <w:szCs w:val="24"/>
                <w:highlight w:val="none"/>
                <w:lang w:val="en-US" w:eastAsia="zh-CN" w:bidi="ar-SA"/>
              </w:rPr>
            </w:pPr>
            <w:r>
              <w:rPr>
                <w:rFonts w:hint="default" w:ascii="Times New Roman" w:hAnsi="Times New Roman" w:eastAsia="宋体" w:cs="Times New Roman"/>
                <w:color w:val="auto"/>
                <w:spacing w:val="0"/>
                <w:w w:val="100"/>
                <w:kern w:val="0"/>
                <w:position w:val="0"/>
                <w:sz w:val="24"/>
                <w:szCs w:val="24"/>
                <w:highlight w:val="none"/>
                <w:lang w:val="en-US" w:eastAsia="zh-CN" w:bidi="ar-SA"/>
              </w:rPr>
              <w:t>由上表可知，项目Q值Σ等于</w:t>
            </w:r>
            <w:r>
              <w:rPr>
                <w:rFonts w:hint="eastAsia" w:ascii="Times New Roman" w:hAnsi="Times New Roman" w:eastAsia="宋体" w:cs="Times New Roman"/>
                <w:color w:val="auto"/>
                <w:spacing w:val="0"/>
                <w:w w:val="100"/>
                <w:kern w:val="0"/>
                <w:position w:val="0"/>
                <w:sz w:val="24"/>
                <w:szCs w:val="24"/>
                <w:highlight w:val="none"/>
                <w:lang w:val="en-US" w:eastAsia="zh-CN" w:bidi="ar-SA"/>
              </w:rPr>
              <w:t>0.00174</w:t>
            </w:r>
            <w:r>
              <w:rPr>
                <w:rFonts w:hint="default" w:ascii="Times New Roman" w:hAnsi="Times New Roman" w:eastAsia="宋体" w:cs="Times New Roman"/>
                <w:color w:val="auto"/>
                <w:spacing w:val="0"/>
                <w:w w:val="100"/>
                <w:kern w:val="0"/>
                <w:position w:val="0"/>
                <w:sz w:val="24"/>
                <w:szCs w:val="24"/>
                <w:highlight w:val="none"/>
                <w:lang w:val="en-US" w:eastAsia="zh-CN" w:bidi="ar-SA"/>
              </w:rPr>
              <w:t>＜1。</w:t>
            </w:r>
          </w:p>
          <w:p w14:paraId="6871F6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eastAsia="宋体" w:cs="Times New Roman"/>
                <w:color w:val="auto"/>
                <w:spacing w:val="0"/>
                <w:w w:val="100"/>
                <w:kern w:val="0"/>
                <w:position w:val="0"/>
                <w:sz w:val="24"/>
                <w:szCs w:val="24"/>
                <w:highlight w:val="none"/>
                <w:lang w:val="en-US" w:eastAsia="zh-CN" w:bidi="ar-SA"/>
              </w:rPr>
              <w:t>按照《建设项目环境风险评价技术导则》（HJ/T169-2018）</w:t>
            </w:r>
            <w:r>
              <w:rPr>
                <w:rFonts w:hint="default" w:ascii="Times New Roman" w:hAnsi="Times New Roman" w:cs="Times New Roman"/>
                <w:color w:val="auto"/>
                <w:sz w:val="24"/>
                <w:highlight w:val="none"/>
              </w:rPr>
              <w:t>中的划分依据和原则。评价工作级别见下表。</w:t>
            </w:r>
          </w:p>
          <w:p w14:paraId="24175198">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STYLEREF 1 \s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4</w:t>
            </w:r>
            <w:r>
              <w:rPr>
                <w:rFonts w:hint="default" w:ascii="Times New Roman" w:hAnsi="Times New Roman" w:eastAsia="宋体" w:cs="Times New Roman"/>
                <w:b/>
                <w:bCs/>
                <w:color w:val="auto"/>
                <w:sz w:val="21"/>
                <w:szCs w:val="21"/>
                <w:highlight w:val="none"/>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SEQ 表 \* ARABIC \s 1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19</w:t>
            </w:r>
            <w:r>
              <w:rPr>
                <w:rFonts w:hint="default" w:ascii="Times New Roman" w:hAnsi="Times New Roman" w:eastAsia="宋体" w:cs="Times New Roman"/>
                <w:b/>
                <w:bCs/>
                <w:color w:val="auto"/>
                <w:sz w:val="21"/>
                <w:szCs w:val="21"/>
                <w:highlight w:val="none"/>
              </w:rPr>
              <w:fldChar w:fldCharType="end"/>
            </w:r>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评价工作等级划分</w:t>
            </w:r>
          </w:p>
          <w:tbl>
            <w:tblPr>
              <w:tblStyle w:val="33"/>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22"/>
              <w:gridCol w:w="1722"/>
              <w:gridCol w:w="1720"/>
              <w:gridCol w:w="1722"/>
              <w:gridCol w:w="1725"/>
            </w:tblGrid>
            <w:tr w14:paraId="782F65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000" w:type="pct"/>
                  <w:tcBorders>
                    <w:top w:val="single" w:color="auto" w:sz="4" w:space="0"/>
                    <w:left w:val="single" w:color="auto" w:sz="0" w:space="0"/>
                  </w:tcBorders>
                  <w:vAlign w:val="center"/>
                </w:tcPr>
                <w:p w14:paraId="081B10EE">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bottom"/>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环境风险潜势</w:t>
                  </w:r>
                </w:p>
              </w:tc>
              <w:tc>
                <w:tcPr>
                  <w:tcW w:w="1000" w:type="pct"/>
                  <w:tcBorders>
                    <w:top w:val="single" w:color="auto" w:sz="4" w:space="0"/>
                  </w:tcBorders>
                  <w:vAlign w:val="center"/>
                </w:tcPr>
                <w:p w14:paraId="0B455DFA">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bottom"/>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fldChar w:fldCharType="begin"/>
                  </w:r>
                  <w:r>
                    <w:rPr>
                      <w:rFonts w:hint="default" w:ascii="Times New Roman" w:hAnsi="Times New Roman" w:cs="Times New Roman"/>
                      <w:b/>
                      <w:bCs/>
                      <w:color w:val="auto"/>
                      <w:sz w:val="21"/>
                      <w:szCs w:val="21"/>
                      <w:highlight w:val="none"/>
                    </w:rPr>
                    <w:instrText xml:space="preserve"> = 4 \* ROMAN \* MERGEFORMAT </w:instrText>
                  </w:r>
                  <w:r>
                    <w:rPr>
                      <w:rFonts w:hint="default" w:ascii="Times New Roman" w:hAnsi="Times New Roman" w:cs="Times New Roman"/>
                      <w:b/>
                      <w:bCs/>
                      <w:color w:val="auto"/>
                      <w:sz w:val="21"/>
                      <w:szCs w:val="21"/>
                      <w:highlight w:val="none"/>
                    </w:rPr>
                    <w:fldChar w:fldCharType="separate"/>
                  </w:r>
                  <w:r>
                    <w:rPr>
                      <w:rFonts w:hint="default" w:ascii="Times New Roman" w:hAnsi="Times New Roman" w:cs="Times New Roman"/>
                      <w:b/>
                      <w:bCs/>
                      <w:color w:val="auto"/>
                      <w:sz w:val="21"/>
                      <w:szCs w:val="21"/>
                      <w:highlight w:val="none"/>
                    </w:rPr>
                    <w:t>IV</w:t>
                  </w:r>
                  <w:r>
                    <w:rPr>
                      <w:rFonts w:hint="default" w:ascii="Times New Roman" w:hAnsi="Times New Roman" w:cs="Times New Roman"/>
                      <w:b/>
                      <w:bCs/>
                      <w:color w:val="auto"/>
                      <w:sz w:val="21"/>
                      <w:szCs w:val="21"/>
                      <w:highlight w:val="none"/>
                    </w:rPr>
                    <w:fldChar w:fldCharType="end"/>
                  </w:r>
                  <w:r>
                    <w:rPr>
                      <w:rFonts w:hint="default" w:ascii="Times New Roman" w:hAnsi="Times New Roman" w:cs="Times New Roman"/>
                      <w:b/>
                      <w:bCs/>
                      <w:color w:val="auto"/>
                      <w:sz w:val="21"/>
                      <w:szCs w:val="21"/>
                      <w:highlight w:val="none"/>
                      <w:vertAlign w:val="superscript"/>
                    </w:rPr>
                    <w:t>+</w:t>
                  </w:r>
                  <w:r>
                    <w:rPr>
                      <w:rFonts w:hint="default" w:ascii="Times New Roman" w:hAnsi="Times New Roman" w:cs="Times New Roman"/>
                      <w:b/>
                      <w:bCs/>
                      <w:color w:val="auto"/>
                      <w:sz w:val="21"/>
                      <w:szCs w:val="21"/>
                      <w:highlight w:val="none"/>
                    </w:rPr>
                    <w:t>、</w:t>
                  </w:r>
                  <w:r>
                    <w:rPr>
                      <w:rFonts w:hint="default" w:ascii="Times New Roman" w:hAnsi="Times New Roman" w:cs="Times New Roman"/>
                      <w:b/>
                      <w:bCs/>
                      <w:color w:val="auto"/>
                      <w:sz w:val="21"/>
                      <w:szCs w:val="21"/>
                      <w:highlight w:val="none"/>
                    </w:rPr>
                    <w:fldChar w:fldCharType="begin"/>
                  </w:r>
                  <w:r>
                    <w:rPr>
                      <w:rFonts w:hint="default" w:ascii="Times New Roman" w:hAnsi="Times New Roman" w:cs="Times New Roman"/>
                      <w:b/>
                      <w:bCs/>
                      <w:color w:val="auto"/>
                      <w:sz w:val="21"/>
                      <w:szCs w:val="21"/>
                      <w:highlight w:val="none"/>
                    </w:rPr>
                    <w:instrText xml:space="preserve"> = 4 \* ROMAN \* MERGEFORMAT </w:instrText>
                  </w:r>
                  <w:r>
                    <w:rPr>
                      <w:rFonts w:hint="default" w:ascii="Times New Roman" w:hAnsi="Times New Roman" w:cs="Times New Roman"/>
                      <w:b/>
                      <w:bCs/>
                      <w:color w:val="auto"/>
                      <w:sz w:val="21"/>
                      <w:szCs w:val="21"/>
                      <w:highlight w:val="none"/>
                    </w:rPr>
                    <w:fldChar w:fldCharType="separate"/>
                  </w:r>
                  <w:r>
                    <w:rPr>
                      <w:rFonts w:hint="default" w:ascii="Times New Roman" w:hAnsi="Times New Roman" w:cs="Times New Roman"/>
                      <w:b/>
                      <w:bCs/>
                      <w:color w:val="auto"/>
                      <w:sz w:val="21"/>
                      <w:szCs w:val="21"/>
                      <w:highlight w:val="none"/>
                    </w:rPr>
                    <w:t>IV</w:t>
                  </w:r>
                  <w:r>
                    <w:rPr>
                      <w:rFonts w:hint="default" w:ascii="Times New Roman" w:hAnsi="Times New Roman" w:cs="Times New Roman"/>
                      <w:b/>
                      <w:bCs/>
                      <w:color w:val="auto"/>
                      <w:sz w:val="21"/>
                      <w:szCs w:val="21"/>
                      <w:highlight w:val="none"/>
                    </w:rPr>
                    <w:fldChar w:fldCharType="end"/>
                  </w:r>
                </w:p>
              </w:tc>
              <w:tc>
                <w:tcPr>
                  <w:tcW w:w="999" w:type="pct"/>
                  <w:tcBorders>
                    <w:top w:val="single" w:color="auto" w:sz="4" w:space="0"/>
                  </w:tcBorders>
                  <w:vAlign w:val="center"/>
                </w:tcPr>
                <w:p w14:paraId="0CFC97BD">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bottom"/>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fldChar w:fldCharType="begin"/>
                  </w:r>
                  <w:r>
                    <w:rPr>
                      <w:rFonts w:hint="default" w:ascii="Times New Roman" w:hAnsi="Times New Roman" w:cs="Times New Roman"/>
                      <w:b/>
                      <w:bCs/>
                      <w:color w:val="auto"/>
                      <w:sz w:val="21"/>
                      <w:szCs w:val="21"/>
                      <w:highlight w:val="none"/>
                    </w:rPr>
                    <w:instrText xml:space="preserve"> = 3 \* ROMAN \* MERGEFORMAT </w:instrText>
                  </w:r>
                  <w:r>
                    <w:rPr>
                      <w:rFonts w:hint="default" w:ascii="Times New Roman" w:hAnsi="Times New Roman" w:cs="Times New Roman"/>
                      <w:b/>
                      <w:bCs/>
                      <w:color w:val="auto"/>
                      <w:sz w:val="21"/>
                      <w:szCs w:val="21"/>
                      <w:highlight w:val="none"/>
                    </w:rPr>
                    <w:fldChar w:fldCharType="separate"/>
                  </w:r>
                  <w:r>
                    <w:rPr>
                      <w:rFonts w:hint="eastAsia" w:cs="Times New Roman"/>
                      <w:b/>
                      <w:bCs/>
                      <w:color w:val="auto"/>
                      <w:sz w:val="21"/>
                      <w:szCs w:val="21"/>
                      <w:highlight w:val="none"/>
                      <w:lang w:eastAsia="zh-CN"/>
                    </w:rPr>
                    <w:t>Ⅲ</w:t>
                  </w:r>
                  <w:r>
                    <w:rPr>
                      <w:rFonts w:hint="default" w:ascii="Times New Roman" w:hAnsi="Times New Roman" w:cs="Times New Roman"/>
                      <w:b/>
                      <w:bCs/>
                      <w:color w:val="auto"/>
                      <w:sz w:val="21"/>
                      <w:szCs w:val="21"/>
                      <w:highlight w:val="none"/>
                    </w:rPr>
                    <w:fldChar w:fldCharType="end"/>
                  </w:r>
                </w:p>
              </w:tc>
              <w:tc>
                <w:tcPr>
                  <w:tcW w:w="1000" w:type="pct"/>
                  <w:tcBorders>
                    <w:top w:val="single" w:color="auto" w:sz="4" w:space="0"/>
                  </w:tcBorders>
                  <w:vAlign w:val="center"/>
                </w:tcPr>
                <w:p w14:paraId="56B2B037">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bottom"/>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fldChar w:fldCharType="begin"/>
                  </w:r>
                  <w:r>
                    <w:rPr>
                      <w:rStyle w:val="37"/>
                      <w:rFonts w:hint="default" w:ascii="Times New Roman" w:hAnsi="Times New Roman" w:cs="Times New Roman"/>
                      <w:b/>
                      <w:bCs/>
                      <w:color w:val="auto"/>
                      <w:sz w:val="21"/>
                      <w:szCs w:val="21"/>
                      <w:highlight w:val="none"/>
                    </w:rPr>
                    <w:instrText xml:space="preserve"> = 2 \* ROMAN \* MERGEFORMAT </w:instrText>
                  </w:r>
                  <w:r>
                    <w:rPr>
                      <w:rFonts w:hint="default" w:ascii="Times New Roman" w:hAnsi="Times New Roman" w:cs="Times New Roman"/>
                      <w:b/>
                      <w:bCs/>
                      <w:color w:val="auto"/>
                      <w:sz w:val="21"/>
                      <w:szCs w:val="21"/>
                      <w:highlight w:val="none"/>
                    </w:rPr>
                    <w:fldChar w:fldCharType="separate"/>
                  </w:r>
                  <w:r>
                    <w:rPr>
                      <w:rFonts w:hint="default" w:ascii="Times New Roman" w:hAnsi="Times New Roman" w:cs="Times New Roman"/>
                      <w:b/>
                      <w:bCs/>
                      <w:color w:val="auto"/>
                      <w:sz w:val="21"/>
                      <w:szCs w:val="21"/>
                      <w:highlight w:val="none"/>
                    </w:rPr>
                    <w:t>II</w:t>
                  </w:r>
                  <w:r>
                    <w:rPr>
                      <w:rFonts w:hint="default" w:ascii="Times New Roman" w:hAnsi="Times New Roman" w:cs="Times New Roman"/>
                      <w:b/>
                      <w:bCs/>
                      <w:color w:val="auto"/>
                      <w:sz w:val="21"/>
                      <w:szCs w:val="21"/>
                      <w:highlight w:val="none"/>
                    </w:rPr>
                    <w:fldChar w:fldCharType="end"/>
                  </w:r>
                </w:p>
              </w:tc>
              <w:tc>
                <w:tcPr>
                  <w:tcW w:w="1000" w:type="pct"/>
                  <w:tcBorders>
                    <w:top w:val="single" w:color="auto" w:sz="4" w:space="0"/>
                    <w:right w:val="single" w:color="auto" w:sz="4" w:space="0"/>
                  </w:tcBorders>
                  <w:vAlign w:val="center"/>
                </w:tcPr>
                <w:p w14:paraId="6322BED8">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right="0" w:firstLine="0" w:firstLineChars="0"/>
                    <w:jc w:val="center"/>
                    <w:textAlignment w:val="bottom"/>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fldChar w:fldCharType="begin"/>
                  </w:r>
                  <w:r>
                    <w:rPr>
                      <w:rFonts w:hint="default" w:ascii="Times New Roman" w:hAnsi="Times New Roman" w:cs="Times New Roman"/>
                      <w:b/>
                      <w:bCs/>
                      <w:color w:val="auto"/>
                      <w:sz w:val="21"/>
                      <w:szCs w:val="21"/>
                      <w:highlight w:val="none"/>
                    </w:rPr>
                    <w:instrText xml:space="preserve"> = 1 \* ROMAN \* MERGEFORMAT </w:instrText>
                  </w:r>
                  <w:r>
                    <w:rPr>
                      <w:rFonts w:hint="default" w:ascii="Times New Roman" w:hAnsi="Times New Roman" w:cs="Times New Roman"/>
                      <w:b/>
                      <w:bCs/>
                      <w:color w:val="auto"/>
                      <w:sz w:val="21"/>
                      <w:szCs w:val="21"/>
                      <w:highlight w:val="none"/>
                    </w:rPr>
                    <w:fldChar w:fldCharType="separate"/>
                  </w:r>
                  <w:r>
                    <w:rPr>
                      <w:rFonts w:hint="default" w:ascii="Times New Roman" w:hAnsi="Times New Roman" w:cs="Times New Roman"/>
                      <w:b/>
                      <w:bCs/>
                      <w:color w:val="auto"/>
                      <w:sz w:val="21"/>
                      <w:szCs w:val="21"/>
                      <w:highlight w:val="none"/>
                    </w:rPr>
                    <w:t>I</w:t>
                  </w:r>
                  <w:r>
                    <w:rPr>
                      <w:rFonts w:hint="default" w:ascii="Times New Roman" w:hAnsi="Times New Roman" w:cs="Times New Roman"/>
                      <w:b/>
                      <w:bCs/>
                      <w:color w:val="auto"/>
                      <w:sz w:val="21"/>
                      <w:szCs w:val="21"/>
                      <w:highlight w:val="none"/>
                    </w:rPr>
                    <w:fldChar w:fldCharType="end"/>
                  </w:r>
                </w:p>
              </w:tc>
            </w:tr>
            <w:tr w14:paraId="636A11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000" w:type="pct"/>
                  <w:tcBorders>
                    <w:left w:val="single" w:color="auto" w:sz="4" w:space="0"/>
                  </w:tcBorders>
                  <w:shd w:val="clear" w:color="auto" w:fill="auto"/>
                  <w:vAlign w:val="center"/>
                </w:tcPr>
                <w:p w14:paraId="19F4183E">
                  <w:pPr>
                    <w:keepNext w:val="0"/>
                    <w:keepLines w:val="0"/>
                    <w:pageBreakBefore w:val="0"/>
                    <w:widowControl/>
                    <w:suppressLineNumbers w:val="0"/>
                    <w:kinsoku/>
                    <w:wordWrap/>
                    <w:overflowPunct/>
                    <w:topLinePunct w:val="0"/>
                    <w:autoSpaceDE w:val="0"/>
                    <w:autoSpaceDN w:val="0"/>
                    <w:bidi w:val="0"/>
                    <w:adjustRightInd/>
                    <w:snapToGrid/>
                    <w:spacing w:beforeAutospacing="0" w:after="0" w:afterAutospacing="0" w:line="240" w:lineRule="auto"/>
                    <w:ind w:left="0" w:right="0" w:firstLine="0" w:firstLineChars="0"/>
                    <w:jc w:val="center"/>
                    <w:textAlignment w:val="bottom"/>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评价工作等级</w:t>
                  </w:r>
                </w:p>
              </w:tc>
              <w:tc>
                <w:tcPr>
                  <w:tcW w:w="1000" w:type="pct"/>
                  <w:shd w:val="clear" w:color="auto" w:fill="auto"/>
                  <w:vAlign w:val="center"/>
                </w:tcPr>
                <w:p w14:paraId="225704FE">
                  <w:pPr>
                    <w:keepNext w:val="0"/>
                    <w:keepLines w:val="0"/>
                    <w:pageBreakBefore w:val="0"/>
                    <w:widowControl/>
                    <w:suppressLineNumbers w:val="0"/>
                    <w:kinsoku/>
                    <w:wordWrap/>
                    <w:overflowPunct/>
                    <w:topLinePunct w:val="0"/>
                    <w:autoSpaceDE w:val="0"/>
                    <w:autoSpaceDN w:val="0"/>
                    <w:bidi w:val="0"/>
                    <w:adjustRightInd/>
                    <w:snapToGrid/>
                    <w:spacing w:beforeAutospacing="0" w:after="0" w:afterAutospacing="0" w:line="240" w:lineRule="auto"/>
                    <w:ind w:left="0" w:right="0" w:firstLine="0" w:firstLineChars="0"/>
                    <w:jc w:val="center"/>
                    <w:textAlignment w:val="bottom"/>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一</w:t>
                  </w:r>
                </w:p>
              </w:tc>
              <w:tc>
                <w:tcPr>
                  <w:tcW w:w="999" w:type="pct"/>
                  <w:shd w:val="clear" w:color="auto" w:fill="auto"/>
                  <w:vAlign w:val="center"/>
                </w:tcPr>
                <w:p w14:paraId="459EBDBF">
                  <w:pPr>
                    <w:keepNext w:val="0"/>
                    <w:keepLines w:val="0"/>
                    <w:pageBreakBefore w:val="0"/>
                    <w:widowControl/>
                    <w:suppressLineNumbers w:val="0"/>
                    <w:kinsoku/>
                    <w:wordWrap/>
                    <w:overflowPunct/>
                    <w:topLinePunct w:val="0"/>
                    <w:autoSpaceDE w:val="0"/>
                    <w:autoSpaceDN w:val="0"/>
                    <w:bidi w:val="0"/>
                    <w:adjustRightInd/>
                    <w:snapToGrid/>
                    <w:spacing w:beforeAutospacing="0" w:after="0" w:afterAutospacing="0" w:line="240" w:lineRule="auto"/>
                    <w:ind w:left="0" w:right="0" w:firstLine="0" w:firstLineChars="0"/>
                    <w:jc w:val="center"/>
                    <w:textAlignment w:val="bottom"/>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二</w:t>
                  </w:r>
                </w:p>
              </w:tc>
              <w:tc>
                <w:tcPr>
                  <w:tcW w:w="1000" w:type="pct"/>
                  <w:shd w:val="clear" w:color="auto" w:fill="auto"/>
                  <w:vAlign w:val="center"/>
                </w:tcPr>
                <w:p w14:paraId="4F91BA2B">
                  <w:pPr>
                    <w:keepNext w:val="0"/>
                    <w:keepLines w:val="0"/>
                    <w:pageBreakBefore w:val="0"/>
                    <w:widowControl/>
                    <w:suppressLineNumbers w:val="0"/>
                    <w:kinsoku/>
                    <w:wordWrap/>
                    <w:overflowPunct/>
                    <w:topLinePunct w:val="0"/>
                    <w:autoSpaceDE w:val="0"/>
                    <w:autoSpaceDN w:val="0"/>
                    <w:bidi w:val="0"/>
                    <w:adjustRightInd/>
                    <w:snapToGrid/>
                    <w:spacing w:beforeAutospacing="0" w:after="0" w:afterAutospacing="0" w:line="240" w:lineRule="auto"/>
                    <w:ind w:left="0" w:right="0" w:firstLine="0" w:firstLineChars="0"/>
                    <w:jc w:val="center"/>
                    <w:textAlignment w:val="bottom"/>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三</w:t>
                  </w:r>
                </w:p>
              </w:tc>
              <w:tc>
                <w:tcPr>
                  <w:tcW w:w="1000" w:type="pct"/>
                  <w:tcBorders>
                    <w:right w:val="single" w:color="auto" w:sz="4" w:space="0"/>
                  </w:tcBorders>
                  <w:shd w:val="clear" w:color="auto" w:fill="D7D7D7"/>
                  <w:vAlign w:val="center"/>
                </w:tcPr>
                <w:p w14:paraId="2B27EC1D">
                  <w:pPr>
                    <w:keepNext w:val="0"/>
                    <w:keepLines w:val="0"/>
                    <w:pageBreakBefore w:val="0"/>
                    <w:widowControl/>
                    <w:suppressLineNumbers w:val="0"/>
                    <w:kinsoku/>
                    <w:wordWrap/>
                    <w:overflowPunct/>
                    <w:topLinePunct w:val="0"/>
                    <w:autoSpaceDE w:val="0"/>
                    <w:autoSpaceDN w:val="0"/>
                    <w:bidi w:val="0"/>
                    <w:adjustRightInd/>
                    <w:snapToGrid/>
                    <w:spacing w:beforeAutospacing="0" w:after="0" w:afterAutospacing="0" w:line="240" w:lineRule="auto"/>
                    <w:ind w:left="0" w:right="0" w:firstLine="0" w:firstLineChars="0"/>
                    <w:jc w:val="center"/>
                    <w:textAlignment w:val="bottom"/>
                    <w:rPr>
                      <w:rFonts w:hint="default" w:ascii="Times New Roman" w:hAnsi="Times New Roman" w:cs="Times New Roman"/>
                      <w:color w:val="auto"/>
                      <w:sz w:val="21"/>
                      <w:szCs w:val="21"/>
                      <w:highlight w:val="none"/>
                      <w:vertAlign w:val="superscript"/>
                    </w:rPr>
                  </w:pPr>
                  <w:r>
                    <w:rPr>
                      <w:rFonts w:hint="default" w:ascii="Times New Roman" w:hAnsi="Times New Roman" w:cs="Times New Roman"/>
                      <w:color w:val="auto"/>
                      <w:sz w:val="21"/>
                      <w:szCs w:val="21"/>
                      <w:highlight w:val="none"/>
                    </w:rPr>
                    <w:t>简单分析</w:t>
                  </w:r>
                  <w:r>
                    <w:rPr>
                      <w:rFonts w:hint="default" w:ascii="Times New Roman" w:hAnsi="Times New Roman" w:cs="Times New Roman"/>
                      <w:color w:val="auto"/>
                      <w:sz w:val="21"/>
                      <w:szCs w:val="21"/>
                      <w:highlight w:val="none"/>
                      <w:vertAlign w:val="superscript"/>
                    </w:rPr>
                    <w:t>a</w:t>
                  </w:r>
                </w:p>
              </w:tc>
            </w:tr>
            <w:tr w14:paraId="2DE06C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5000" w:type="pct"/>
                  <w:gridSpan w:val="5"/>
                  <w:tcBorders>
                    <w:left w:val="single" w:color="auto" w:sz="4" w:space="0"/>
                    <w:bottom w:val="single" w:color="auto" w:sz="4" w:space="0"/>
                    <w:right w:val="single" w:color="auto" w:sz="4" w:space="0"/>
                  </w:tcBorders>
                  <w:vAlign w:val="center"/>
                </w:tcPr>
                <w:p w14:paraId="51812461">
                  <w:pPr>
                    <w:keepNext w:val="0"/>
                    <w:keepLines w:val="0"/>
                    <w:pageBreakBefore w:val="0"/>
                    <w:widowControl/>
                    <w:suppressLineNumbers w:val="0"/>
                    <w:kinsoku/>
                    <w:wordWrap/>
                    <w:overflowPunct/>
                    <w:topLinePunct w:val="0"/>
                    <w:autoSpaceDE w:val="0"/>
                    <w:autoSpaceDN w:val="0"/>
                    <w:bidi w:val="0"/>
                    <w:adjustRightInd/>
                    <w:snapToGrid/>
                    <w:spacing w:beforeAutospacing="0" w:after="0" w:afterAutospacing="0" w:line="240" w:lineRule="auto"/>
                    <w:ind w:left="0" w:right="0" w:firstLine="0" w:firstLineChars="0"/>
                    <w:textAlignment w:val="bottom"/>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vertAlign w:val="superscript"/>
                    </w:rPr>
                    <w:t>a</w:t>
                  </w:r>
                  <w:r>
                    <w:rPr>
                      <w:rFonts w:hint="default" w:ascii="Times New Roman" w:hAnsi="Times New Roman" w:cs="Times New Roman"/>
                      <w:color w:val="auto"/>
                      <w:sz w:val="21"/>
                      <w:szCs w:val="21"/>
                      <w:highlight w:val="none"/>
                    </w:rPr>
                    <w:t>是相对详细评价工作内容而言，在描述危险物质、环境影响途径、环境危害后果、风险防范措施等方面给出定性说明。见导则附录A</w:t>
                  </w:r>
                </w:p>
              </w:tc>
            </w:tr>
          </w:tbl>
          <w:p w14:paraId="248B411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根据《建设项目环境风险评价技术导则》（HJ169-2018）规定，Q＜1，本项目环境风险潜势为I，评价工作等级为简单分析。</w:t>
            </w:r>
          </w:p>
          <w:p w14:paraId="65BD4EE9">
            <w:pPr>
              <w:pStyle w:val="4"/>
              <w:keepNext/>
              <w:keepLines/>
              <w:pageBreakBefore w:val="0"/>
              <w:widowControl w:val="0"/>
              <w:kinsoku/>
              <w:wordWrap/>
              <w:overflowPunct/>
              <w:topLinePunct w:val="0"/>
              <w:autoSpaceDE/>
              <w:autoSpaceDN/>
              <w:bidi w:val="0"/>
              <w:adjustRightInd/>
              <w:snapToGrid/>
              <w:spacing w:before="0" w:beforeLines="0" w:after="0" w:afterLines="0"/>
              <w:ind w:left="0" w:leftChars="0"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风险源分布情况</w:t>
            </w:r>
          </w:p>
          <w:p w14:paraId="4ADF5878">
            <w:pPr>
              <w:pStyle w:val="16"/>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color w:val="auto"/>
                <w:spacing w:val="0"/>
                <w:w w:val="100"/>
                <w:position w:val="0"/>
                <w:sz w:val="24"/>
                <w:szCs w:val="24"/>
                <w:highlight w:val="none"/>
                <w:lang w:val="en-US" w:eastAsia="zh-CN"/>
              </w:rPr>
            </w:pPr>
            <w:r>
              <w:rPr>
                <w:rFonts w:hint="default" w:ascii="Times New Roman" w:hAnsi="Times New Roman" w:cs="Times New Roman"/>
                <w:color w:val="auto"/>
                <w:spacing w:val="0"/>
                <w:w w:val="100"/>
                <w:position w:val="0"/>
                <w:sz w:val="24"/>
                <w:szCs w:val="24"/>
                <w:highlight w:val="none"/>
                <w:lang w:val="en-US" w:eastAsia="zh-CN"/>
              </w:rPr>
              <w:t>根据《建设项目环境风险评价技术导则》（HJ169-2018），危险单元是由一个或多个风险源构成的具有独立功能的单元，事故状态下应可实现与其他功能单元的分割。</w:t>
            </w:r>
          </w:p>
          <w:p w14:paraId="74F01CDC">
            <w:pPr>
              <w:pStyle w:val="16"/>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color w:val="auto"/>
                <w:spacing w:val="0"/>
                <w:w w:val="100"/>
                <w:position w:val="0"/>
                <w:sz w:val="24"/>
                <w:szCs w:val="24"/>
                <w:highlight w:val="none"/>
                <w:lang w:val="en-US" w:eastAsia="zh-CN"/>
              </w:rPr>
            </w:pPr>
            <w:r>
              <w:rPr>
                <w:rFonts w:hint="default" w:ascii="Times New Roman" w:hAnsi="Times New Roman" w:cs="Times New Roman"/>
                <w:color w:val="auto"/>
                <w:spacing w:val="0"/>
                <w:w w:val="100"/>
                <w:position w:val="0"/>
                <w:sz w:val="24"/>
                <w:szCs w:val="24"/>
                <w:highlight w:val="none"/>
                <w:lang w:val="en-US" w:eastAsia="zh-CN"/>
              </w:rPr>
              <w:t>本项目涉及环境风险物质的单元主要为化学药品室及生物药品室。</w:t>
            </w:r>
          </w:p>
          <w:p w14:paraId="4D4BFC48">
            <w:pPr>
              <w:pStyle w:val="4"/>
              <w:keepNext/>
              <w:keepLines/>
              <w:pageBreakBefore w:val="0"/>
              <w:widowControl w:val="0"/>
              <w:kinsoku/>
              <w:wordWrap/>
              <w:overflowPunct/>
              <w:topLinePunct w:val="0"/>
              <w:autoSpaceDE/>
              <w:autoSpaceDN/>
              <w:bidi w:val="0"/>
              <w:adjustRightInd/>
              <w:snapToGrid/>
              <w:spacing w:before="0" w:beforeLines="0" w:after="0" w:afterLines="0"/>
              <w:ind w:left="0" w:leftChars="0"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环境风险影响分析</w:t>
            </w:r>
          </w:p>
          <w:p w14:paraId="7CCBB83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pacing w:val="0"/>
                <w:w w:val="100"/>
                <w:position w:val="0"/>
                <w:sz w:val="24"/>
                <w:szCs w:val="24"/>
                <w:highlight w:val="none"/>
                <w:lang w:eastAsia="zh-CN"/>
              </w:rPr>
            </w:pPr>
            <w:r>
              <w:rPr>
                <w:rFonts w:hint="default" w:ascii="Times New Roman" w:hAnsi="Times New Roman" w:eastAsia="宋体" w:cs="Times New Roman"/>
                <w:color w:val="auto"/>
                <w:spacing w:val="0"/>
                <w:w w:val="100"/>
                <w:position w:val="0"/>
                <w:sz w:val="24"/>
                <w:szCs w:val="24"/>
                <w:highlight w:val="none"/>
                <w:lang w:val="en-US" w:eastAsia="zh-CN"/>
              </w:rPr>
              <w:t>（1）风险识别</w:t>
            </w:r>
          </w:p>
          <w:p w14:paraId="432FAA74">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pacing w:val="0"/>
                <w:w w:val="100"/>
                <w:position w:val="0"/>
                <w:sz w:val="24"/>
                <w:szCs w:val="24"/>
                <w:highlight w:val="none"/>
                <w:lang w:eastAsia="zh-CN"/>
              </w:rPr>
            </w:pPr>
            <w:r>
              <w:rPr>
                <w:rFonts w:hint="default" w:ascii="Times New Roman" w:hAnsi="Times New Roman" w:eastAsia="宋体" w:cs="Times New Roman"/>
                <w:color w:val="auto"/>
                <w:spacing w:val="0"/>
                <w:w w:val="100"/>
                <w:position w:val="0"/>
                <w:sz w:val="24"/>
                <w:szCs w:val="24"/>
                <w:highlight w:val="none"/>
                <w:lang w:val="en-US" w:eastAsia="zh-CN"/>
              </w:rPr>
              <w:t>本项目运营过程中的安全事故或其他的一些突发性事故会导致环境风险物质泄漏到环境中，引起环境质量的下降甚至恶性循环化以及其他的环境毒性效应。该项目风险源有：</w:t>
            </w:r>
          </w:p>
          <w:p w14:paraId="6E54C870">
            <w:pPr>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bCs/>
                <w:color w:val="auto"/>
                <w:sz w:val="24"/>
                <w:highlight w:val="none"/>
              </w:rPr>
            </w:pPr>
            <w:r>
              <w:rPr>
                <w:rFonts w:hint="default" w:ascii="Times New Roman" w:hAnsi="Times New Roman" w:eastAsia="宋体" w:cs="Times New Roman"/>
                <w:color w:val="auto"/>
                <w:spacing w:val="0"/>
                <w:w w:val="100"/>
                <w:position w:val="0"/>
                <w:sz w:val="24"/>
                <w:szCs w:val="24"/>
                <w:highlight w:val="none"/>
                <w:lang w:val="en-US" w:eastAsia="zh-CN"/>
              </w:rPr>
              <w:t>化学品：本项目教学期间涉及多种化学品的使用，由于</w:t>
            </w:r>
            <w:r>
              <w:rPr>
                <w:rFonts w:hint="default" w:ascii="Times New Roman" w:hAnsi="Times New Roman" w:cs="Times New Roman"/>
                <w:bCs/>
                <w:color w:val="auto"/>
                <w:sz w:val="24"/>
                <w:highlight w:val="none"/>
              </w:rPr>
              <w:t>实验人员操作失误、仪器设备破损、储存过程中储存容器破裂等造成化学药剂泄漏，液体挥发扩散进入大气，</w:t>
            </w:r>
            <w:r>
              <w:rPr>
                <w:rFonts w:hint="default" w:ascii="Times New Roman" w:hAnsi="Times New Roman" w:eastAsia="宋体" w:cs="Times New Roman"/>
                <w:color w:val="auto"/>
                <w:spacing w:val="0"/>
                <w:w w:val="100"/>
                <w:position w:val="0"/>
                <w:sz w:val="24"/>
                <w:szCs w:val="24"/>
                <w:highlight w:val="none"/>
                <w:lang w:val="en-US" w:eastAsia="zh-CN"/>
              </w:rPr>
              <w:t>可能导致人员中毒或者</w:t>
            </w:r>
            <w:r>
              <w:rPr>
                <w:rFonts w:hint="default" w:ascii="Times New Roman" w:hAnsi="Times New Roman" w:cs="Times New Roman"/>
                <w:bCs/>
                <w:color w:val="auto"/>
                <w:sz w:val="24"/>
                <w:highlight w:val="none"/>
              </w:rPr>
              <w:t>泄漏的易燃液体遇火花/高热引发局部火灾，引发爆炸事故，进而引发伴生/次生污染物排放，造成环境风险。</w:t>
            </w:r>
          </w:p>
          <w:p w14:paraId="0905E7D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pacing w:val="0"/>
                <w:w w:val="100"/>
                <w:position w:val="0"/>
                <w:sz w:val="24"/>
                <w:szCs w:val="24"/>
                <w:highlight w:val="none"/>
                <w:lang w:eastAsia="zh-CN"/>
              </w:rPr>
            </w:pPr>
            <w:r>
              <w:rPr>
                <w:rFonts w:hint="default" w:ascii="Times New Roman" w:hAnsi="Times New Roman" w:eastAsia="宋体" w:cs="Times New Roman"/>
                <w:color w:val="auto"/>
                <w:spacing w:val="0"/>
                <w:w w:val="100"/>
                <w:position w:val="0"/>
                <w:sz w:val="24"/>
                <w:szCs w:val="24"/>
                <w:highlight w:val="none"/>
                <w:lang w:val="en-US" w:eastAsia="zh-CN"/>
              </w:rPr>
              <w:t>（2）风险影响分析</w:t>
            </w:r>
          </w:p>
          <w:p w14:paraId="0DA7329E">
            <w:pPr>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本项目化学药剂盛装容器不大，发生泄漏时，可立即将化学药剂进行收集，对残留物用抹布和自来水进行洗消，实验室桌、地面均采用防腐防渗材料，泄漏液体不会流出实验室区域，对地表水、地下水及土壤影响很小。</w:t>
            </w:r>
          </w:p>
          <w:p w14:paraId="7621C13B">
            <w:pPr>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局部火灾发生后，如不能及时扑灭，可能会引爆危险化学品，造成化学品挥发/泄漏，并引发伴生/次生污染物排放。本项目危险化学品储量较小，且每个实验室试剂分开储存，发生事故后挥发的有害气体量较少，仅会对发生事故的实验室、</w:t>
            </w:r>
            <w:r>
              <w:rPr>
                <w:rFonts w:hint="default" w:ascii="Times New Roman" w:hAnsi="Times New Roman" w:cs="Times New Roman"/>
                <w:bCs/>
                <w:color w:val="auto"/>
                <w:sz w:val="24"/>
                <w:highlight w:val="none"/>
                <w:lang w:eastAsia="zh-CN"/>
              </w:rPr>
              <w:t>试剂</w:t>
            </w:r>
            <w:r>
              <w:rPr>
                <w:rFonts w:hint="default" w:ascii="Times New Roman" w:hAnsi="Times New Roman" w:cs="Times New Roman"/>
                <w:bCs/>
                <w:color w:val="auto"/>
                <w:sz w:val="24"/>
                <w:highlight w:val="none"/>
              </w:rPr>
              <w:t>储存间及其周围造成一定的污染，经过自然扩散后，对周围的空气环境影响不大。</w:t>
            </w:r>
          </w:p>
          <w:p w14:paraId="51097734">
            <w:pPr>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综上所述，本项目产生的环境污染风险是局部的，在可控制范围内，影响范围主要在事故地点或项目区范围内，发生风险事故对周围的环境影响较小。</w:t>
            </w:r>
          </w:p>
          <w:p w14:paraId="526F949A">
            <w:pPr>
              <w:pStyle w:val="4"/>
              <w:keepNext/>
              <w:keepLines/>
              <w:pageBreakBefore w:val="0"/>
              <w:widowControl w:val="0"/>
              <w:kinsoku/>
              <w:wordWrap/>
              <w:overflowPunct/>
              <w:topLinePunct w:val="0"/>
              <w:autoSpaceDE/>
              <w:autoSpaceDN/>
              <w:bidi w:val="0"/>
              <w:adjustRightInd/>
              <w:snapToGrid/>
              <w:spacing w:before="0" w:beforeLines="0" w:after="0" w:afterLines="0"/>
              <w:ind w:left="0" w:leftChars="0"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风险防范措施</w:t>
            </w:r>
          </w:p>
          <w:p w14:paraId="3636EB7E">
            <w:pPr>
              <w:keepNext w:val="0"/>
              <w:keepLines w:val="0"/>
              <w:pageBreakBefore w:val="0"/>
              <w:widowControl/>
              <w:kinsoku/>
              <w:wordWrap/>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b w:val="0"/>
                <w:bCs w:val="0"/>
                <w:color w:val="auto"/>
                <w:kern w:val="0"/>
                <w:sz w:val="24"/>
                <w:highlight w:val="none"/>
                <w:u w:val="none"/>
                <w:lang w:eastAsia="zh-CN" w:bidi="ar"/>
              </w:rPr>
            </w:pPr>
            <w:r>
              <w:rPr>
                <w:rFonts w:hint="default" w:ascii="Times New Roman" w:hAnsi="Times New Roman" w:eastAsia="宋体" w:cs="Times New Roman"/>
                <w:b w:val="0"/>
                <w:bCs w:val="0"/>
                <w:color w:val="auto"/>
                <w:kern w:val="0"/>
                <w:sz w:val="24"/>
                <w:highlight w:val="none"/>
                <w:u w:val="none"/>
                <w:lang w:val="en-US" w:eastAsia="zh-CN" w:bidi="ar"/>
              </w:rPr>
              <w:t>（1）学校化学品管理制度</w:t>
            </w:r>
          </w:p>
          <w:p w14:paraId="27A6A373">
            <w:pPr>
              <w:keepNext w:val="0"/>
              <w:keepLines w:val="0"/>
              <w:pageBreakBefore w:val="0"/>
              <w:widowControl/>
              <w:kinsoku/>
              <w:wordWrap/>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color w:val="auto"/>
                <w:spacing w:val="0"/>
                <w:w w:val="100"/>
                <w:position w:val="0"/>
                <w:sz w:val="24"/>
                <w:szCs w:val="24"/>
                <w:highlight w:val="none"/>
                <w:lang w:eastAsia="zh-CN"/>
              </w:rPr>
            </w:pPr>
            <w:r>
              <w:rPr>
                <w:rFonts w:hint="default" w:ascii="Times New Roman" w:hAnsi="Times New Roman" w:eastAsia="宋体" w:cs="Times New Roman"/>
                <w:b w:val="0"/>
                <w:bCs w:val="0"/>
                <w:color w:val="auto"/>
                <w:kern w:val="0"/>
                <w:sz w:val="24"/>
                <w:highlight w:val="none"/>
                <w:u w:val="none"/>
                <w:lang w:val="en-US" w:eastAsia="zh-CN" w:bidi="ar"/>
              </w:rPr>
              <w:t>为了尽量</w:t>
            </w:r>
            <w:r>
              <w:rPr>
                <w:rFonts w:hint="default" w:ascii="Times New Roman" w:hAnsi="Times New Roman" w:eastAsia="宋体" w:cs="Times New Roman"/>
                <w:color w:val="auto"/>
                <w:spacing w:val="0"/>
                <w:w w:val="100"/>
                <w:position w:val="0"/>
                <w:sz w:val="24"/>
                <w:szCs w:val="24"/>
                <w:highlight w:val="none"/>
                <w:lang w:val="en-US" w:eastAsia="zh-CN"/>
              </w:rPr>
              <w:t>降低危险物品的环境风险，学校应制定实验室危险物品管理制度，具体要求如下：</w:t>
            </w:r>
          </w:p>
          <w:p w14:paraId="120D62F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pacing w:val="0"/>
                <w:w w:val="100"/>
                <w:position w:val="0"/>
                <w:sz w:val="24"/>
                <w:szCs w:val="24"/>
                <w:highlight w:val="none"/>
                <w:lang w:eastAsia="zh-CN"/>
              </w:rPr>
            </w:pPr>
            <w:r>
              <w:rPr>
                <w:rFonts w:hint="default" w:ascii="Times New Roman" w:hAnsi="Times New Roman" w:eastAsia="宋体" w:cs="Times New Roman"/>
                <w:color w:val="auto"/>
                <w:spacing w:val="0"/>
                <w:w w:val="100"/>
                <w:position w:val="0"/>
                <w:sz w:val="24"/>
                <w:szCs w:val="24"/>
                <w:highlight w:val="none"/>
                <w:lang w:val="en-US" w:eastAsia="zh-CN"/>
              </w:rPr>
              <w:t>①危险品必须指定熟悉危险品业务的专人保管，药品库内要配备消防、防盗、通风等防护设施，严禁烟火。做好基础的防渗、防潮、防漏处理。</w:t>
            </w:r>
          </w:p>
          <w:p w14:paraId="5B1F8FA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pacing w:val="0"/>
                <w:w w:val="100"/>
                <w:position w:val="0"/>
                <w:sz w:val="24"/>
                <w:szCs w:val="24"/>
                <w:highlight w:val="none"/>
                <w:lang w:eastAsia="zh-CN"/>
              </w:rPr>
            </w:pPr>
            <w:r>
              <w:rPr>
                <w:rFonts w:hint="default" w:ascii="Times New Roman" w:hAnsi="Times New Roman" w:eastAsia="宋体" w:cs="Times New Roman"/>
                <w:color w:val="auto"/>
                <w:spacing w:val="0"/>
                <w:w w:val="100"/>
                <w:position w:val="0"/>
                <w:sz w:val="24"/>
                <w:szCs w:val="24"/>
                <w:highlight w:val="none"/>
                <w:lang w:val="en-US" w:eastAsia="zh-CN"/>
              </w:rPr>
              <w:t>②要将危险品分隔存放在危险品柜内，存放剧毒药品的专柜要双人双锁保管，禁止在实验室内存放食品。</w:t>
            </w:r>
          </w:p>
          <w:p w14:paraId="0E77597B">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pacing w:val="0"/>
                <w:w w:val="100"/>
                <w:position w:val="0"/>
                <w:sz w:val="24"/>
                <w:szCs w:val="24"/>
                <w:highlight w:val="none"/>
                <w:lang w:eastAsia="zh-CN"/>
              </w:rPr>
            </w:pPr>
            <w:r>
              <w:rPr>
                <w:rFonts w:hint="default" w:ascii="Times New Roman" w:hAnsi="Times New Roman" w:eastAsia="宋体" w:cs="Times New Roman"/>
                <w:color w:val="auto"/>
                <w:spacing w:val="0"/>
                <w:w w:val="100"/>
                <w:position w:val="0"/>
                <w:sz w:val="24"/>
                <w:szCs w:val="24"/>
                <w:highlight w:val="none"/>
                <w:lang w:val="en-US" w:eastAsia="zh-CN"/>
              </w:rPr>
              <w:t>③要严格危险品的使用手续，必须由教师领取签章并负责需出药品的安全保护工作，防止发生意外，严禁学生代领。</w:t>
            </w:r>
          </w:p>
          <w:p w14:paraId="129042D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pacing w:val="0"/>
                <w:w w:val="100"/>
                <w:position w:val="0"/>
                <w:sz w:val="24"/>
                <w:szCs w:val="24"/>
                <w:highlight w:val="none"/>
                <w:lang w:eastAsia="zh-CN"/>
              </w:rPr>
            </w:pPr>
            <w:r>
              <w:rPr>
                <w:rFonts w:hint="default" w:ascii="Times New Roman" w:hAnsi="Times New Roman" w:eastAsia="宋体" w:cs="Times New Roman"/>
                <w:color w:val="auto"/>
                <w:spacing w:val="0"/>
                <w:w w:val="100"/>
                <w:position w:val="0"/>
                <w:sz w:val="24"/>
                <w:szCs w:val="24"/>
                <w:highlight w:val="none"/>
                <w:lang w:val="en-US" w:eastAsia="zh-CN"/>
              </w:rPr>
              <w:t>④学生使用危险品实验时，教师应详细指导，并说明危险性。</w:t>
            </w:r>
          </w:p>
          <w:p w14:paraId="370EF96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pacing w:val="0"/>
                <w:w w:val="100"/>
                <w:position w:val="0"/>
                <w:sz w:val="24"/>
                <w:szCs w:val="24"/>
                <w:highlight w:val="none"/>
                <w:lang w:val="en-US" w:eastAsia="zh-CN"/>
              </w:rPr>
            </w:pPr>
            <w:r>
              <w:rPr>
                <w:rFonts w:hint="default" w:ascii="Times New Roman" w:hAnsi="Times New Roman" w:eastAsia="宋体" w:cs="Times New Roman"/>
                <w:color w:val="auto"/>
                <w:spacing w:val="0"/>
                <w:w w:val="100"/>
                <w:position w:val="0"/>
                <w:sz w:val="24"/>
                <w:szCs w:val="24"/>
                <w:highlight w:val="none"/>
                <w:lang w:val="en-US" w:eastAsia="zh-CN"/>
              </w:rPr>
              <w:t>⑤使用后剩余的危险品，应立即送还并妥善保管。对废液、残物，要认真按国家有关要求处理好。</w:t>
            </w:r>
          </w:p>
          <w:p w14:paraId="53C5D767">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pacing w:val="0"/>
                <w:w w:val="100"/>
                <w:position w:val="0"/>
                <w:sz w:val="24"/>
                <w:szCs w:val="24"/>
                <w:highlight w:val="none"/>
                <w:lang w:eastAsia="zh-CN"/>
              </w:rPr>
            </w:pPr>
            <w:r>
              <w:rPr>
                <w:rFonts w:hint="default" w:ascii="Times New Roman" w:hAnsi="Times New Roman" w:eastAsia="宋体" w:cs="Times New Roman"/>
                <w:color w:val="auto"/>
                <w:spacing w:val="0"/>
                <w:w w:val="100"/>
                <w:position w:val="0"/>
                <w:sz w:val="24"/>
                <w:szCs w:val="24"/>
                <w:highlight w:val="none"/>
                <w:lang w:val="en-US" w:eastAsia="zh-CN"/>
              </w:rPr>
              <w:t>⑥制定严格的防火、防爆制度，加强职工的安全意识，定期对职工进行如何避免火灾发生、安全消防知识教育，组织安全队伍，建立安全监督机制，进行安全考核等。</w:t>
            </w:r>
          </w:p>
          <w:p w14:paraId="556EB77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pacing w:val="0"/>
                <w:w w:val="100"/>
                <w:position w:val="0"/>
                <w:sz w:val="24"/>
                <w:szCs w:val="24"/>
                <w:highlight w:val="none"/>
                <w:lang w:eastAsia="zh-CN"/>
              </w:rPr>
            </w:pPr>
            <w:r>
              <w:rPr>
                <w:rFonts w:hint="default" w:ascii="Times New Roman" w:hAnsi="Times New Roman" w:eastAsia="宋体" w:cs="Times New Roman"/>
                <w:color w:val="auto"/>
                <w:spacing w:val="0"/>
                <w:w w:val="100"/>
                <w:position w:val="0"/>
                <w:sz w:val="24"/>
                <w:szCs w:val="24"/>
                <w:highlight w:val="none"/>
                <w:lang w:val="en-US" w:eastAsia="zh-CN"/>
              </w:rPr>
              <w:t>⑦对违规操作出现事故的，追究相关人员的责任。</w:t>
            </w:r>
          </w:p>
          <w:p w14:paraId="25C2154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pacing w:val="0"/>
                <w:w w:val="100"/>
                <w:position w:val="0"/>
                <w:sz w:val="24"/>
                <w:szCs w:val="24"/>
                <w:highlight w:val="none"/>
                <w:lang w:val="en-US" w:eastAsia="zh-CN"/>
              </w:rPr>
            </w:pPr>
            <w:r>
              <w:rPr>
                <w:rFonts w:hint="default" w:ascii="Times New Roman" w:hAnsi="Times New Roman" w:eastAsia="宋体" w:cs="Times New Roman"/>
                <w:color w:val="auto"/>
                <w:spacing w:val="0"/>
                <w:w w:val="100"/>
                <w:position w:val="0"/>
                <w:sz w:val="24"/>
                <w:szCs w:val="24"/>
                <w:highlight w:val="none"/>
                <w:lang w:val="en-US" w:eastAsia="zh-CN"/>
              </w:rPr>
              <w:t>（</w:t>
            </w:r>
            <w:r>
              <w:rPr>
                <w:rFonts w:hint="eastAsia" w:ascii="Times New Roman" w:hAnsi="Times New Roman" w:eastAsia="宋体" w:cs="Times New Roman"/>
                <w:color w:val="auto"/>
                <w:spacing w:val="0"/>
                <w:w w:val="100"/>
                <w:position w:val="0"/>
                <w:sz w:val="24"/>
                <w:szCs w:val="24"/>
                <w:highlight w:val="none"/>
                <w:lang w:val="en-US" w:eastAsia="zh-CN"/>
              </w:rPr>
              <w:t>2</w:t>
            </w:r>
            <w:r>
              <w:rPr>
                <w:rFonts w:hint="default" w:ascii="Times New Roman" w:hAnsi="Times New Roman" w:eastAsia="宋体" w:cs="Times New Roman"/>
                <w:color w:val="auto"/>
                <w:spacing w:val="0"/>
                <w:w w:val="100"/>
                <w:position w:val="0"/>
                <w:sz w:val="24"/>
                <w:szCs w:val="24"/>
                <w:highlight w:val="none"/>
                <w:lang w:val="en-US" w:eastAsia="zh-CN"/>
              </w:rPr>
              <w:t>）制定环境风险应急预案。</w:t>
            </w:r>
          </w:p>
          <w:p w14:paraId="7C3C14A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color w:val="auto"/>
                <w:sz w:val="24"/>
                <w:highlight w:val="none"/>
              </w:rPr>
            </w:pPr>
            <w:r>
              <w:rPr>
                <w:rFonts w:hint="default" w:ascii="Times New Roman" w:hAnsi="Times New Roman" w:eastAsia="宋体" w:cs="Times New Roman"/>
                <w:color w:val="auto"/>
                <w:spacing w:val="0"/>
                <w:w w:val="100"/>
                <w:position w:val="0"/>
                <w:sz w:val="24"/>
                <w:szCs w:val="24"/>
                <w:highlight w:val="none"/>
                <w:lang w:val="en-US" w:eastAsia="zh-CN"/>
              </w:rPr>
              <w:t>（</w:t>
            </w:r>
            <w:r>
              <w:rPr>
                <w:rFonts w:hint="eastAsia" w:ascii="Times New Roman" w:hAnsi="Times New Roman" w:eastAsia="宋体" w:cs="Times New Roman"/>
                <w:color w:val="auto"/>
                <w:spacing w:val="0"/>
                <w:w w:val="100"/>
                <w:position w:val="0"/>
                <w:sz w:val="24"/>
                <w:szCs w:val="24"/>
                <w:highlight w:val="none"/>
                <w:lang w:val="en-US" w:eastAsia="zh-CN"/>
              </w:rPr>
              <w:t>3</w:t>
            </w:r>
            <w:r>
              <w:rPr>
                <w:rFonts w:hint="default" w:ascii="Times New Roman" w:hAnsi="Times New Roman" w:eastAsia="宋体" w:cs="Times New Roman"/>
                <w:color w:val="auto"/>
                <w:spacing w:val="0"/>
                <w:w w:val="100"/>
                <w:position w:val="0"/>
                <w:sz w:val="24"/>
                <w:szCs w:val="24"/>
                <w:highlight w:val="none"/>
                <w:lang w:val="en-US" w:eastAsia="zh-CN"/>
              </w:rPr>
              <w:t>）建立建设单位、主管部门、当地政府和相关主管部门环境风险应急联动体系。</w:t>
            </w:r>
          </w:p>
          <w:p w14:paraId="50D477FE">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left"/>
              <w:textAlignment w:val="auto"/>
              <w:rPr>
                <w:rFonts w:hint="default" w:ascii="Times New Roman" w:hAnsi="Times New Roman" w:eastAsia="宋体" w:cs="宋体"/>
                <w:b/>
                <w:bCs/>
                <w:color w:val="auto"/>
                <w:highlight w:val="none"/>
                <w:lang w:val="en-US" w:eastAsia="zh-CN"/>
              </w:rPr>
            </w:pPr>
            <w:r>
              <w:rPr>
                <w:rFonts w:hint="default" w:ascii="Times New Roman" w:hAnsi="Times New Roman" w:eastAsia="宋体" w:cs="宋体"/>
                <w:b/>
                <w:bCs/>
                <w:color w:val="auto"/>
                <w:highlight w:val="none"/>
                <w:lang w:val="en-US" w:eastAsia="zh-CN"/>
              </w:rPr>
              <w:t>环保投资</w:t>
            </w:r>
          </w:p>
          <w:p w14:paraId="65548AE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bCs/>
                <w:color w:val="auto"/>
                <w:sz w:val="24"/>
                <w:highlight w:val="none"/>
              </w:rPr>
              <w:t>本项目总投资</w:t>
            </w:r>
            <w:r>
              <w:rPr>
                <w:rFonts w:hint="default" w:ascii="Times New Roman" w:hAnsi="Times New Roman" w:cs="Times New Roman"/>
                <w:bCs/>
                <w:color w:val="auto"/>
                <w:sz w:val="24"/>
                <w:highlight w:val="none"/>
                <w:lang w:val="en-US" w:eastAsia="zh-CN"/>
              </w:rPr>
              <w:t>17241.16</w:t>
            </w:r>
            <w:r>
              <w:rPr>
                <w:rFonts w:hint="default" w:ascii="Times New Roman" w:hAnsi="Times New Roman" w:cs="Times New Roman"/>
                <w:bCs/>
                <w:color w:val="auto"/>
                <w:sz w:val="24"/>
                <w:highlight w:val="none"/>
              </w:rPr>
              <w:t>万元，其中环保投资</w:t>
            </w:r>
            <w:r>
              <w:rPr>
                <w:rFonts w:hint="eastAsia" w:cs="Times New Roman"/>
                <w:bCs/>
                <w:color w:val="auto"/>
                <w:sz w:val="24"/>
                <w:highlight w:val="none"/>
                <w:lang w:val="en-US" w:eastAsia="zh-CN"/>
              </w:rPr>
              <w:t>75.5</w:t>
            </w:r>
            <w:r>
              <w:rPr>
                <w:rFonts w:hint="default" w:ascii="Times New Roman" w:hAnsi="Times New Roman" w:cs="Times New Roman"/>
                <w:bCs/>
                <w:color w:val="auto"/>
                <w:sz w:val="24"/>
                <w:highlight w:val="none"/>
              </w:rPr>
              <w:t>万元，约占总投资的</w:t>
            </w:r>
            <w:r>
              <w:rPr>
                <w:rFonts w:hint="eastAsia" w:ascii="Times New Roman" w:hAnsi="Times New Roman" w:cs="Times New Roman"/>
                <w:bCs/>
                <w:color w:val="auto"/>
                <w:sz w:val="24"/>
                <w:highlight w:val="none"/>
                <w:lang w:val="en-US" w:eastAsia="zh-CN"/>
              </w:rPr>
              <w:t>0.4</w:t>
            </w:r>
            <w:r>
              <w:rPr>
                <w:rFonts w:hint="eastAsia" w:cs="Times New Roman"/>
                <w:bCs/>
                <w:color w:val="auto"/>
                <w:sz w:val="24"/>
                <w:highlight w:val="none"/>
                <w:lang w:val="en-US" w:eastAsia="zh-CN"/>
              </w:rPr>
              <w:t>4</w:t>
            </w:r>
            <w:r>
              <w:rPr>
                <w:rFonts w:hint="default" w:ascii="Times New Roman" w:hAnsi="Times New Roman" w:cs="Times New Roman"/>
                <w:bCs/>
                <w:color w:val="auto"/>
                <w:sz w:val="24"/>
                <w:highlight w:val="none"/>
              </w:rPr>
              <w:t>%，环保投资一览表见下表</w:t>
            </w:r>
            <w:r>
              <w:rPr>
                <w:rFonts w:hint="default" w:ascii="Times New Roman" w:hAnsi="Times New Roman" w:cs="Times New Roman"/>
                <w:bCs/>
                <w:color w:val="auto"/>
                <w:sz w:val="24"/>
                <w:highlight w:val="none"/>
                <w:lang w:eastAsia="zh-CN"/>
              </w:rPr>
              <w:t>。</w:t>
            </w:r>
          </w:p>
          <w:p w14:paraId="633E864B">
            <w:pPr>
              <w:pStyle w:val="59"/>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STYLEREF 1 \s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4</w:t>
            </w:r>
            <w:r>
              <w:rPr>
                <w:rFonts w:hint="default" w:ascii="Times New Roman" w:hAnsi="Times New Roman" w:eastAsia="宋体" w:cs="Times New Roman"/>
                <w:b/>
                <w:bCs/>
                <w:color w:val="auto"/>
                <w:sz w:val="21"/>
                <w:szCs w:val="21"/>
                <w:highlight w:val="none"/>
              </w:rPr>
              <w:fldChar w:fldCharType="end"/>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fldChar w:fldCharType="begin"/>
            </w:r>
            <w:r>
              <w:rPr>
                <w:rFonts w:hint="default" w:ascii="Times New Roman" w:hAnsi="Times New Roman" w:eastAsia="宋体" w:cs="Times New Roman"/>
                <w:b/>
                <w:bCs/>
                <w:color w:val="auto"/>
                <w:sz w:val="21"/>
                <w:szCs w:val="21"/>
                <w:highlight w:val="none"/>
              </w:rPr>
              <w:instrText xml:space="preserve"> SEQ 表 \* ARABIC \s 1 </w:instrText>
            </w:r>
            <w:r>
              <w:rPr>
                <w:rFonts w:hint="default" w:ascii="Times New Roman" w:hAnsi="Times New Roman" w:eastAsia="宋体" w:cs="Times New Roman"/>
                <w:b/>
                <w:bCs/>
                <w:color w:val="auto"/>
                <w:sz w:val="21"/>
                <w:szCs w:val="21"/>
                <w:highlight w:val="none"/>
              </w:rPr>
              <w:fldChar w:fldCharType="separate"/>
            </w:r>
            <w:r>
              <w:rPr>
                <w:rFonts w:hint="default" w:ascii="Times New Roman" w:hAnsi="Times New Roman" w:eastAsia="宋体" w:cs="Times New Roman"/>
                <w:b/>
                <w:bCs/>
                <w:color w:val="auto"/>
                <w:sz w:val="21"/>
                <w:szCs w:val="21"/>
                <w:highlight w:val="none"/>
              </w:rPr>
              <w:t>20</w:t>
            </w:r>
            <w:r>
              <w:rPr>
                <w:rFonts w:hint="default" w:ascii="Times New Roman" w:hAnsi="Times New Roman" w:eastAsia="宋体" w:cs="Times New Roman"/>
                <w:b/>
                <w:bCs/>
                <w:color w:val="auto"/>
                <w:sz w:val="21"/>
                <w:szCs w:val="21"/>
                <w:highlight w:val="none"/>
              </w:rPr>
              <w:fldChar w:fldCharType="end"/>
            </w:r>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环保投资估算一览表</w:t>
            </w:r>
          </w:p>
          <w:tbl>
            <w:tblPr>
              <w:tblStyle w:val="33"/>
              <w:tblW w:w="4985"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28" w:type="dxa"/>
                <w:left w:w="28" w:type="dxa"/>
                <w:bottom w:w="28" w:type="dxa"/>
                <w:right w:w="28" w:type="dxa"/>
              </w:tblCellMar>
            </w:tblPr>
            <w:tblGrid>
              <w:gridCol w:w="387"/>
              <w:gridCol w:w="1818"/>
              <w:gridCol w:w="5330"/>
              <w:gridCol w:w="1040"/>
            </w:tblGrid>
            <w:tr w14:paraId="1FD773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4" w:hRule="atLeast"/>
                <w:tblHeader/>
                <w:jc w:val="center"/>
              </w:trPr>
              <w:tc>
                <w:tcPr>
                  <w:tcW w:w="226" w:type="pct"/>
                  <w:noWrap w:val="0"/>
                  <w:vAlign w:val="center"/>
                </w:tcPr>
                <w:p w14:paraId="57E2419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color w:val="auto"/>
                      <w:spacing w:val="0"/>
                      <w:w w:val="100"/>
                      <w:kern w:val="0"/>
                      <w:position w:val="0"/>
                      <w:sz w:val="21"/>
                      <w:szCs w:val="21"/>
                      <w:highlight w:val="none"/>
                      <w:u w:val="none"/>
                    </w:rPr>
                  </w:pPr>
                  <w:r>
                    <w:rPr>
                      <w:rFonts w:hint="default" w:ascii="Times New Roman" w:hAnsi="Times New Roman" w:eastAsia="宋体" w:cs="Times New Roman"/>
                      <w:b/>
                      <w:color w:val="auto"/>
                      <w:spacing w:val="0"/>
                      <w:w w:val="100"/>
                      <w:kern w:val="0"/>
                      <w:position w:val="0"/>
                      <w:sz w:val="21"/>
                      <w:szCs w:val="21"/>
                      <w:highlight w:val="none"/>
                      <w:u w:val="none"/>
                    </w:rPr>
                    <w:t>类别</w:t>
                  </w:r>
                </w:p>
              </w:tc>
              <w:tc>
                <w:tcPr>
                  <w:tcW w:w="1060" w:type="pct"/>
                  <w:noWrap w:val="0"/>
                  <w:vAlign w:val="center"/>
                </w:tcPr>
                <w:p w14:paraId="377D7B4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color w:val="auto"/>
                      <w:spacing w:val="0"/>
                      <w:w w:val="100"/>
                      <w:kern w:val="0"/>
                      <w:position w:val="0"/>
                      <w:sz w:val="21"/>
                      <w:szCs w:val="21"/>
                      <w:highlight w:val="none"/>
                      <w:u w:val="none"/>
                      <w:lang w:val="en-US" w:eastAsia="zh-CN"/>
                    </w:rPr>
                  </w:pPr>
                  <w:r>
                    <w:rPr>
                      <w:rFonts w:hint="default" w:ascii="Times New Roman" w:hAnsi="Times New Roman" w:eastAsia="宋体" w:cs="Times New Roman"/>
                      <w:b/>
                      <w:color w:val="auto"/>
                      <w:spacing w:val="0"/>
                      <w:w w:val="100"/>
                      <w:kern w:val="0"/>
                      <w:position w:val="0"/>
                      <w:sz w:val="21"/>
                      <w:szCs w:val="21"/>
                      <w:highlight w:val="none"/>
                      <w:u w:val="none"/>
                      <w:lang w:val="en-US" w:eastAsia="zh-CN"/>
                    </w:rPr>
                    <w:t>污染源</w:t>
                  </w:r>
                </w:p>
              </w:tc>
              <w:tc>
                <w:tcPr>
                  <w:tcW w:w="3105" w:type="pct"/>
                  <w:noWrap w:val="0"/>
                  <w:vAlign w:val="center"/>
                </w:tcPr>
                <w:p w14:paraId="08E99D9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color w:val="auto"/>
                      <w:spacing w:val="0"/>
                      <w:w w:val="100"/>
                      <w:kern w:val="0"/>
                      <w:position w:val="0"/>
                      <w:sz w:val="21"/>
                      <w:szCs w:val="21"/>
                      <w:highlight w:val="none"/>
                      <w:u w:val="none"/>
                    </w:rPr>
                  </w:pPr>
                  <w:r>
                    <w:rPr>
                      <w:rFonts w:hint="default" w:ascii="Times New Roman" w:hAnsi="Times New Roman" w:eastAsia="宋体" w:cs="Times New Roman"/>
                      <w:b/>
                      <w:color w:val="auto"/>
                      <w:spacing w:val="0"/>
                      <w:w w:val="100"/>
                      <w:kern w:val="0"/>
                      <w:position w:val="0"/>
                      <w:sz w:val="21"/>
                      <w:szCs w:val="21"/>
                      <w:highlight w:val="none"/>
                      <w:u w:val="none"/>
                    </w:rPr>
                    <w:t>拟采取的</w:t>
                  </w:r>
                  <w:r>
                    <w:rPr>
                      <w:rFonts w:hint="default" w:ascii="Times New Roman" w:hAnsi="Times New Roman" w:eastAsia="宋体" w:cs="Times New Roman"/>
                      <w:b/>
                      <w:color w:val="auto"/>
                      <w:spacing w:val="0"/>
                      <w:w w:val="100"/>
                      <w:kern w:val="0"/>
                      <w:position w:val="0"/>
                      <w:sz w:val="21"/>
                      <w:szCs w:val="21"/>
                      <w:highlight w:val="none"/>
                      <w:u w:val="none"/>
                      <w:lang w:val="en-US" w:eastAsia="zh-CN"/>
                    </w:rPr>
                    <w:t>环保</w:t>
                  </w:r>
                  <w:r>
                    <w:rPr>
                      <w:rFonts w:hint="default" w:ascii="Times New Roman" w:hAnsi="Times New Roman" w:eastAsia="宋体" w:cs="Times New Roman"/>
                      <w:b/>
                      <w:color w:val="auto"/>
                      <w:spacing w:val="0"/>
                      <w:w w:val="100"/>
                      <w:kern w:val="0"/>
                      <w:position w:val="0"/>
                      <w:sz w:val="21"/>
                      <w:szCs w:val="21"/>
                      <w:highlight w:val="none"/>
                      <w:u w:val="none"/>
                    </w:rPr>
                    <w:t>措施</w:t>
                  </w:r>
                </w:p>
              </w:tc>
              <w:tc>
                <w:tcPr>
                  <w:tcW w:w="606" w:type="pct"/>
                  <w:noWrap w:val="0"/>
                  <w:vAlign w:val="center"/>
                </w:tcPr>
                <w:p w14:paraId="34A9E13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color w:val="auto"/>
                      <w:spacing w:val="0"/>
                      <w:w w:val="100"/>
                      <w:kern w:val="0"/>
                      <w:position w:val="0"/>
                      <w:sz w:val="21"/>
                      <w:szCs w:val="21"/>
                      <w:highlight w:val="none"/>
                      <w:u w:val="none"/>
                    </w:rPr>
                  </w:pPr>
                  <w:r>
                    <w:rPr>
                      <w:rFonts w:hint="default" w:ascii="Times New Roman" w:hAnsi="Times New Roman" w:eastAsia="宋体" w:cs="Times New Roman"/>
                      <w:b/>
                      <w:color w:val="auto"/>
                      <w:spacing w:val="0"/>
                      <w:w w:val="100"/>
                      <w:kern w:val="0"/>
                      <w:position w:val="0"/>
                      <w:sz w:val="21"/>
                      <w:szCs w:val="21"/>
                      <w:highlight w:val="none"/>
                      <w:u w:val="none"/>
                    </w:rPr>
                    <w:t>投资估算</w:t>
                  </w:r>
                </w:p>
                <w:p w14:paraId="7C316C6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color w:val="auto"/>
                      <w:spacing w:val="0"/>
                      <w:w w:val="100"/>
                      <w:kern w:val="0"/>
                      <w:position w:val="0"/>
                      <w:sz w:val="21"/>
                      <w:szCs w:val="21"/>
                      <w:highlight w:val="none"/>
                      <w:u w:val="none"/>
                    </w:rPr>
                  </w:pPr>
                  <w:r>
                    <w:rPr>
                      <w:rFonts w:hint="default" w:ascii="Times New Roman" w:hAnsi="Times New Roman" w:eastAsia="宋体" w:cs="Times New Roman"/>
                      <w:b/>
                      <w:color w:val="auto"/>
                      <w:spacing w:val="0"/>
                      <w:w w:val="100"/>
                      <w:kern w:val="0"/>
                      <w:position w:val="0"/>
                      <w:sz w:val="21"/>
                      <w:szCs w:val="21"/>
                      <w:highlight w:val="none"/>
                      <w:u w:val="none"/>
                    </w:rPr>
                    <w:t>（万元）</w:t>
                  </w:r>
                </w:p>
              </w:tc>
            </w:tr>
            <w:tr w14:paraId="1978ED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431" w:hRule="atLeast"/>
                <w:jc w:val="center"/>
              </w:trPr>
              <w:tc>
                <w:tcPr>
                  <w:tcW w:w="226" w:type="pct"/>
                  <w:vMerge w:val="restart"/>
                  <w:tcBorders>
                    <w:top w:val="single" w:color="auto" w:sz="4" w:space="0"/>
                  </w:tcBorders>
                  <w:noWrap w:val="0"/>
                  <w:vAlign w:val="center"/>
                </w:tcPr>
                <w:p w14:paraId="535E8A7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spacing w:val="0"/>
                      <w:w w:val="100"/>
                      <w:kern w:val="0"/>
                      <w:position w:val="0"/>
                      <w:sz w:val="21"/>
                      <w:szCs w:val="21"/>
                      <w:highlight w:val="none"/>
                      <w:u w:val="none"/>
                      <w:lang w:val="en-US" w:eastAsia="zh-CN"/>
                    </w:rPr>
                  </w:pPr>
                  <w:r>
                    <w:rPr>
                      <w:rFonts w:hint="default" w:ascii="Times New Roman" w:hAnsi="Times New Roman" w:eastAsia="宋体" w:cs="Times New Roman"/>
                      <w:color w:val="auto"/>
                      <w:spacing w:val="0"/>
                      <w:w w:val="100"/>
                      <w:kern w:val="0"/>
                      <w:position w:val="0"/>
                      <w:sz w:val="21"/>
                      <w:szCs w:val="21"/>
                      <w:highlight w:val="none"/>
                      <w:u w:val="none"/>
                      <w:lang w:val="en-US" w:eastAsia="zh-CN"/>
                    </w:rPr>
                    <w:t>废气</w:t>
                  </w:r>
                </w:p>
              </w:tc>
              <w:tc>
                <w:tcPr>
                  <w:tcW w:w="1060" w:type="pct"/>
                  <w:tcBorders>
                    <w:top w:val="single" w:color="auto" w:sz="4" w:space="0"/>
                    <w:bottom w:val="single" w:color="auto" w:sz="4" w:space="0"/>
                  </w:tcBorders>
                  <w:shd w:val="clear" w:color="auto" w:fill="auto"/>
                  <w:noWrap w:val="0"/>
                  <w:vAlign w:val="center"/>
                </w:tcPr>
                <w:p w14:paraId="6F8DBD2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position w:val="0"/>
                      <w:sz w:val="21"/>
                      <w:szCs w:val="21"/>
                      <w:highlight w:val="none"/>
                      <w:u w:val="none"/>
                      <w:lang w:val="en-US" w:eastAsia="zh-CN"/>
                    </w:rPr>
                    <w:t>食堂废气</w:t>
                  </w:r>
                </w:p>
              </w:tc>
              <w:tc>
                <w:tcPr>
                  <w:tcW w:w="3105" w:type="pct"/>
                  <w:tcBorders>
                    <w:top w:val="single" w:color="auto" w:sz="4" w:space="0"/>
                    <w:bottom w:val="single" w:color="auto" w:sz="4" w:space="0"/>
                  </w:tcBorders>
                  <w:shd w:val="clear" w:color="auto" w:fill="auto"/>
                  <w:noWrap w:val="0"/>
                  <w:vAlign w:val="center"/>
                </w:tcPr>
                <w:p w14:paraId="6AF9445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cs="Times New Roman"/>
                      <w:b w:val="0"/>
                      <w:bCs/>
                      <w:color w:val="auto"/>
                      <w:sz w:val="21"/>
                      <w:szCs w:val="21"/>
                      <w:highlight w:val="none"/>
                      <w:u w:val="none"/>
                      <w:lang w:val="en-US" w:eastAsia="zh-CN"/>
                    </w:rPr>
                    <w:t>食堂基准灶头均安装集气罩，食堂油烟经1套</w:t>
                  </w:r>
                  <w:r>
                    <w:rPr>
                      <w:rFonts w:hint="default" w:ascii="Times New Roman" w:hAnsi="Times New Roman" w:cs="Times New Roman"/>
                      <w:color w:val="auto"/>
                      <w:sz w:val="21"/>
                      <w:szCs w:val="21"/>
                      <w:highlight w:val="none"/>
                    </w:rPr>
                    <w:t>静电式油烟净化器</w:t>
                  </w:r>
                  <w:r>
                    <w:rPr>
                      <w:rFonts w:hint="default" w:ascii="Times New Roman" w:hAnsi="Times New Roman" w:cs="Times New Roman"/>
                      <w:color w:val="auto"/>
                      <w:sz w:val="21"/>
                      <w:szCs w:val="21"/>
                      <w:highlight w:val="none"/>
                      <w:lang w:val="en-US" w:eastAsia="zh-CN"/>
                    </w:rPr>
                    <w:t>处理后，通过</w:t>
                  </w:r>
                  <w:r>
                    <w:rPr>
                      <w:rFonts w:hint="default" w:ascii="Times New Roman" w:hAnsi="Times New Roman" w:cs="Times New Roman"/>
                      <w:bCs/>
                      <w:color w:val="auto"/>
                      <w:sz w:val="21"/>
                      <w:szCs w:val="21"/>
                      <w:highlight w:val="none"/>
                    </w:rPr>
                    <w:t>高出楼顶排气筒</w:t>
                  </w:r>
                  <w:r>
                    <w:rPr>
                      <w:rFonts w:hint="default" w:ascii="Times New Roman" w:hAnsi="Times New Roman" w:cs="Times New Roman"/>
                      <w:bCs/>
                      <w:color w:val="auto"/>
                      <w:sz w:val="21"/>
                      <w:szCs w:val="21"/>
                      <w:highlight w:val="none"/>
                      <w:lang w:eastAsia="zh-CN"/>
                    </w:rPr>
                    <w:t>（</w:t>
                  </w:r>
                  <w:r>
                    <w:rPr>
                      <w:rFonts w:hint="default" w:ascii="Times New Roman" w:hAnsi="Times New Roman" w:cs="Times New Roman"/>
                      <w:bCs/>
                      <w:color w:val="auto"/>
                      <w:sz w:val="21"/>
                      <w:szCs w:val="21"/>
                      <w:highlight w:val="none"/>
                    </w:rPr>
                    <w:t>DA00</w:t>
                  </w:r>
                  <w:r>
                    <w:rPr>
                      <w:rFonts w:hint="eastAsia" w:cs="Times New Roman"/>
                      <w:bCs/>
                      <w:color w:val="auto"/>
                      <w:sz w:val="21"/>
                      <w:szCs w:val="21"/>
                      <w:highlight w:val="none"/>
                      <w:lang w:val="en-US" w:eastAsia="zh-CN"/>
                    </w:rPr>
                    <w:t>1</w:t>
                  </w:r>
                  <w:r>
                    <w:rPr>
                      <w:rFonts w:hint="default" w:ascii="Times New Roman" w:hAnsi="Times New Roman" w:cs="Times New Roman"/>
                      <w:bCs/>
                      <w:color w:val="auto"/>
                      <w:sz w:val="21"/>
                      <w:szCs w:val="21"/>
                      <w:highlight w:val="none"/>
                      <w:lang w:eastAsia="zh-CN"/>
                    </w:rPr>
                    <w:t>）</w:t>
                  </w:r>
                  <w:r>
                    <w:rPr>
                      <w:rFonts w:hint="default" w:ascii="Times New Roman" w:hAnsi="Times New Roman" w:cs="Times New Roman"/>
                      <w:bCs/>
                      <w:color w:val="auto"/>
                      <w:sz w:val="21"/>
                      <w:szCs w:val="21"/>
                      <w:highlight w:val="none"/>
                    </w:rPr>
                    <w:t>排放</w:t>
                  </w:r>
                  <w:r>
                    <w:rPr>
                      <w:rFonts w:hint="default" w:ascii="Times New Roman" w:hAnsi="Times New Roman" w:cs="Times New Roman"/>
                      <w:bCs/>
                      <w:color w:val="auto"/>
                      <w:sz w:val="21"/>
                      <w:szCs w:val="21"/>
                      <w:highlight w:val="none"/>
                      <w:lang w:eastAsia="zh-CN"/>
                    </w:rPr>
                    <w:t>。</w:t>
                  </w:r>
                </w:p>
              </w:tc>
              <w:tc>
                <w:tcPr>
                  <w:tcW w:w="606" w:type="pct"/>
                  <w:tcBorders>
                    <w:top w:val="single" w:color="auto" w:sz="4" w:space="0"/>
                    <w:bottom w:val="single" w:color="auto" w:sz="4" w:space="0"/>
                  </w:tcBorders>
                  <w:shd w:val="clear" w:color="auto" w:fill="auto"/>
                  <w:noWrap w:val="0"/>
                  <w:vAlign w:val="center"/>
                </w:tcPr>
                <w:p w14:paraId="5FE7B48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position w:val="0"/>
                      <w:sz w:val="21"/>
                      <w:szCs w:val="21"/>
                      <w:highlight w:val="none"/>
                      <w:u w:val="none"/>
                      <w:lang w:val="en-US" w:eastAsia="zh-CN"/>
                    </w:rPr>
                    <w:t>2</w:t>
                  </w:r>
                  <w:r>
                    <w:rPr>
                      <w:rFonts w:hint="eastAsia" w:ascii="Times New Roman" w:hAnsi="Times New Roman" w:cs="Times New Roman"/>
                      <w:color w:val="auto"/>
                      <w:spacing w:val="0"/>
                      <w:w w:val="100"/>
                      <w:position w:val="0"/>
                      <w:sz w:val="21"/>
                      <w:szCs w:val="21"/>
                      <w:highlight w:val="none"/>
                      <w:u w:val="none"/>
                      <w:lang w:val="en-US" w:eastAsia="zh-CN"/>
                    </w:rPr>
                    <w:t>0</w:t>
                  </w:r>
                </w:p>
              </w:tc>
            </w:tr>
            <w:tr w14:paraId="218BBA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431" w:hRule="atLeast"/>
                <w:jc w:val="center"/>
              </w:trPr>
              <w:tc>
                <w:tcPr>
                  <w:tcW w:w="226" w:type="pct"/>
                  <w:vMerge w:val="continue"/>
                  <w:noWrap w:val="0"/>
                  <w:vAlign w:val="center"/>
                </w:tcPr>
                <w:p w14:paraId="4DAB74A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spacing w:val="0"/>
                      <w:w w:val="100"/>
                      <w:kern w:val="0"/>
                      <w:position w:val="0"/>
                      <w:sz w:val="21"/>
                      <w:szCs w:val="21"/>
                      <w:highlight w:val="none"/>
                      <w:u w:val="none"/>
                      <w:lang w:val="en-US" w:eastAsia="zh-CN"/>
                    </w:rPr>
                  </w:pPr>
                </w:p>
              </w:tc>
              <w:tc>
                <w:tcPr>
                  <w:tcW w:w="1060" w:type="pct"/>
                  <w:tcBorders>
                    <w:top w:val="single" w:color="auto" w:sz="4" w:space="0"/>
                    <w:bottom w:val="single" w:color="auto" w:sz="4" w:space="0"/>
                  </w:tcBorders>
                  <w:shd w:val="clear" w:color="auto" w:fill="auto"/>
                  <w:noWrap w:val="0"/>
                  <w:vAlign w:val="center"/>
                </w:tcPr>
                <w:p w14:paraId="664BA97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0"/>
                      <w:w w:val="100"/>
                      <w:position w:val="0"/>
                      <w:sz w:val="21"/>
                      <w:szCs w:val="21"/>
                      <w:highlight w:val="none"/>
                      <w:u w:val="none"/>
                      <w:lang w:val="en-US" w:eastAsia="zh-CN"/>
                    </w:rPr>
                    <w:t>实验室废气</w:t>
                  </w:r>
                </w:p>
              </w:tc>
              <w:tc>
                <w:tcPr>
                  <w:tcW w:w="3105" w:type="pct"/>
                  <w:tcBorders>
                    <w:top w:val="single" w:color="auto" w:sz="4" w:space="0"/>
                    <w:bottom w:val="single" w:color="auto" w:sz="4" w:space="0"/>
                  </w:tcBorders>
                  <w:shd w:val="clear" w:color="auto" w:fill="auto"/>
                  <w:noWrap w:val="0"/>
                  <w:vAlign w:val="center"/>
                </w:tcPr>
                <w:p w14:paraId="089E3D1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color w:val="auto"/>
                      <w:spacing w:val="9"/>
                      <w:sz w:val="21"/>
                      <w:szCs w:val="21"/>
                      <w:highlight w:val="none"/>
                    </w:rPr>
                    <w:t>通风橱+</w:t>
                  </w:r>
                  <w:r>
                    <w:rPr>
                      <w:rFonts w:hint="default" w:ascii="Times New Roman" w:hAnsi="Times New Roman" w:eastAsia="宋体" w:cs="Times New Roman"/>
                      <w:color w:val="auto"/>
                      <w:spacing w:val="9"/>
                      <w:sz w:val="21"/>
                      <w:szCs w:val="21"/>
                      <w:highlight w:val="none"/>
                      <w:lang w:val="en-US" w:eastAsia="zh-CN"/>
                    </w:rPr>
                    <w:t>通风管道</w:t>
                  </w:r>
                  <w:r>
                    <w:rPr>
                      <w:rFonts w:hint="default" w:ascii="Times New Roman" w:hAnsi="Times New Roman" w:eastAsia="宋体" w:cs="Times New Roman"/>
                      <w:color w:val="auto"/>
                      <w:spacing w:val="9"/>
                      <w:sz w:val="21"/>
                      <w:szCs w:val="21"/>
                      <w:highlight w:val="none"/>
                    </w:rPr>
                    <w:t>+</w:t>
                  </w:r>
                  <w:r>
                    <w:rPr>
                      <w:rFonts w:hint="default" w:ascii="Times New Roman" w:hAnsi="Times New Roman" w:eastAsia="宋体" w:cs="Times New Roman"/>
                      <w:color w:val="auto"/>
                      <w:spacing w:val="9"/>
                      <w:sz w:val="21"/>
                      <w:szCs w:val="21"/>
                      <w:highlight w:val="none"/>
                      <w:lang w:val="en-US" w:eastAsia="zh-CN"/>
                    </w:rPr>
                    <w:t>1套碱喷淋（配套脱水）+</w:t>
                  </w:r>
                  <w:r>
                    <w:rPr>
                      <w:rFonts w:hint="default" w:ascii="Times New Roman" w:hAnsi="Times New Roman" w:eastAsia="宋体" w:cs="Times New Roman"/>
                      <w:color w:val="auto"/>
                      <w:spacing w:val="9"/>
                      <w:sz w:val="21"/>
                      <w:szCs w:val="21"/>
                      <w:highlight w:val="none"/>
                    </w:rPr>
                    <w:t>二级活性炭吸附装置</w:t>
                  </w:r>
                  <w:r>
                    <w:rPr>
                      <w:rFonts w:hint="default" w:ascii="Times New Roman" w:hAnsi="Times New Roman" w:eastAsia="宋体" w:cs="Times New Roman"/>
                      <w:color w:val="auto"/>
                      <w:spacing w:val="9"/>
                      <w:sz w:val="21"/>
                      <w:szCs w:val="21"/>
                      <w:highlight w:val="none"/>
                      <w:lang w:val="en-US" w:eastAsia="zh-CN"/>
                    </w:rPr>
                    <w:t>处理后，</w:t>
                  </w:r>
                  <w:r>
                    <w:rPr>
                      <w:rFonts w:hint="default" w:ascii="Times New Roman" w:hAnsi="Times New Roman" w:cs="Times New Roman"/>
                      <w:bCs/>
                      <w:color w:val="auto"/>
                      <w:sz w:val="21"/>
                      <w:szCs w:val="21"/>
                      <w:highlight w:val="none"/>
                    </w:rPr>
                    <w:t>通过高出楼顶1m排气筒（DA00</w:t>
                  </w:r>
                  <w:r>
                    <w:rPr>
                      <w:rFonts w:hint="eastAsia" w:cs="Times New Roman"/>
                      <w:bCs/>
                      <w:color w:val="auto"/>
                      <w:sz w:val="21"/>
                      <w:szCs w:val="21"/>
                      <w:highlight w:val="none"/>
                      <w:lang w:val="en-US" w:eastAsia="zh-CN"/>
                    </w:rPr>
                    <w:t>2）</w:t>
                  </w:r>
                  <w:r>
                    <w:rPr>
                      <w:rFonts w:hint="default" w:ascii="Times New Roman" w:hAnsi="Times New Roman" w:cs="Times New Roman"/>
                      <w:bCs/>
                      <w:color w:val="auto"/>
                      <w:sz w:val="21"/>
                      <w:szCs w:val="21"/>
                      <w:highlight w:val="none"/>
                    </w:rPr>
                    <w:t>，距地面高度</w:t>
                  </w:r>
                  <w:r>
                    <w:rPr>
                      <w:rFonts w:hint="eastAsia" w:ascii="Times New Roman" w:hAnsi="Times New Roman" w:cs="Times New Roman"/>
                      <w:bCs/>
                      <w:color w:val="auto"/>
                      <w:sz w:val="21"/>
                      <w:szCs w:val="21"/>
                      <w:highlight w:val="none"/>
                      <w:lang w:val="en-US" w:eastAsia="zh-CN"/>
                    </w:rPr>
                    <w:t>23</w:t>
                  </w:r>
                  <w:r>
                    <w:rPr>
                      <w:rFonts w:hint="default" w:ascii="Times New Roman" w:hAnsi="Times New Roman" w:cs="Times New Roman"/>
                      <w:bCs/>
                      <w:color w:val="auto"/>
                      <w:sz w:val="21"/>
                      <w:szCs w:val="21"/>
                      <w:highlight w:val="none"/>
                    </w:rPr>
                    <w:t>m）（建筑高度</w:t>
                  </w:r>
                  <w:r>
                    <w:rPr>
                      <w:rFonts w:hint="eastAsia" w:ascii="Times New Roman" w:hAnsi="Times New Roman" w:cs="Times New Roman"/>
                      <w:bCs/>
                      <w:color w:val="auto"/>
                      <w:sz w:val="21"/>
                      <w:szCs w:val="21"/>
                      <w:highlight w:val="none"/>
                      <w:lang w:val="en-US" w:eastAsia="zh-CN"/>
                    </w:rPr>
                    <w:t>22</w:t>
                  </w:r>
                  <w:r>
                    <w:rPr>
                      <w:rFonts w:hint="default" w:ascii="Times New Roman" w:hAnsi="Times New Roman" w:cs="Times New Roman"/>
                      <w:bCs/>
                      <w:color w:val="auto"/>
                      <w:sz w:val="21"/>
                      <w:szCs w:val="21"/>
                      <w:highlight w:val="none"/>
                    </w:rPr>
                    <w:t>m）排放</w:t>
                  </w:r>
                  <w:r>
                    <w:rPr>
                      <w:rFonts w:hint="default" w:ascii="Times New Roman" w:hAnsi="Times New Roman" w:cs="Times New Roman"/>
                      <w:bCs/>
                      <w:color w:val="auto"/>
                      <w:sz w:val="21"/>
                      <w:szCs w:val="21"/>
                      <w:highlight w:val="none"/>
                      <w:lang w:eastAsia="zh-CN"/>
                    </w:rPr>
                    <w:t>。</w:t>
                  </w:r>
                </w:p>
              </w:tc>
              <w:tc>
                <w:tcPr>
                  <w:tcW w:w="606" w:type="pct"/>
                  <w:tcBorders>
                    <w:top w:val="single" w:color="auto" w:sz="4" w:space="0"/>
                    <w:bottom w:val="single" w:color="auto" w:sz="4" w:space="0"/>
                  </w:tcBorders>
                  <w:shd w:val="clear" w:color="auto" w:fill="auto"/>
                  <w:noWrap w:val="0"/>
                  <w:vAlign w:val="center"/>
                </w:tcPr>
                <w:p w14:paraId="42401CC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default" w:ascii="Times New Roman" w:hAnsi="Times New Roman" w:eastAsia="宋体" w:cs="Times New Roman"/>
                      <w:color w:val="auto"/>
                      <w:spacing w:val="0"/>
                      <w:w w:val="100"/>
                      <w:kern w:val="2"/>
                      <w:position w:val="0"/>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r>
                    <w:rPr>
                      <w:rFonts w:hint="eastAsia" w:cs="Times New Roman"/>
                      <w:i w:val="0"/>
                      <w:iCs w:val="0"/>
                      <w:color w:val="auto"/>
                      <w:kern w:val="0"/>
                      <w:sz w:val="21"/>
                      <w:szCs w:val="21"/>
                      <w:highlight w:val="none"/>
                      <w:u w:val="none"/>
                      <w:lang w:val="en-US" w:eastAsia="zh-CN" w:bidi="ar"/>
                    </w:rPr>
                    <w:t>0</w:t>
                  </w:r>
                </w:p>
              </w:tc>
            </w:tr>
            <w:tr w14:paraId="3EB780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79" w:hRule="atLeast"/>
                <w:jc w:val="center"/>
              </w:trPr>
              <w:tc>
                <w:tcPr>
                  <w:tcW w:w="226" w:type="pct"/>
                  <w:vMerge w:val="restart"/>
                  <w:tcBorders>
                    <w:top w:val="single" w:color="auto" w:sz="4" w:space="0"/>
                  </w:tcBorders>
                  <w:noWrap w:val="0"/>
                  <w:vAlign w:val="center"/>
                </w:tcPr>
                <w:p w14:paraId="695F5D2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spacing w:val="0"/>
                      <w:w w:val="100"/>
                      <w:kern w:val="0"/>
                      <w:position w:val="0"/>
                      <w:sz w:val="21"/>
                      <w:szCs w:val="21"/>
                      <w:highlight w:val="none"/>
                      <w:u w:val="none"/>
                      <w:lang w:val="en-US" w:eastAsia="zh-CN"/>
                    </w:rPr>
                  </w:pPr>
                  <w:r>
                    <w:rPr>
                      <w:rFonts w:hint="default" w:ascii="Times New Roman" w:hAnsi="Times New Roman" w:eastAsia="宋体" w:cs="Times New Roman"/>
                      <w:color w:val="auto"/>
                      <w:spacing w:val="0"/>
                      <w:w w:val="100"/>
                      <w:kern w:val="0"/>
                      <w:position w:val="0"/>
                      <w:sz w:val="21"/>
                      <w:szCs w:val="21"/>
                      <w:highlight w:val="none"/>
                      <w:u w:val="none"/>
                      <w:lang w:val="en-US" w:eastAsia="zh-CN"/>
                    </w:rPr>
                    <w:t>废水</w:t>
                  </w:r>
                </w:p>
              </w:tc>
              <w:tc>
                <w:tcPr>
                  <w:tcW w:w="1060" w:type="pct"/>
                  <w:tcBorders>
                    <w:top w:val="single" w:color="auto" w:sz="4" w:space="0"/>
                    <w:bottom w:val="single" w:color="auto" w:sz="4" w:space="0"/>
                  </w:tcBorders>
                  <w:noWrap w:val="0"/>
                  <w:vAlign w:val="center"/>
                </w:tcPr>
                <w:p w14:paraId="65961AB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师生生活污水</w:t>
                  </w:r>
                </w:p>
              </w:tc>
              <w:tc>
                <w:tcPr>
                  <w:tcW w:w="3105" w:type="pct"/>
                  <w:tcBorders>
                    <w:top w:val="single" w:color="auto" w:sz="4" w:space="0"/>
                    <w:bottom w:val="single" w:color="auto" w:sz="4" w:space="0"/>
                  </w:tcBorders>
                  <w:noWrap w:val="0"/>
                  <w:vAlign w:val="center"/>
                </w:tcPr>
                <w:p w14:paraId="57A3659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经化粪池处理后通过校区总排口排入市政污水管网。</w:t>
                  </w:r>
                </w:p>
              </w:tc>
              <w:tc>
                <w:tcPr>
                  <w:tcW w:w="606" w:type="pct"/>
                  <w:tcBorders>
                    <w:top w:val="single" w:color="auto" w:sz="4" w:space="0"/>
                    <w:bottom w:val="single" w:color="auto" w:sz="4" w:space="0"/>
                  </w:tcBorders>
                  <w:noWrap w:val="0"/>
                  <w:vAlign w:val="center"/>
                </w:tcPr>
                <w:p w14:paraId="281F89E4">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5</w:t>
                  </w:r>
                </w:p>
              </w:tc>
            </w:tr>
            <w:tr w14:paraId="053704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79" w:hRule="atLeast"/>
                <w:jc w:val="center"/>
              </w:trPr>
              <w:tc>
                <w:tcPr>
                  <w:tcW w:w="226" w:type="pct"/>
                  <w:vMerge w:val="continue"/>
                  <w:noWrap w:val="0"/>
                  <w:vAlign w:val="center"/>
                </w:tcPr>
                <w:p w14:paraId="38E52AA1">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z w:val="21"/>
                      <w:szCs w:val="21"/>
                      <w:highlight w:val="none"/>
                    </w:rPr>
                  </w:pPr>
                </w:p>
              </w:tc>
              <w:tc>
                <w:tcPr>
                  <w:tcW w:w="1060" w:type="pct"/>
                  <w:tcBorders>
                    <w:top w:val="single" w:color="auto" w:sz="4" w:space="0"/>
                    <w:bottom w:val="single" w:color="auto" w:sz="4" w:space="0"/>
                  </w:tcBorders>
                  <w:noWrap w:val="0"/>
                  <w:vAlign w:val="center"/>
                </w:tcPr>
                <w:p w14:paraId="033D3918">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食堂废水</w:t>
                  </w:r>
                </w:p>
              </w:tc>
              <w:tc>
                <w:tcPr>
                  <w:tcW w:w="3105" w:type="pct"/>
                  <w:tcBorders>
                    <w:top w:val="single" w:color="auto" w:sz="4" w:space="0"/>
                    <w:bottom w:val="single" w:color="auto" w:sz="4" w:space="0"/>
                  </w:tcBorders>
                  <w:noWrap w:val="0"/>
                  <w:vAlign w:val="center"/>
                </w:tcPr>
                <w:p w14:paraId="74E54794">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隔油池总容积3m</w:t>
                  </w:r>
                  <w:r>
                    <w:rPr>
                      <w:rFonts w:hint="default" w:ascii="Times New Roman" w:hAnsi="Times New Roman" w:eastAsia="宋体" w:cs="Times New Roman"/>
                      <w:color w:val="auto"/>
                      <w:spacing w:val="0"/>
                      <w:w w:val="100"/>
                      <w:position w:val="0"/>
                      <w:sz w:val="21"/>
                      <w:szCs w:val="21"/>
                      <w:highlight w:val="none"/>
                      <w:u w:val="none"/>
                      <w:vertAlign w:val="superscript"/>
                      <w:lang w:val="en-US" w:eastAsia="zh-CN"/>
                    </w:rPr>
                    <w:t>3</w:t>
                  </w:r>
                  <w:r>
                    <w:rPr>
                      <w:rFonts w:hint="default" w:ascii="Times New Roman" w:hAnsi="Times New Roman" w:eastAsia="宋体" w:cs="Times New Roman"/>
                      <w:color w:val="auto"/>
                      <w:spacing w:val="0"/>
                      <w:w w:val="100"/>
                      <w:position w:val="0"/>
                      <w:sz w:val="21"/>
                      <w:szCs w:val="21"/>
                      <w:highlight w:val="none"/>
                      <w:u w:val="none"/>
                      <w:lang w:val="en-US" w:eastAsia="zh-CN"/>
                    </w:rPr>
                    <w:t>，食堂废水经隔油池预处理后进入化粪池最后由学校总排口排入市政污水管网。</w:t>
                  </w:r>
                </w:p>
              </w:tc>
              <w:tc>
                <w:tcPr>
                  <w:tcW w:w="606" w:type="pct"/>
                  <w:tcBorders>
                    <w:top w:val="single" w:color="auto" w:sz="4" w:space="0"/>
                    <w:bottom w:val="single" w:color="auto" w:sz="4" w:space="0"/>
                  </w:tcBorders>
                  <w:noWrap w:val="0"/>
                  <w:vAlign w:val="center"/>
                </w:tcPr>
                <w:p w14:paraId="1F63BBB9">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0.5</w:t>
                  </w:r>
                </w:p>
              </w:tc>
            </w:tr>
            <w:tr w14:paraId="468342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79" w:hRule="atLeast"/>
                <w:jc w:val="center"/>
              </w:trPr>
              <w:tc>
                <w:tcPr>
                  <w:tcW w:w="226" w:type="pct"/>
                  <w:vMerge w:val="continue"/>
                  <w:noWrap w:val="0"/>
                  <w:vAlign w:val="center"/>
                </w:tcPr>
                <w:p w14:paraId="19000BF5">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val="en-US" w:eastAsia="zh-CN"/>
                    </w:rPr>
                  </w:pPr>
                </w:p>
              </w:tc>
              <w:tc>
                <w:tcPr>
                  <w:tcW w:w="1060" w:type="pct"/>
                  <w:tcBorders>
                    <w:top w:val="single" w:color="auto" w:sz="4" w:space="0"/>
                    <w:bottom w:val="single" w:color="auto" w:sz="4" w:space="0"/>
                  </w:tcBorders>
                  <w:noWrap w:val="0"/>
                  <w:vAlign w:val="center"/>
                </w:tcPr>
                <w:p w14:paraId="2EE02D87">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实验室废水</w:t>
                  </w:r>
                  <w:r>
                    <w:rPr>
                      <w:rFonts w:hint="eastAsia" w:ascii="Times New Roman" w:hAnsi="Times New Roman" w:eastAsia="宋体" w:cs="Times New Roman"/>
                      <w:color w:val="auto"/>
                      <w:spacing w:val="0"/>
                      <w:w w:val="100"/>
                      <w:position w:val="0"/>
                      <w:sz w:val="21"/>
                      <w:szCs w:val="21"/>
                      <w:highlight w:val="none"/>
                      <w:u w:val="none"/>
                      <w:lang w:val="en-US" w:eastAsia="zh-CN"/>
                    </w:rPr>
                    <w:t>、碱喷淋废水</w:t>
                  </w:r>
                </w:p>
              </w:tc>
              <w:tc>
                <w:tcPr>
                  <w:tcW w:w="3105" w:type="pct"/>
                  <w:tcBorders>
                    <w:top w:val="single" w:color="auto" w:sz="4" w:space="0"/>
                    <w:bottom w:val="single" w:color="auto" w:sz="4" w:space="0"/>
                  </w:tcBorders>
                  <w:noWrap w:val="0"/>
                  <w:vAlign w:val="center"/>
                </w:tcPr>
                <w:p w14:paraId="728C4AE4">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化学及生物实验室废水单独设置排水系统，收集至室外酸碱中和池（1m</w:t>
                  </w:r>
                  <w:r>
                    <w:rPr>
                      <w:rFonts w:hint="default" w:ascii="Times New Roman" w:hAnsi="Times New Roman" w:eastAsia="宋体" w:cs="Times New Roman"/>
                      <w:color w:val="auto"/>
                      <w:spacing w:val="0"/>
                      <w:w w:val="100"/>
                      <w:position w:val="0"/>
                      <w:sz w:val="21"/>
                      <w:szCs w:val="21"/>
                      <w:highlight w:val="none"/>
                      <w:u w:val="none"/>
                      <w:vertAlign w:val="superscript"/>
                      <w:lang w:val="en-US" w:eastAsia="zh-CN"/>
                    </w:rPr>
                    <w:t>3</w:t>
                  </w:r>
                  <w:r>
                    <w:rPr>
                      <w:rFonts w:hint="default" w:ascii="Times New Roman" w:hAnsi="Times New Roman" w:eastAsia="宋体" w:cs="Times New Roman"/>
                      <w:color w:val="auto"/>
                      <w:spacing w:val="0"/>
                      <w:w w:val="100"/>
                      <w:position w:val="0"/>
                      <w:sz w:val="21"/>
                      <w:szCs w:val="21"/>
                      <w:highlight w:val="none"/>
                      <w:u w:val="none"/>
                      <w:lang w:val="en-US" w:eastAsia="zh-CN"/>
                    </w:rPr>
                    <w:t>）调节后进入化粪池处理通过校区总排口排入市政污水管网。碱喷淋装置废水经酸碱中和池处理后进入化粪池处理，通过校区总排口排入市政污水管网。</w:t>
                  </w:r>
                </w:p>
              </w:tc>
              <w:tc>
                <w:tcPr>
                  <w:tcW w:w="606" w:type="pct"/>
                  <w:tcBorders>
                    <w:top w:val="single" w:color="auto" w:sz="4" w:space="0"/>
                    <w:bottom w:val="single" w:color="auto" w:sz="4" w:space="0"/>
                  </w:tcBorders>
                  <w:noWrap w:val="0"/>
                  <w:vAlign w:val="center"/>
                </w:tcPr>
                <w:p w14:paraId="65DDC0D8">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eastAsia" w:cs="Times New Roman"/>
                      <w:color w:val="auto"/>
                      <w:spacing w:val="0"/>
                      <w:w w:val="100"/>
                      <w:position w:val="0"/>
                      <w:sz w:val="21"/>
                      <w:szCs w:val="21"/>
                      <w:highlight w:val="none"/>
                      <w:u w:val="none"/>
                      <w:lang w:val="en-US" w:eastAsia="zh-CN"/>
                    </w:rPr>
                    <w:t>5</w:t>
                  </w:r>
                </w:p>
              </w:tc>
            </w:tr>
            <w:tr w14:paraId="48CAF8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79" w:hRule="atLeast"/>
                <w:jc w:val="center"/>
              </w:trPr>
              <w:tc>
                <w:tcPr>
                  <w:tcW w:w="226" w:type="pct"/>
                  <w:vMerge w:val="restart"/>
                  <w:tcBorders>
                    <w:top w:val="single" w:color="auto" w:sz="4" w:space="0"/>
                  </w:tcBorders>
                  <w:noWrap w:val="0"/>
                  <w:vAlign w:val="center"/>
                </w:tcPr>
                <w:p w14:paraId="5176C6C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spacing w:val="0"/>
                      <w:w w:val="100"/>
                      <w:kern w:val="0"/>
                      <w:position w:val="0"/>
                      <w:sz w:val="21"/>
                      <w:szCs w:val="21"/>
                      <w:highlight w:val="none"/>
                      <w:u w:val="none"/>
                      <w:lang w:val="en-US" w:eastAsia="zh-CN"/>
                    </w:rPr>
                  </w:pPr>
                  <w:r>
                    <w:rPr>
                      <w:rFonts w:hint="default" w:ascii="Times New Roman" w:hAnsi="Times New Roman" w:eastAsia="宋体" w:cs="Times New Roman"/>
                      <w:color w:val="auto"/>
                      <w:spacing w:val="0"/>
                      <w:w w:val="100"/>
                      <w:kern w:val="0"/>
                      <w:position w:val="0"/>
                      <w:sz w:val="21"/>
                      <w:szCs w:val="21"/>
                      <w:highlight w:val="none"/>
                      <w:u w:val="none"/>
                      <w:lang w:val="en-US" w:eastAsia="zh-CN"/>
                    </w:rPr>
                    <w:t>固废</w:t>
                  </w:r>
                </w:p>
              </w:tc>
              <w:tc>
                <w:tcPr>
                  <w:tcW w:w="1060" w:type="pct"/>
                  <w:tcBorders>
                    <w:top w:val="single" w:color="auto" w:sz="4" w:space="0"/>
                    <w:bottom w:val="single" w:color="auto" w:sz="4" w:space="0"/>
                  </w:tcBorders>
                  <w:noWrap w:val="0"/>
                  <w:vAlign w:val="center"/>
                </w:tcPr>
                <w:p w14:paraId="201CA54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师生生活垃圾</w:t>
                  </w:r>
                  <w:r>
                    <w:rPr>
                      <w:rFonts w:hint="eastAsia" w:ascii="Times New Roman" w:hAnsi="Times New Roman" w:eastAsia="宋体" w:cs="Times New Roman"/>
                      <w:color w:val="auto"/>
                      <w:spacing w:val="0"/>
                      <w:w w:val="100"/>
                      <w:position w:val="0"/>
                      <w:sz w:val="21"/>
                      <w:szCs w:val="21"/>
                      <w:highlight w:val="none"/>
                      <w:u w:val="none"/>
                      <w:lang w:val="en-US" w:eastAsia="zh-CN"/>
                    </w:rPr>
                    <w:t>、</w:t>
                  </w:r>
                  <w:r>
                    <w:rPr>
                      <w:rFonts w:hint="default" w:ascii="Times New Roman" w:hAnsi="Times New Roman" w:eastAsia="宋体" w:cs="Times New Roman"/>
                      <w:color w:val="auto"/>
                      <w:spacing w:val="0"/>
                      <w:w w:val="100"/>
                      <w:position w:val="0"/>
                      <w:sz w:val="21"/>
                      <w:szCs w:val="21"/>
                      <w:highlight w:val="none"/>
                      <w:u w:val="none"/>
                      <w:lang w:val="en-US" w:eastAsia="zh-CN"/>
                    </w:rPr>
                    <w:t>实验室一般固废</w:t>
                  </w:r>
                </w:p>
              </w:tc>
              <w:tc>
                <w:tcPr>
                  <w:tcW w:w="3105" w:type="pct"/>
                  <w:vMerge w:val="restart"/>
                  <w:tcBorders>
                    <w:top w:val="single" w:color="auto" w:sz="4" w:space="0"/>
                  </w:tcBorders>
                  <w:noWrap w:val="0"/>
                  <w:vAlign w:val="center"/>
                </w:tcPr>
                <w:p w14:paraId="4EB2E2CE">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若干垃圾桶</w:t>
                  </w:r>
                </w:p>
              </w:tc>
              <w:tc>
                <w:tcPr>
                  <w:tcW w:w="606" w:type="pct"/>
                  <w:vMerge w:val="restart"/>
                  <w:tcBorders>
                    <w:top w:val="single" w:color="auto" w:sz="4" w:space="0"/>
                  </w:tcBorders>
                  <w:noWrap w:val="0"/>
                  <w:vAlign w:val="center"/>
                </w:tcPr>
                <w:p w14:paraId="36F1ED6D">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14:paraId="490C53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161" w:hRule="atLeast"/>
                <w:jc w:val="center"/>
              </w:trPr>
              <w:tc>
                <w:tcPr>
                  <w:tcW w:w="226" w:type="pct"/>
                  <w:vMerge w:val="continue"/>
                  <w:noWrap w:val="0"/>
                  <w:vAlign w:val="center"/>
                </w:tcPr>
                <w:p w14:paraId="79108605">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z w:val="21"/>
                      <w:szCs w:val="21"/>
                      <w:highlight w:val="none"/>
                    </w:rPr>
                  </w:pPr>
                </w:p>
              </w:tc>
              <w:tc>
                <w:tcPr>
                  <w:tcW w:w="1060" w:type="pct"/>
                  <w:tcBorders>
                    <w:top w:val="single" w:color="auto" w:sz="4" w:space="0"/>
                    <w:bottom w:val="single" w:color="auto" w:sz="4" w:space="0"/>
                  </w:tcBorders>
                  <w:noWrap w:val="0"/>
                  <w:vAlign w:val="center"/>
                </w:tcPr>
                <w:p w14:paraId="3C85AFB0">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餐厨垃圾</w:t>
                  </w:r>
                  <w:r>
                    <w:rPr>
                      <w:rFonts w:hint="default" w:ascii="Times New Roman" w:hAnsi="Times New Roman" w:eastAsia="宋体" w:cs="Times New Roman"/>
                      <w:color w:val="auto"/>
                      <w:spacing w:val="0"/>
                      <w:w w:val="100"/>
                      <w:position w:val="0"/>
                      <w:sz w:val="21"/>
                      <w:szCs w:val="21"/>
                      <w:highlight w:val="none"/>
                      <w:u w:val="none"/>
                      <w:lang w:eastAsia="zh-CN"/>
                    </w:rPr>
                    <w:t>、</w:t>
                  </w:r>
                  <w:r>
                    <w:rPr>
                      <w:rFonts w:hint="default" w:ascii="Times New Roman" w:hAnsi="Times New Roman" w:eastAsia="宋体" w:cs="Times New Roman"/>
                      <w:bCs/>
                      <w:color w:val="auto"/>
                      <w:spacing w:val="0"/>
                      <w:w w:val="100"/>
                      <w:position w:val="0"/>
                      <w:sz w:val="21"/>
                      <w:szCs w:val="21"/>
                      <w:highlight w:val="none"/>
                      <w:u w:val="none"/>
                      <w:lang w:val="en-US" w:eastAsia="zh-CN"/>
                    </w:rPr>
                    <w:t>隔油池废油脂</w:t>
                  </w:r>
                </w:p>
              </w:tc>
              <w:tc>
                <w:tcPr>
                  <w:tcW w:w="3105" w:type="pct"/>
                  <w:vMerge w:val="continue"/>
                  <w:tcBorders>
                    <w:bottom w:val="single" w:color="auto" w:sz="4" w:space="0"/>
                  </w:tcBorders>
                  <w:noWrap w:val="0"/>
                  <w:vAlign w:val="center"/>
                </w:tcPr>
                <w:p w14:paraId="01755D79">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eastAsia="zh-CN"/>
                    </w:rPr>
                  </w:pPr>
                </w:p>
              </w:tc>
              <w:tc>
                <w:tcPr>
                  <w:tcW w:w="606" w:type="pct"/>
                  <w:vMerge w:val="continue"/>
                  <w:tcBorders>
                    <w:bottom w:val="single" w:color="auto" w:sz="4" w:space="0"/>
                  </w:tcBorders>
                  <w:noWrap w:val="0"/>
                  <w:vAlign w:val="center"/>
                </w:tcPr>
                <w:p w14:paraId="4295455D">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val="en-US" w:eastAsia="zh-CN"/>
                    </w:rPr>
                  </w:pPr>
                </w:p>
              </w:tc>
            </w:tr>
            <w:tr w14:paraId="34D909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79" w:hRule="atLeast"/>
                <w:jc w:val="center"/>
              </w:trPr>
              <w:tc>
                <w:tcPr>
                  <w:tcW w:w="226" w:type="pct"/>
                  <w:vMerge w:val="continue"/>
                  <w:noWrap w:val="0"/>
                  <w:vAlign w:val="center"/>
                </w:tcPr>
                <w:p w14:paraId="69B1DF64">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eastAsia="zh-CN"/>
                    </w:rPr>
                  </w:pPr>
                </w:p>
              </w:tc>
              <w:tc>
                <w:tcPr>
                  <w:tcW w:w="1060" w:type="pct"/>
                  <w:tcBorders>
                    <w:top w:val="single" w:color="auto" w:sz="4" w:space="0"/>
                    <w:bottom w:val="single" w:color="auto" w:sz="4" w:space="0"/>
                  </w:tcBorders>
                  <w:noWrap w:val="0"/>
                  <w:vAlign w:val="center"/>
                </w:tcPr>
                <w:p w14:paraId="2960A823">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实验室危险废物</w:t>
                  </w:r>
                </w:p>
              </w:tc>
              <w:tc>
                <w:tcPr>
                  <w:tcW w:w="3105" w:type="pct"/>
                  <w:vMerge w:val="restart"/>
                  <w:tcBorders>
                    <w:top w:val="single" w:color="auto" w:sz="4" w:space="0"/>
                  </w:tcBorders>
                  <w:noWrap w:val="0"/>
                  <w:vAlign w:val="center"/>
                </w:tcPr>
                <w:p w14:paraId="168962DB">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分类收集后暂存于</w:t>
                  </w:r>
                  <w:r>
                    <w:rPr>
                      <w:rFonts w:hint="eastAsia" w:cs="Times New Roman"/>
                      <w:color w:val="auto"/>
                      <w:spacing w:val="0"/>
                      <w:w w:val="100"/>
                      <w:position w:val="0"/>
                      <w:sz w:val="21"/>
                      <w:szCs w:val="21"/>
                      <w:highlight w:val="none"/>
                      <w:u w:val="none"/>
                      <w:lang w:val="en-US" w:eastAsia="zh-CN"/>
                    </w:rPr>
                    <w:t>危废贮存点</w:t>
                  </w:r>
                  <w:r>
                    <w:rPr>
                      <w:rFonts w:hint="default" w:ascii="Times New Roman" w:hAnsi="Times New Roman" w:eastAsia="宋体" w:cs="Times New Roman"/>
                      <w:color w:val="auto"/>
                      <w:spacing w:val="0"/>
                      <w:w w:val="100"/>
                      <w:position w:val="0"/>
                      <w:sz w:val="21"/>
                      <w:szCs w:val="21"/>
                      <w:highlight w:val="none"/>
                      <w:u w:val="none"/>
                      <w:lang w:val="en-US" w:eastAsia="zh-CN"/>
                    </w:rPr>
                    <w:t>（5m</w:t>
                  </w:r>
                  <w:r>
                    <w:rPr>
                      <w:rFonts w:hint="default" w:ascii="Times New Roman" w:hAnsi="Times New Roman" w:eastAsia="宋体" w:cs="Times New Roman"/>
                      <w:color w:val="auto"/>
                      <w:spacing w:val="0"/>
                      <w:w w:val="100"/>
                      <w:position w:val="0"/>
                      <w:sz w:val="21"/>
                      <w:szCs w:val="21"/>
                      <w:highlight w:val="none"/>
                      <w:u w:val="none"/>
                      <w:vertAlign w:val="superscript"/>
                      <w:lang w:val="en-US" w:eastAsia="zh-CN"/>
                    </w:rPr>
                    <w:t>2</w:t>
                  </w:r>
                  <w:r>
                    <w:rPr>
                      <w:rFonts w:hint="default" w:ascii="Times New Roman" w:hAnsi="Times New Roman" w:eastAsia="宋体" w:cs="Times New Roman"/>
                      <w:color w:val="auto"/>
                      <w:spacing w:val="0"/>
                      <w:w w:val="100"/>
                      <w:position w:val="0"/>
                      <w:sz w:val="21"/>
                      <w:szCs w:val="21"/>
                      <w:highlight w:val="none"/>
                      <w:u w:val="none"/>
                      <w:lang w:val="en-US" w:eastAsia="zh-CN"/>
                    </w:rPr>
                    <w:t>）</w:t>
                  </w:r>
                  <w:r>
                    <w:rPr>
                      <w:rFonts w:hint="eastAsia" w:cs="Times New Roman"/>
                      <w:color w:val="auto"/>
                      <w:spacing w:val="0"/>
                      <w:w w:val="100"/>
                      <w:position w:val="0"/>
                      <w:sz w:val="21"/>
                      <w:szCs w:val="21"/>
                      <w:highlight w:val="none"/>
                      <w:u w:val="none"/>
                      <w:lang w:val="en-US" w:eastAsia="zh-CN"/>
                    </w:rPr>
                    <w:t>，定期由有资质单位处置。</w:t>
                  </w:r>
                </w:p>
              </w:tc>
              <w:tc>
                <w:tcPr>
                  <w:tcW w:w="606" w:type="pct"/>
                  <w:vMerge w:val="restart"/>
                  <w:tcBorders>
                    <w:top w:val="single" w:color="auto" w:sz="4" w:space="0"/>
                  </w:tcBorders>
                  <w:noWrap w:val="0"/>
                  <w:vAlign w:val="center"/>
                </w:tcPr>
                <w:p w14:paraId="3429C323">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4</w:t>
                  </w:r>
                </w:p>
              </w:tc>
            </w:tr>
            <w:tr w14:paraId="1C840F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161" w:hRule="atLeast"/>
                <w:jc w:val="center"/>
              </w:trPr>
              <w:tc>
                <w:tcPr>
                  <w:tcW w:w="226" w:type="pct"/>
                  <w:vMerge w:val="continue"/>
                  <w:tcBorders>
                    <w:bottom w:val="single" w:color="auto" w:sz="4" w:space="0"/>
                  </w:tcBorders>
                  <w:noWrap w:val="0"/>
                  <w:vAlign w:val="center"/>
                </w:tcPr>
                <w:p w14:paraId="658BD035">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eastAsia="zh-CN"/>
                    </w:rPr>
                  </w:pPr>
                </w:p>
              </w:tc>
              <w:tc>
                <w:tcPr>
                  <w:tcW w:w="1060" w:type="pct"/>
                  <w:tcBorders>
                    <w:top w:val="single" w:color="auto" w:sz="4" w:space="0"/>
                    <w:bottom w:val="single" w:color="auto" w:sz="4" w:space="0"/>
                  </w:tcBorders>
                  <w:noWrap w:val="0"/>
                  <w:vAlign w:val="center"/>
                </w:tcPr>
                <w:p w14:paraId="25132920">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val="en-US" w:eastAsia="zh-CN"/>
                    </w:rPr>
                  </w:pPr>
                  <w:r>
                    <w:rPr>
                      <w:rFonts w:hint="default" w:ascii="Times New Roman" w:hAnsi="Times New Roman" w:eastAsia="宋体" w:cs="Times New Roman"/>
                      <w:color w:val="auto"/>
                      <w:spacing w:val="0"/>
                      <w:w w:val="100"/>
                      <w:position w:val="0"/>
                      <w:sz w:val="21"/>
                      <w:szCs w:val="21"/>
                      <w:highlight w:val="none"/>
                      <w:u w:val="none"/>
                      <w:lang w:val="en-US" w:eastAsia="zh-CN"/>
                    </w:rPr>
                    <w:t>实验室废气治理产生的废活性炭</w:t>
                  </w:r>
                </w:p>
              </w:tc>
              <w:tc>
                <w:tcPr>
                  <w:tcW w:w="3105" w:type="pct"/>
                  <w:vMerge w:val="continue"/>
                  <w:noWrap w:val="0"/>
                  <w:vAlign w:val="center"/>
                </w:tcPr>
                <w:p w14:paraId="6D0F28EA">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eastAsia="zh-CN"/>
                    </w:rPr>
                  </w:pPr>
                </w:p>
              </w:tc>
              <w:tc>
                <w:tcPr>
                  <w:tcW w:w="606" w:type="pct"/>
                  <w:vMerge w:val="continue"/>
                  <w:noWrap w:val="0"/>
                  <w:vAlign w:val="center"/>
                </w:tcPr>
                <w:p w14:paraId="6AD9B07C">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position w:val="0"/>
                      <w:sz w:val="21"/>
                      <w:szCs w:val="21"/>
                      <w:highlight w:val="none"/>
                      <w:u w:val="none"/>
                      <w:lang w:eastAsia="zh-CN"/>
                    </w:rPr>
                  </w:pPr>
                </w:p>
              </w:tc>
            </w:tr>
            <w:tr w14:paraId="25CB1F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107" w:hRule="atLeast"/>
                <w:jc w:val="center"/>
              </w:trPr>
              <w:tc>
                <w:tcPr>
                  <w:tcW w:w="226" w:type="pct"/>
                  <w:vMerge w:val="restart"/>
                  <w:tcBorders>
                    <w:top w:val="single" w:color="auto" w:sz="4" w:space="0"/>
                  </w:tcBorders>
                  <w:noWrap w:val="0"/>
                  <w:vAlign w:val="center"/>
                </w:tcPr>
                <w:p w14:paraId="46D66275">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rPr>
                  </w:pPr>
                  <w:r>
                    <w:rPr>
                      <w:rFonts w:hint="default" w:ascii="Times New Roman" w:hAnsi="Times New Roman" w:eastAsia="宋体" w:cs="Times New Roman"/>
                      <w:color w:val="auto"/>
                      <w:spacing w:val="0"/>
                      <w:w w:val="100"/>
                      <w:kern w:val="0"/>
                      <w:position w:val="0"/>
                      <w:sz w:val="21"/>
                      <w:szCs w:val="21"/>
                      <w:highlight w:val="none"/>
                      <w:u w:val="none"/>
                      <w:lang w:val="en-US" w:eastAsia="zh-CN"/>
                    </w:rPr>
                    <w:t>噪声</w:t>
                  </w:r>
                </w:p>
              </w:tc>
              <w:tc>
                <w:tcPr>
                  <w:tcW w:w="1060" w:type="pct"/>
                  <w:tcBorders>
                    <w:top w:val="single" w:color="auto" w:sz="4" w:space="0"/>
                    <w:bottom w:val="single" w:color="auto" w:sz="4" w:space="0"/>
                  </w:tcBorders>
                  <w:noWrap w:val="0"/>
                  <w:vAlign w:val="center"/>
                </w:tcPr>
                <w:p w14:paraId="21A76462">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rPr>
                  </w:pPr>
                  <w:r>
                    <w:rPr>
                      <w:rFonts w:hint="default" w:ascii="Times New Roman" w:hAnsi="Times New Roman" w:eastAsia="宋体" w:cs="Times New Roman"/>
                      <w:color w:val="auto"/>
                      <w:spacing w:val="0"/>
                      <w:w w:val="100"/>
                      <w:kern w:val="0"/>
                      <w:position w:val="0"/>
                      <w:sz w:val="21"/>
                      <w:szCs w:val="21"/>
                      <w:highlight w:val="none"/>
                      <w:u w:val="none"/>
                      <w:lang w:val="en-US" w:eastAsia="zh-CN"/>
                    </w:rPr>
                    <w:t>道路车辆</w:t>
                  </w:r>
                </w:p>
              </w:tc>
              <w:tc>
                <w:tcPr>
                  <w:tcW w:w="3105" w:type="pct"/>
                  <w:tcBorders>
                    <w:top w:val="single" w:color="auto" w:sz="4" w:space="0"/>
                    <w:bottom w:val="single" w:color="auto" w:sz="4" w:space="0"/>
                  </w:tcBorders>
                  <w:noWrap w:val="0"/>
                  <w:vAlign w:val="center"/>
                </w:tcPr>
                <w:p w14:paraId="6002D54B">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rPr>
                  </w:pPr>
                  <w:r>
                    <w:rPr>
                      <w:rFonts w:hint="default" w:ascii="Times New Roman" w:hAnsi="Times New Roman" w:eastAsia="宋体" w:cs="Times New Roman"/>
                      <w:color w:val="auto"/>
                      <w:spacing w:val="0"/>
                      <w:w w:val="100"/>
                      <w:kern w:val="0"/>
                      <w:position w:val="0"/>
                      <w:sz w:val="21"/>
                      <w:szCs w:val="21"/>
                      <w:highlight w:val="none"/>
                      <w:u w:val="none"/>
                    </w:rPr>
                    <w:t>合理的绿化布局，和交管部门沟通协调，周边道路设置禁鸣、减速标志</w:t>
                  </w:r>
                </w:p>
              </w:tc>
              <w:tc>
                <w:tcPr>
                  <w:tcW w:w="606" w:type="pct"/>
                  <w:vMerge w:val="restart"/>
                  <w:tcBorders>
                    <w:top w:val="single" w:color="auto" w:sz="4" w:space="0"/>
                  </w:tcBorders>
                  <w:noWrap w:val="0"/>
                  <w:vAlign w:val="center"/>
                </w:tcPr>
                <w:p w14:paraId="326F3F8E">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rPr>
                  </w:pPr>
                  <w:r>
                    <w:rPr>
                      <w:rFonts w:hint="eastAsia" w:ascii="Times New Roman" w:hAnsi="Times New Roman" w:cs="Times New Roman"/>
                      <w:color w:val="auto"/>
                      <w:spacing w:val="0"/>
                      <w:w w:val="100"/>
                      <w:kern w:val="0"/>
                      <w:position w:val="0"/>
                      <w:sz w:val="21"/>
                      <w:szCs w:val="21"/>
                      <w:highlight w:val="none"/>
                      <w:u w:val="none"/>
                      <w:lang w:val="en-US" w:eastAsia="zh-CN"/>
                    </w:rPr>
                    <w:t>10</w:t>
                  </w:r>
                </w:p>
              </w:tc>
            </w:tr>
            <w:tr w14:paraId="6DAB29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107" w:hRule="atLeast"/>
                <w:jc w:val="center"/>
              </w:trPr>
              <w:tc>
                <w:tcPr>
                  <w:tcW w:w="226" w:type="pct"/>
                  <w:vMerge w:val="continue"/>
                  <w:noWrap w:val="0"/>
                  <w:vAlign w:val="center"/>
                </w:tcPr>
                <w:p w14:paraId="6F3859CC">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cs="Times New Roman"/>
                      <w:color w:val="auto"/>
                      <w:sz w:val="21"/>
                      <w:szCs w:val="21"/>
                      <w:highlight w:val="none"/>
                    </w:rPr>
                  </w:pPr>
                </w:p>
              </w:tc>
              <w:tc>
                <w:tcPr>
                  <w:tcW w:w="1060" w:type="pct"/>
                  <w:tcBorders>
                    <w:top w:val="single" w:color="auto" w:sz="4" w:space="0"/>
                    <w:bottom w:val="single" w:color="auto" w:sz="4" w:space="0"/>
                  </w:tcBorders>
                  <w:noWrap w:val="0"/>
                  <w:vAlign w:val="center"/>
                </w:tcPr>
                <w:p w14:paraId="00F01C3C">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rPr>
                  </w:pPr>
                  <w:r>
                    <w:rPr>
                      <w:rFonts w:hint="default" w:ascii="Times New Roman" w:hAnsi="Times New Roman" w:eastAsia="宋体" w:cs="Times New Roman"/>
                      <w:color w:val="auto"/>
                      <w:spacing w:val="0"/>
                      <w:w w:val="100"/>
                      <w:kern w:val="0"/>
                      <w:position w:val="0"/>
                      <w:sz w:val="21"/>
                      <w:szCs w:val="21"/>
                      <w:highlight w:val="none"/>
                      <w:u w:val="none"/>
                      <w:lang w:val="en-US" w:eastAsia="zh-CN"/>
                    </w:rPr>
                    <w:t>校园车辆</w:t>
                  </w:r>
                </w:p>
              </w:tc>
              <w:tc>
                <w:tcPr>
                  <w:tcW w:w="3105" w:type="pct"/>
                  <w:tcBorders>
                    <w:top w:val="single" w:color="auto" w:sz="4" w:space="0"/>
                    <w:bottom w:val="single" w:color="auto" w:sz="4" w:space="0"/>
                  </w:tcBorders>
                  <w:noWrap w:val="0"/>
                  <w:vAlign w:val="center"/>
                </w:tcPr>
                <w:p w14:paraId="13F91F03">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rPr>
                  </w:pPr>
                  <w:r>
                    <w:rPr>
                      <w:rFonts w:hint="default" w:ascii="Times New Roman" w:hAnsi="Times New Roman" w:eastAsia="宋体" w:cs="Times New Roman"/>
                      <w:color w:val="auto"/>
                      <w:spacing w:val="0"/>
                      <w:w w:val="100"/>
                      <w:kern w:val="0"/>
                      <w:position w:val="0"/>
                      <w:sz w:val="21"/>
                      <w:szCs w:val="21"/>
                      <w:highlight w:val="none"/>
                      <w:u w:val="none"/>
                    </w:rPr>
                    <w:t>设置限速、禁鸣标志</w:t>
                  </w:r>
                </w:p>
              </w:tc>
              <w:tc>
                <w:tcPr>
                  <w:tcW w:w="606" w:type="pct"/>
                  <w:vMerge w:val="continue"/>
                  <w:noWrap w:val="0"/>
                  <w:vAlign w:val="center"/>
                </w:tcPr>
                <w:p w14:paraId="2EEB5ABF">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rPr>
                  </w:pPr>
                </w:p>
              </w:tc>
            </w:tr>
            <w:tr w14:paraId="3572F3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652" w:hRule="atLeast"/>
                <w:jc w:val="center"/>
              </w:trPr>
              <w:tc>
                <w:tcPr>
                  <w:tcW w:w="226" w:type="pct"/>
                  <w:vMerge w:val="continue"/>
                  <w:tcBorders>
                    <w:bottom w:val="single" w:color="auto" w:sz="4" w:space="0"/>
                  </w:tcBorders>
                  <w:noWrap w:val="0"/>
                  <w:vAlign w:val="center"/>
                </w:tcPr>
                <w:p w14:paraId="2DD2EB55">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rPr>
                  </w:pPr>
                </w:p>
              </w:tc>
              <w:tc>
                <w:tcPr>
                  <w:tcW w:w="1060" w:type="pct"/>
                  <w:tcBorders>
                    <w:top w:val="single" w:color="auto" w:sz="4" w:space="0"/>
                    <w:bottom w:val="single" w:color="auto" w:sz="4" w:space="0"/>
                  </w:tcBorders>
                  <w:noWrap w:val="0"/>
                  <w:vAlign w:val="center"/>
                </w:tcPr>
                <w:p w14:paraId="4207ECAF">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lang w:val="en-US" w:eastAsia="zh-CN"/>
                    </w:rPr>
                  </w:pPr>
                  <w:r>
                    <w:rPr>
                      <w:rFonts w:hint="default" w:ascii="Times New Roman" w:hAnsi="Times New Roman" w:eastAsia="宋体" w:cs="Times New Roman"/>
                      <w:color w:val="auto"/>
                      <w:spacing w:val="0"/>
                      <w:w w:val="100"/>
                      <w:kern w:val="0"/>
                      <w:position w:val="0"/>
                      <w:sz w:val="21"/>
                      <w:szCs w:val="21"/>
                      <w:highlight w:val="none"/>
                      <w:u w:val="none"/>
                      <w:lang w:val="en-US" w:eastAsia="zh-CN"/>
                    </w:rPr>
                    <w:t>设备噪声</w:t>
                  </w:r>
                </w:p>
              </w:tc>
              <w:tc>
                <w:tcPr>
                  <w:tcW w:w="3105" w:type="pct"/>
                  <w:tcBorders>
                    <w:top w:val="single" w:color="auto" w:sz="4" w:space="0"/>
                    <w:bottom w:val="single" w:color="auto" w:sz="4" w:space="0"/>
                  </w:tcBorders>
                  <w:noWrap w:val="0"/>
                  <w:vAlign w:val="center"/>
                </w:tcPr>
                <w:p w14:paraId="22334807">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rPr>
                  </w:pPr>
                  <w:r>
                    <w:rPr>
                      <w:rFonts w:hint="default" w:ascii="Times New Roman" w:hAnsi="Times New Roman" w:eastAsia="宋体" w:cs="Times New Roman"/>
                      <w:color w:val="auto"/>
                      <w:spacing w:val="0"/>
                      <w:w w:val="100"/>
                      <w:kern w:val="0"/>
                      <w:position w:val="0"/>
                      <w:sz w:val="21"/>
                      <w:szCs w:val="21"/>
                      <w:highlight w:val="none"/>
                      <w:u w:val="none"/>
                    </w:rPr>
                    <w:t>选用低噪声设备，设置基础减振，采取消声、隔声措施等。</w:t>
                  </w:r>
                </w:p>
              </w:tc>
              <w:tc>
                <w:tcPr>
                  <w:tcW w:w="606" w:type="pct"/>
                  <w:vMerge w:val="continue"/>
                  <w:tcBorders>
                    <w:bottom w:val="single" w:color="auto" w:sz="4" w:space="0"/>
                  </w:tcBorders>
                  <w:noWrap w:val="0"/>
                  <w:vAlign w:val="center"/>
                </w:tcPr>
                <w:p w14:paraId="1CF6F808">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firstLineChars="0"/>
                    <w:jc w:val="center"/>
                    <w:textAlignment w:val="center"/>
                    <w:rPr>
                      <w:rFonts w:hint="default" w:ascii="Times New Roman" w:hAnsi="Times New Roman" w:eastAsia="宋体" w:cs="Times New Roman"/>
                      <w:color w:val="auto"/>
                      <w:spacing w:val="0"/>
                      <w:w w:val="100"/>
                      <w:kern w:val="0"/>
                      <w:position w:val="0"/>
                      <w:sz w:val="21"/>
                      <w:szCs w:val="21"/>
                      <w:highlight w:val="none"/>
                      <w:u w:val="none"/>
                    </w:rPr>
                  </w:pPr>
                </w:p>
              </w:tc>
            </w:tr>
            <w:tr w14:paraId="4EC15B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454" w:hRule="atLeast"/>
                <w:jc w:val="center"/>
              </w:trPr>
              <w:tc>
                <w:tcPr>
                  <w:tcW w:w="4393" w:type="pct"/>
                  <w:gridSpan w:val="3"/>
                  <w:noWrap w:val="0"/>
                  <w:vAlign w:val="center"/>
                </w:tcPr>
                <w:p w14:paraId="58C0536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spacing w:val="0"/>
                      <w:w w:val="100"/>
                      <w:kern w:val="0"/>
                      <w:position w:val="0"/>
                      <w:sz w:val="21"/>
                      <w:szCs w:val="21"/>
                      <w:highlight w:val="none"/>
                      <w:u w:val="none"/>
                      <w:lang w:eastAsia="zh-CN"/>
                    </w:rPr>
                  </w:pPr>
                  <w:r>
                    <w:rPr>
                      <w:rFonts w:hint="default" w:ascii="Times New Roman" w:hAnsi="Times New Roman" w:eastAsia="宋体" w:cs="Times New Roman"/>
                      <w:color w:val="auto"/>
                      <w:spacing w:val="0"/>
                      <w:w w:val="100"/>
                      <w:kern w:val="0"/>
                      <w:position w:val="0"/>
                      <w:sz w:val="21"/>
                      <w:szCs w:val="21"/>
                      <w:highlight w:val="none"/>
                      <w:u w:val="none"/>
                      <w:lang w:eastAsia="zh-CN"/>
                    </w:rPr>
                    <w:t>合计</w:t>
                  </w:r>
                </w:p>
              </w:tc>
              <w:tc>
                <w:tcPr>
                  <w:tcW w:w="606" w:type="pct"/>
                  <w:noWrap w:val="0"/>
                  <w:vAlign w:val="center"/>
                </w:tcPr>
                <w:p w14:paraId="7B83B3B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auto"/>
                      <w:spacing w:val="0"/>
                      <w:w w:val="100"/>
                      <w:kern w:val="0"/>
                      <w:position w:val="0"/>
                      <w:sz w:val="21"/>
                      <w:szCs w:val="21"/>
                      <w:highlight w:val="none"/>
                      <w:u w:val="none"/>
                      <w:lang w:val="en-US" w:eastAsia="zh-CN"/>
                    </w:rPr>
                  </w:pPr>
                  <w:r>
                    <w:rPr>
                      <w:rFonts w:hint="eastAsia" w:cs="Times New Roman"/>
                      <w:color w:val="auto"/>
                      <w:spacing w:val="0"/>
                      <w:w w:val="100"/>
                      <w:kern w:val="0"/>
                      <w:position w:val="0"/>
                      <w:sz w:val="21"/>
                      <w:szCs w:val="21"/>
                      <w:highlight w:val="none"/>
                      <w:u w:val="none"/>
                      <w:lang w:val="en-US" w:eastAsia="zh-CN"/>
                    </w:rPr>
                    <w:t>75.5</w:t>
                  </w:r>
                </w:p>
              </w:tc>
            </w:tr>
          </w:tbl>
          <w:p w14:paraId="202759D0">
            <w:pPr>
              <w:pStyle w:val="31"/>
              <w:ind w:left="0" w:leftChars="0" w:firstLine="0" w:firstLineChars="0"/>
              <w:jc w:val="left"/>
              <w:rPr>
                <w:rFonts w:hint="default"/>
                <w:color w:val="auto"/>
                <w:highlight w:val="none"/>
                <w:lang w:val="en-US" w:eastAsia="zh-CN"/>
              </w:rPr>
            </w:pPr>
          </w:p>
        </w:tc>
      </w:tr>
    </w:tbl>
    <w:p w14:paraId="32D080BE">
      <w:pPr>
        <w:rPr>
          <w:rFonts w:hint="eastAsia"/>
          <w:color w:val="auto"/>
          <w:highlight w:val="none"/>
          <w:lang w:eastAsia="zh-CN"/>
        </w:rPr>
        <w:sectPr>
          <w:pgSz w:w="11906" w:h="16838"/>
          <w:pgMar w:top="1701" w:right="1417" w:bottom="1701" w:left="1417" w:header="851" w:footer="992" w:gutter="0"/>
          <w:pgBorders>
            <w:top w:val="none" w:sz="0" w:space="0"/>
            <w:left w:val="none" w:sz="0" w:space="0"/>
            <w:bottom w:val="none" w:sz="0" w:space="0"/>
            <w:right w:val="none" w:sz="0" w:space="0"/>
          </w:pgBorders>
          <w:pgNumType w:fmt="decimal"/>
          <w:cols w:space="0" w:num="1"/>
          <w:rtlGutter w:val="0"/>
          <w:docGrid w:type="lines" w:linePitch="327" w:charSpace="0"/>
        </w:sectPr>
      </w:pPr>
    </w:p>
    <w:p w14:paraId="75F95979">
      <w:pPr>
        <w:pStyle w:val="2"/>
        <w:bidi w:val="0"/>
        <w:rPr>
          <w:rFonts w:hint="eastAsia"/>
          <w:color w:val="auto"/>
          <w:highlight w:val="none"/>
          <w:lang w:eastAsia="zh-CN"/>
        </w:rPr>
      </w:pPr>
      <w:bookmarkStart w:id="57" w:name="_Toc20366"/>
      <w:bookmarkStart w:id="58" w:name="_Toc12847"/>
      <w:bookmarkStart w:id="59" w:name="_Ref17581"/>
      <w:r>
        <w:rPr>
          <w:rFonts w:hint="eastAsia"/>
          <w:color w:val="auto"/>
          <w:highlight w:val="none"/>
          <w:lang w:eastAsia="zh-CN"/>
        </w:rPr>
        <w:t>环境保护措施监督检查清单</w:t>
      </w:r>
      <w:bookmarkEnd w:id="57"/>
      <w:bookmarkEnd w:id="58"/>
      <w:bookmarkEnd w:id="59"/>
    </w:p>
    <w:tbl>
      <w:tblPr>
        <w:tblStyle w:val="33"/>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58"/>
        <w:gridCol w:w="1322"/>
        <w:gridCol w:w="1555"/>
        <w:gridCol w:w="3273"/>
        <w:gridCol w:w="1980"/>
      </w:tblGrid>
      <w:tr w14:paraId="01B7A1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58" w:type="dxa"/>
            <w:noWrap w:val="0"/>
            <w:vAlign w:val="center"/>
            <mc:AlternateContent>
              <mc:Choice Requires="wpsCustomData">
                <wpsCustomData:diagonals>
                  <wpsCustomData:diagonal from="10000" to="30000">
                    <wpsCustomData:border w:val="single" w:color="auto" w:sz="4" w:space="0"/>
                  </wpsCustomData:diagonal>
                </wpsCustomData:diagonals>
              </mc:Choice>
            </mc:AlternateContent>
          </w:tcPr>
          <w:p w14:paraId="16EC4D11">
            <w:pPr>
              <w:pStyle w:val="39"/>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color w:val="auto"/>
                <w:sz w:val="24"/>
                <w:szCs w:val="24"/>
                <w:highlight w:val="none"/>
              </w:rPr>
            </w:pPr>
          </w:p>
          <w:p w14:paraId="26FA8434">
            <w:pPr>
              <w:pStyle w:val="39"/>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mc:AlternateContent>
                <mc:Choice Requires="wpsCustomData">
                  <wpsCustomData:diagonalParaType/>
                </mc:Choice>
              </mc:AlternateContent>
              <w:rPr>
                <w:color w:val="auto"/>
                <w:sz w:val="24"/>
                <w:szCs w:val="24"/>
                <w:highlight w:val="none"/>
              </w:rPr>
            </w:pPr>
            <w:r>
              <w:rPr>
                <w:color w:val="auto"/>
                <w:sz w:val="24"/>
                <w:szCs w:val="24"/>
                <w:highlight w:val="none"/>
              </w:rPr>
              <w:t>要素</w:t>
            </w:r>
          </w:p>
          <w:p w14:paraId="4F6B513F">
            <w:pPr>
              <w:pStyle w:val="39"/>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auto"/>
                <w:sz w:val="24"/>
                <w:szCs w:val="24"/>
                <w:highlight w:val="none"/>
              </w:rPr>
            </w:pPr>
            <w:r>
              <w:rPr>
                <w:color w:val="auto"/>
                <w:sz w:val="24"/>
                <w:szCs w:val="24"/>
                <w:highlight w:val="none"/>
              </w:rPr>
              <w:t>内容</w:t>
            </w:r>
          </w:p>
          <w:p w14:paraId="178A0C41">
            <w:pPr>
              <w:pStyle w:val="39"/>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auto"/>
                <w:sz w:val="24"/>
                <w:szCs w:val="24"/>
                <w:highlight w:val="none"/>
              </w:rPr>
            </w:pPr>
          </w:p>
        </w:tc>
        <w:tc>
          <w:tcPr>
            <w:tcW w:w="1322" w:type="dxa"/>
            <w:shd w:val="clear" w:color="auto" w:fill="auto"/>
            <w:noWrap w:val="0"/>
            <w:vAlign w:val="center"/>
          </w:tcPr>
          <w:p w14:paraId="563C2AC5">
            <w:pPr>
              <w:pStyle w:val="39"/>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auto"/>
                <w:sz w:val="24"/>
                <w:szCs w:val="24"/>
                <w:highlight w:val="none"/>
                <w:lang w:val="en-US" w:eastAsia="zh-CN"/>
              </w:rPr>
            </w:pPr>
            <w:r>
              <w:rPr>
                <w:color w:val="auto"/>
                <w:sz w:val="24"/>
                <w:szCs w:val="24"/>
                <w:highlight w:val="none"/>
              </w:rPr>
              <w:t>排放口</w:t>
            </w:r>
            <w:r>
              <w:rPr>
                <w:rFonts w:hint="eastAsia"/>
                <w:color w:val="auto"/>
                <w:sz w:val="24"/>
                <w:szCs w:val="24"/>
                <w:highlight w:val="none"/>
              </w:rPr>
              <w:t>（</w:t>
            </w:r>
            <w:r>
              <w:rPr>
                <w:color w:val="auto"/>
                <w:sz w:val="24"/>
                <w:szCs w:val="24"/>
                <w:highlight w:val="none"/>
              </w:rPr>
              <w:t>编号、名称</w:t>
            </w:r>
            <w:r>
              <w:rPr>
                <w:rFonts w:hint="eastAsia"/>
                <w:color w:val="auto"/>
                <w:sz w:val="24"/>
                <w:szCs w:val="24"/>
                <w:highlight w:val="none"/>
              </w:rPr>
              <w:t>）</w:t>
            </w:r>
            <w:r>
              <w:rPr>
                <w:color w:val="auto"/>
                <w:sz w:val="24"/>
                <w:szCs w:val="24"/>
                <w:highlight w:val="none"/>
              </w:rPr>
              <w:t>/污染源</w:t>
            </w:r>
          </w:p>
        </w:tc>
        <w:tc>
          <w:tcPr>
            <w:tcW w:w="1555" w:type="dxa"/>
            <w:shd w:val="clear" w:color="auto" w:fill="auto"/>
            <w:noWrap w:val="0"/>
            <w:vAlign w:val="center"/>
          </w:tcPr>
          <w:p w14:paraId="55803E97">
            <w:pPr>
              <w:pStyle w:val="39"/>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auto"/>
                <w:sz w:val="24"/>
                <w:szCs w:val="24"/>
                <w:highlight w:val="none"/>
                <w:lang w:val="en-US" w:eastAsia="zh-CN"/>
              </w:rPr>
            </w:pPr>
            <w:r>
              <w:rPr>
                <w:color w:val="auto"/>
                <w:sz w:val="24"/>
                <w:szCs w:val="24"/>
                <w:highlight w:val="none"/>
              </w:rPr>
              <w:t>污染物项目</w:t>
            </w:r>
          </w:p>
        </w:tc>
        <w:tc>
          <w:tcPr>
            <w:tcW w:w="3273" w:type="dxa"/>
            <w:shd w:val="clear" w:color="auto" w:fill="auto"/>
            <w:noWrap w:val="0"/>
            <w:vAlign w:val="center"/>
          </w:tcPr>
          <w:p w14:paraId="6EBC4481">
            <w:pPr>
              <w:pStyle w:val="39"/>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auto"/>
                <w:sz w:val="24"/>
                <w:szCs w:val="24"/>
                <w:highlight w:val="none"/>
                <w:lang w:val="en-US" w:eastAsia="zh-CN"/>
              </w:rPr>
            </w:pPr>
            <w:r>
              <w:rPr>
                <w:color w:val="auto"/>
                <w:sz w:val="24"/>
                <w:szCs w:val="24"/>
                <w:highlight w:val="none"/>
              </w:rPr>
              <w:t>环境保护措施</w:t>
            </w:r>
          </w:p>
        </w:tc>
        <w:tc>
          <w:tcPr>
            <w:tcW w:w="1980" w:type="dxa"/>
            <w:shd w:val="clear" w:color="auto" w:fill="auto"/>
            <w:noWrap w:val="0"/>
            <w:vAlign w:val="center"/>
          </w:tcPr>
          <w:p w14:paraId="0F65BDD3">
            <w:pPr>
              <w:pStyle w:val="39"/>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auto"/>
                <w:sz w:val="24"/>
                <w:szCs w:val="24"/>
                <w:highlight w:val="none"/>
                <w:lang w:val="en-US" w:eastAsia="zh-CN"/>
              </w:rPr>
            </w:pPr>
            <w:r>
              <w:rPr>
                <w:color w:val="auto"/>
                <w:sz w:val="24"/>
                <w:szCs w:val="24"/>
                <w:highlight w:val="none"/>
              </w:rPr>
              <w:t>执行标准</w:t>
            </w:r>
          </w:p>
        </w:tc>
      </w:tr>
      <w:tr w14:paraId="3BD511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158" w:type="dxa"/>
            <w:vMerge w:val="restart"/>
            <w:noWrap w:val="0"/>
            <w:vAlign w:val="center"/>
          </w:tcPr>
          <w:p w14:paraId="0FAF7607">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auto"/>
                <w:sz w:val="24"/>
                <w:szCs w:val="24"/>
                <w:highlight w:val="none"/>
              </w:rPr>
            </w:pPr>
            <w:r>
              <w:rPr>
                <w:color w:val="auto"/>
                <w:sz w:val="24"/>
                <w:szCs w:val="24"/>
                <w:highlight w:val="none"/>
              </w:rPr>
              <w:t>大气环境</w:t>
            </w:r>
          </w:p>
        </w:tc>
        <w:tc>
          <w:tcPr>
            <w:tcW w:w="1322" w:type="dxa"/>
            <w:noWrap w:val="0"/>
            <w:vAlign w:val="center"/>
          </w:tcPr>
          <w:p w14:paraId="63BF4BC0">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highlight w:val="none"/>
                <w:lang w:val="en-US" w:eastAsia="zh-CN"/>
              </w:rPr>
            </w:pPr>
            <w:r>
              <w:rPr>
                <w:rFonts w:hint="eastAsia"/>
                <w:color w:val="auto"/>
                <w:sz w:val="24"/>
                <w:szCs w:val="24"/>
                <w:highlight w:val="none"/>
                <w:lang w:val="en-US" w:eastAsia="zh-CN"/>
              </w:rPr>
              <w:t>实验室废气</w:t>
            </w:r>
          </w:p>
        </w:tc>
        <w:tc>
          <w:tcPr>
            <w:tcW w:w="1555" w:type="dxa"/>
            <w:noWrap w:val="0"/>
            <w:vAlign w:val="center"/>
          </w:tcPr>
          <w:p w14:paraId="1A8E6FA5">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highlight w:val="none"/>
                <w:lang w:val="en-US" w:eastAsia="zh-CN"/>
              </w:rPr>
            </w:pPr>
            <w:r>
              <w:rPr>
                <w:rFonts w:hint="eastAsia"/>
                <w:color w:val="auto"/>
                <w:sz w:val="24"/>
                <w:szCs w:val="24"/>
                <w:highlight w:val="none"/>
                <w:lang w:val="en-US" w:eastAsia="zh-CN"/>
              </w:rPr>
              <w:t>氯化氢、硫酸雾、硝酸雾、非甲烷总烃</w:t>
            </w:r>
          </w:p>
        </w:tc>
        <w:tc>
          <w:tcPr>
            <w:tcW w:w="3273" w:type="dxa"/>
            <w:noWrap w:val="0"/>
            <w:vAlign w:val="center"/>
          </w:tcPr>
          <w:p w14:paraId="23165606">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highlight w:val="none"/>
                <w:lang w:val="en-US" w:eastAsia="zh-CN"/>
              </w:rPr>
            </w:pPr>
            <w:r>
              <w:rPr>
                <w:rFonts w:hint="eastAsia"/>
                <w:color w:val="auto"/>
                <w:sz w:val="24"/>
                <w:szCs w:val="24"/>
                <w:highlight w:val="none"/>
                <w:lang w:val="en-US" w:eastAsia="zh-CN"/>
              </w:rPr>
              <w:t>每间化学实验室均安装2台机械排气扇；化学及生物实验室内均设置通风橱/吸风罩，实验室废气采用通风橱/吸风罩+通风管道+碱喷淋（配套脱水）+二级活性炭吸附装置处理后，通过高出楼顶1m排气筒（DA002，距地面高度23m）（建筑高度22m）排放。</w:t>
            </w:r>
          </w:p>
        </w:tc>
        <w:tc>
          <w:tcPr>
            <w:tcW w:w="1980" w:type="dxa"/>
            <w:noWrap w:val="0"/>
            <w:vAlign w:val="center"/>
          </w:tcPr>
          <w:p w14:paraId="087E7C58">
            <w:pPr>
              <w:pStyle w:val="43"/>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cs="宋体"/>
                <w:color w:val="auto"/>
                <w:sz w:val="24"/>
                <w:szCs w:val="24"/>
                <w:highlight w:val="none"/>
                <w:lang w:val="en-US" w:eastAsia="zh-CN"/>
              </w:rPr>
            </w:pPr>
            <w:r>
              <w:rPr>
                <w:rFonts w:hint="eastAsia" w:cs="宋体"/>
                <w:color w:val="auto"/>
                <w:sz w:val="24"/>
                <w:szCs w:val="24"/>
                <w:highlight w:val="none"/>
                <w:lang w:val="en-US" w:eastAsia="zh-CN"/>
              </w:rPr>
              <w:t>《大气污染物综合排放标准》（GB16297-1996）表2新污染源大气污染物排放限值中的二级排放标准及无组织排放监控浓度限值</w:t>
            </w:r>
          </w:p>
        </w:tc>
      </w:tr>
      <w:tr w14:paraId="56611B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158" w:type="dxa"/>
            <w:vMerge w:val="continue"/>
            <w:noWrap w:val="0"/>
            <w:vAlign w:val="center"/>
          </w:tcPr>
          <w:p w14:paraId="2A9D061C">
            <w:pPr>
              <w:pStyle w:val="43"/>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color w:val="auto"/>
                <w:highlight w:val="none"/>
              </w:rPr>
            </w:pPr>
          </w:p>
        </w:tc>
        <w:tc>
          <w:tcPr>
            <w:tcW w:w="1322" w:type="dxa"/>
            <w:noWrap w:val="0"/>
            <w:vAlign w:val="center"/>
          </w:tcPr>
          <w:p w14:paraId="57864888">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4"/>
                <w:szCs w:val="24"/>
                <w:highlight w:val="none"/>
                <w:lang w:val="en-US" w:eastAsia="zh-CN"/>
              </w:rPr>
            </w:pPr>
            <w:r>
              <w:rPr>
                <w:rFonts w:hint="eastAsia"/>
                <w:color w:val="auto"/>
                <w:sz w:val="24"/>
                <w:szCs w:val="24"/>
                <w:highlight w:val="none"/>
                <w:lang w:val="en-US" w:eastAsia="zh-CN"/>
              </w:rPr>
              <w:t>餐厅</w:t>
            </w:r>
          </w:p>
        </w:tc>
        <w:tc>
          <w:tcPr>
            <w:tcW w:w="1555" w:type="dxa"/>
            <w:noWrap w:val="0"/>
            <w:vAlign w:val="center"/>
          </w:tcPr>
          <w:p w14:paraId="3DF10F0A">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4"/>
                <w:szCs w:val="24"/>
                <w:highlight w:val="none"/>
                <w:lang w:val="en-US" w:eastAsia="zh-CN"/>
              </w:rPr>
            </w:pPr>
            <w:r>
              <w:rPr>
                <w:rFonts w:hint="eastAsia"/>
                <w:color w:val="auto"/>
                <w:sz w:val="24"/>
                <w:szCs w:val="24"/>
                <w:highlight w:val="none"/>
                <w:lang w:val="en-US" w:eastAsia="zh-CN"/>
              </w:rPr>
              <w:t>食堂油烟</w:t>
            </w:r>
          </w:p>
        </w:tc>
        <w:tc>
          <w:tcPr>
            <w:tcW w:w="3273" w:type="dxa"/>
            <w:noWrap w:val="0"/>
            <w:vAlign w:val="center"/>
          </w:tcPr>
          <w:p w14:paraId="4906E82F">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4"/>
                <w:szCs w:val="24"/>
                <w:highlight w:val="none"/>
                <w:lang w:val="en-US" w:eastAsia="zh-CN"/>
              </w:rPr>
            </w:pPr>
            <w:r>
              <w:rPr>
                <w:rFonts w:hint="eastAsia" w:ascii="Times New Roman" w:hAnsi="Times New Roman" w:eastAsia="宋体" w:cs="宋体"/>
                <w:color w:val="auto"/>
                <w:sz w:val="24"/>
                <w:szCs w:val="24"/>
                <w:highlight w:val="none"/>
                <w:lang w:val="en-US" w:eastAsia="zh-CN"/>
              </w:rPr>
              <w:t>食堂基准灶头均安装集气罩，食堂油烟经1套静电式油烟净化器处理后，通过排气筒（DA001）排放。</w:t>
            </w:r>
          </w:p>
        </w:tc>
        <w:tc>
          <w:tcPr>
            <w:tcW w:w="1980" w:type="dxa"/>
            <w:noWrap w:val="0"/>
            <w:vAlign w:val="center"/>
          </w:tcPr>
          <w:p w14:paraId="444FFE55">
            <w:pPr>
              <w:pStyle w:val="43"/>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eastAsia"/>
                <w:color w:val="auto"/>
                <w:sz w:val="24"/>
                <w:szCs w:val="24"/>
                <w:highlight w:val="none"/>
                <w:lang w:val="en-US" w:eastAsia="zh-CN"/>
              </w:rPr>
            </w:pPr>
            <w:r>
              <w:rPr>
                <w:rFonts w:hint="default" w:ascii="Times New Roman" w:hAnsi="Times New Roman" w:eastAsia="宋体" w:cs="宋体"/>
                <w:color w:val="auto"/>
                <w:sz w:val="24"/>
                <w:szCs w:val="24"/>
                <w:highlight w:val="none"/>
                <w:lang w:val="en-US" w:eastAsia="zh-CN"/>
              </w:rPr>
              <w:t>《饮食业油烟排放标准（试行）》（GB18483-2001）</w:t>
            </w:r>
            <w:r>
              <w:rPr>
                <w:rFonts w:hint="eastAsia" w:cs="宋体"/>
                <w:color w:val="auto"/>
                <w:sz w:val="24"/>
                <w:szCs w:val="24"/>
                <w:highlight w:val="none"/>
                <w:lang w:val="en-US" w:eastAsia="zh-CN"/>
              </w:rPr>
              <w:t>大</w:t>
            </w:r>
            <w:r>
              <w:rPr>
                <w:rFonts w:hint="default" w:ascii="Times New Roman" w:hAnsi="Times New Roman" w:eastAsia="宋体" w:cs="宋体"/>
                <w:color w:val="auto"/>
                <w:sz w:val="24"/>
                <w:szCs w:val="24"/>
                <w:highlight w:val="none"/>
                <w:lang w:val="en-US" w:eastAsia="zh-CN"/>
              </w:rPr>
              <w:t>型标准</w:t>
            </w:r>
          </w:p>
        </w:tc>
      </w:tr>
      <w:tr w14:paraId="3E8D63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58" w:type="dxa"/>
            <w:vMerge w:val="restart"/>
            <w:noWrap w:val="0"/>
            <w:vAlign w:val="center"/>
          </w:tcPr>
          <w:p w14:paraId="6AC7B5CC">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auto"/>
                <w:sz w:val="24"/>
                <w:szCs w:val="24"/>
                <w:highlight w:val="none"/>
              </w:rPr>
            </w:pPr>
            <w:r>
              <w:rPr>
                <w:color w:val="auto"/>
                <w:sz w:val="24"/>
                <w:szCs w:val="24"/>
                <w:highlight w:val="none"/>
              </w:rPr>
              <w:t>地表水</w:t>
            </w:r>
          </w:p>
          <w:p w14:paraId="1946C498">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auto"/>
                <w:sz w:val="24"/>
                <w:szCs w:val="24"/>
                <w:highlight w:val="none"/>
              </w:rPr>
            </w:pPr>
            <w:r>
              <w:rPr>
                <w:color w:val="auto"/>
                <w:sz w:val="24"/>
                <w:szCs w:val="24"/>
                <w:highlight w:val="none"/>
              </w:rPr>
              <w:t>环境</w:t>
            </w:r>
          </w:p>
        </w:tc>
        <w:tc>
          <w:tcPr>
            <w:tcW w:w="1322" w:type="dxa"/>
            <w:noWrap w:val="0"/>
            <w:vAlign w:val="center"/>
          </w:tcPr>
          <w:p w14:paraId="0C776D1F">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color w:val="auto"/>
                <w:sz w:val="24"/>
                <w:szCs w:val="24"/>
                <w:highlight w:val="none"/>
                <w:lang w:val="en-US" w:eastAsia="zh-CN"/>
              </w:rPr>
            </w:pPr>
            <w:r>
              <w:rPr>
                <w:rFonts w:hint="eastAsia" w:cs="宋体"/>
                <w:color w:val="auto"/>
                <w:sz w:val="24"/>
                <w:szCs w:val="24"/>
                <w:highlight w:val="none"/>
                <w:lang w:val="en-US" w:eastAsia="zh-CN"/>
              </w:rPr>
              <w:t>食堂废水</w:t>
            </w:r>
          </w:p>
        </w:tc>
        <w:tc>
          <w:tcPr>
            <w:tcW w:w="1555" w:type="dxa"/>
            <w:noWrap w:val="0"/>
            <w:vAlign w:val="center"/>
          </w:tcPr>
          <w:p w14:paraId="58F736AB">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auto"/>
                <w:sz w:val="24"/>
                <w:szCs w:val="24"/>
                <w:highlight w:val="none"/>
                <w:lang w:val="en-US" w:eastAsia="zh-CN"/>
              </w:rPr>
            </w:pPr>
            <w:r>
              <w:rPr>
                <w:rFonts w:hint="eastAsia"/>
                <w:color w:val="auto"/>
                <w:sz w:val="24"/>
                <w:szCs w:val="24"/>
                <w:highlight w:val="none"/>
                <w:lang w:val="en-US" w:eastAsia="zh-CN"/>
              </w:rPr>
              <w:t>化学需氧量、五日生氧量、悬浮物、氨氮、动植物油</w:t>
            </w:r>
          </w:p>
        </w:tc>
        <w:tc>
          <w:tcPr>
            <w:tcW w:w="3273" w:type="dxa"/>
            <w:noWrap w:val="0"/>
            <w:vAlign w:val="center"/>
          </w:tcPr>
          <w:p w14:paraId="178C5982">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color w:val="auto"/>
                <w:sz w:val="24"/>
                <w:szCs w:val="24"/>
                <w:highlight w:val="none"/>
                <w:lang w:val="en-US" w:eastAsia="zh-CN"/>
              </w:rPr>
            </w:pPr>
            <w:r>
              <w:rPr>
                <w:rFonts w:hint="default" w:ascii="Times New Roman" w:hAnsi="Times New Roman" w:eastAsia="宋体" w:cs="宋体"/>
                <w:color w:val="auto"/>
                <w:sz w:val="24"/>
                <w:szCs w:val="24"/>
                <w:highlight w:val="none"/>
                <w:lang w:val="en-US" w:eastAsia="zh-CN"/>
              </w:rPr>
              <w:t>隔油池总容积3m</w:t>
            </w:r>
            <w:r>
              <w:rPr>
                <w:rFonts w:hint="default" w:ascii="Times New Roman" w:hAnsi="Times New Roman" w:eastAsia="宋体" w:cs="宋体"/>
                <w:color w:val="auto"/>
                <w:sz w:val="24"/>
                <w:szCs w:val="24"/>
                <w:highlight w:val="none"/>
                <w:vertAlign w:val="superscript"/>
                <w:lang w:val="en-US" w:eastAsia="zh-CN"/>
              </w:rPr>
              <w:t>3</w:t>
            </w:r>
            <w:r>
              <w:rPr>
                <w:rFonts w:hint="default" w:ascii="Times New Roman" w:hAnsi="Times New Roman" w:eastAsia="宋体" w:cs="宋体"/>
                <w:color w:val="auto"/>
                <w:sz w:val="24"/>
                <w:szCs w:val="24"/>
                <w:highlight w:val="none"/>
                <w:lang w:val="en-US" w:eastAsia="zh-CN"/>
              </w:rPr>
              <w:t>，食堂废水经隔油池预处理后进入化粪池最后由学校总排口排入市政污水管网。</w:t>
            </w:r>
          </w:p>
        </w:tc>
        <w:tc>
          <w:tcPr>
            <w:tcW w:w="1980" w:type="dxa"/>
            <w:vMerge w:val="restart"/>
            <w:noWrap w:val="0"/>
            <w:vAlign w:val="center"/>
          </w:tcPr>
          <w:p w14:paraId="47729C87">
            <w:pPr>
              <w:pStyle w:val="43"/>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color w:val="auto"/>
                <w:sz w:val="24"/>
                <w:szCs w:val="24"/>
                <w:highlight w:val="none"/>
                <w:lang w:val="en-US" w:eastAsia="zh-CN"/>
              </w:rPr>
            </w:pPr>
            <w:r>
              <w:rPr>
                <w:rFonts w:hint="default"/>
                <w:color w:val="auto"/>
                <w:sz w:val="24"/>
                <w:szCs w:val="24"/>
                <w:highlight w:val="none"/>
                <w:lang w:val="en-US" w:eastAsia="zh-CN"/>
              </w:rPr>
              <w:t>《污水排入城镇下水道水质标准》（GB/T31962-2015）中</w:t>
            </w:r>
            <w:r>
              <w:rPr>
                <w:rFonts w:hint="eastAsia"/>
                <w:color w:val="auto"/>
                <w:sz w:val="24"/>
                <w:szCs w:val="24"/>
                <w:highlight w:val="none"/>
                <w:lang w:val="en-US" w:eastAsia="zh-CN"/>
              </w:rPr>
              <w:t>A级</w:t>
            </w:r>
            <w:r>
              <w:rPr>
                <w:rFonts w:hint="default"/>
                <w:color w:val="auto"/>
                <w:sz w:val="24"/>
                <w:szCs w:val="24"/>
                <w:highlight w:val="none"/>
                <w:lang w:val="en-US" w:eastAsia="zh-CN"/>
              </w:rPr>
              <w:t>标准</w:t>
            </w:r>
          </w:p>
        </w:tc>
      </w:tr>
      <w:tr w14:paraId="26A726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1158" w:type="dxa"/>
            <w:vMerge w:val="continue"/>
            <w:noWrap w:val="0"/>
            <w:vAlign w:val="center"/>
          </w:tcPr>
          <w:p w14:paraId="4B23CFFC">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auto"/>
                <w:sz w:val="24"/>
                <w:szCs w:val="24"/>
                <w:highlight w:val="none"/>
              </w:rPr>
            </w:pPr>
          </w:p>
        </w:tc>
        <w:tc>
          <w:tcPr>
            <w:tcW w:w="1322" w:type="dxa"/>
            <w:noWrap w:val="0"/>
            <w:vAlign w:val="center"/>
          </w:tcPr>
          <w:p w14:paraId="6D5E6287">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color w:val="auto"/>
                <w:sz w:val="24"/>
                <w:szCs w:val="24"/>
                <w:highlight w:val="none"/>
                <w:lang w:val="en-US" w:eastAsia="zh-CN"/>
              </w:rPr>
            </w:pPr>
            <w:r>
              <w:rPr>
                <w:rFonts w:hint="eastAsia" w:cs="宋体"/>
                <w:color w:val="auto"/>
                <w:sz w:val="24"/>
                <w:szCs w:val="24"/>
                <w:highlight w:val="none"/>
                <w:lang w:val="en-US" w:eastAsia="zh-CN"/>
              </w:rPr>
              <w:t>实验室废水</w:t>
            </w:r>
          </w:p>
        </w:tc>
        <w:tc>
          <w:tcPr>
            <w:tcW w:w="1555" w:type="dxa"/>
            <w:vMerge w:val="restart"/>
            <w:noWrap w:val="0"/>
            <w:vAlign w:val="center"/>
          </w:tcPr>
          <w:p w14:paraId="72638D8D">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highlight w:val="none"/>
                <w:lang w:val="en-US" w:eastAsia="zh-CN"/>
              </w:rPr>
            </w:pPr>
            <w:r>
              <w:rPr>
                <w:rFonts w:hint="eastAsia"/>
                <w:color w:val="auto"/>
                <w:sz w:val="24"/>
                <w:szCs w:val="24"/>
                <w:highlight w:val="none"/>
                <w:lang w:val="en-US" w:eastAsia="zh-CN"/>
              </w:rPr>
              <w:t>酸性、碱性废水</w:t>
            </w:r>
          </w:p>
        </w:tc>
        <w:tc>
          <w:tcPr>
            <w:tcW w:w="3273" w:type="dxa"/>
            <w:vMerge w:val="restart"/>
            <w:noWrap w:val="0"/>
            <w:vAlign w:val="center"/>
          </w:tcPr>
          <w:p w14:paraId="67B0E395">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color w:val="auto"/>
                <w:sz w:val="24"/>
                <w:szCs w:val="24"/>
                <w:highlight w:val="none"/>
                <w:lang w:val="en-US" w:eastAsia="zh-CN"/>
              </w:rPr>
            </w:pPr>
            <w:r>
              <w:rPr>
                <w:rFonts w:hint="default" w:ascii="Times New Roman" w:hAnsi="Times New Roman" w:eastAsia="宋体" w:cs="宋体"/>
                <w:color w:val="auto"/>
                <w:sz w:val="24"/>
                <w:szCs w:val="24"/>
                <w:highlight w:val="none"/>
                <w:lang w:val="en-US" w:eastAsia="zh-CN"/>
              </w:rPr>
              <w:t>化学及生物实验室废水单独设置排水系统，收集至室外酸碱中和池（1m</w:t>
            </w:r>
            <w:r>
              <w:rPr>
                <w:rFonts w:hint="default" w:ascii="Times New Roman" w:hAnsi="Times New Roman" w:eastAsia="宋体" w:cs="宋体"/>
                <w:color w:val="auto"/>
                <w:sz w:val="24"/>
                <w:szCs w:val="24"/>
                <w:highlight w:val="none"/>
                <w:vertAlign w:val="superscript"/>
                <w:lang w:val="en-US" w:eastAsia="zh-CN"/>
              </w:rPr>
              <w:t>3</w:t>
            </w:r>
            <w:r>
              <w:rPr>
                <w:rFonts w:hint="default" w:ascii="Times New Roman" w:hAnsi="Times New Roman" w:eastAsia="宋体" w:cs="宋体"/>
                <w:color w:val="auto"/>
                <w:sz w:val="24"/>
                <w:szCs w:val="24"/>
                <w:highlight w:val="none"/>
                <w:lang w:val="en-US" w:eastAsia="zh-CN"/>
              </w:rPr>
              <w:t>）调节后进入化粪池处理通过校区总排口排入市政污水管网。碱喷淋装置废水经酸碱中和池处理后进入化粪池处理，通过校区总排口排入市政污水管网。</w:t>
            </w:r>
          </w:p>
        </w:tc>
        <w:tc>
          <w:tcPr>
            <w:tcW w:w="1980" w:type="dxa"/>
            <w:vMerge w:val="continue"/>
            <w:noWrap w:val="0"/>
            <w:vAlign w:val="center"/>
          </w:tcPr>
          <w:p w14:paraId="0AEBED47">
            <w:pPr>
              <w:pStyle w:val="43"/>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eastAsia"/>
                <w:color w:val="auto"/>
                <w:sz w:val="24"/>
                <w:szCs w:val="24"/>
                <w:highlight w:val="none"/>
                <w:lang w:val="en-US" w:eastAsia="zh-CN"/>
              </w:rPr>
            </w:pPr>
          </w:p>
        </w:tc>
      </w:tr>
      <w:tr w14:paraId="675293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58" w:type="dxa"/>
            <w:vMerge w:val="continue"/>
            <w:noWrap w:val="0"/>
            <w:vAlign w:val="center"/>
          </w:tcPr>
          <w:p w14:paraId="4031FE55">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auto"/>
                <w:sz w:val="24"/>
                <w:szCs w:val="24"/>
                <w:highlight w:val="none"/>
              </w:rPr>
            </w:pPr>
          </w:p>
        </w:tc>
        <w:tc>
          <w:tcPr>
            <w:tcW w:w="1322" w:type="dxa"/>
            <w:noWrap w:val="0"/>
            <w:vAlign w:val="center"/>
          </w:tcPr>
          <w:p w14:paraId="79305656">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color w:val="auto"/>
                <w:sz w:val="24"/>
                <w:szCs w:val="24"/>
                <w:highlight w:val="none"/>
                <w:lang w:val="en-US" w:eastAsia="zh-CN"/>
              </w:rPr>
            </w:pPr>
            <w:r>
              <w:rPr>
                <w:rFonts w:hint="eastAsia" w:cs="宋体"/>
                <w:color w:val="auto"/>
                <w:sz w:val="24"/>
                <w:szCs w:val="24"/>
                <w:highlight w:val="none"/>
                <w:lang w:val="en-US" w:eastAsia="zh-CN"/>
              </w:rPr>
              <w:t>碱喷淋废水</w:t>
            </w:r>
          </w:p>
        </w:tc>
        <w:tc>
          <w:tcPr>
            <w:tcW w:w="1555" w:type="dxa"/>
            <w:vMerge w:val="continue"/>
            <w:noWrap w:val="0"/>
            <w:vAlign w:val="center"/>
          </w:tcPr>
          <w:p w14:paraId="18864C11">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4"/>
                <w:szCs w:val="24"/>
                <w:highlight w:val="none"/>
                <w:lang w:val="en-US" w:eastAsia="zh-CN"/>
              </w:rPr>
            </w:pPr>
          </w:p>
        </w:tc>
        <w:tc>
          <w:tcPr>
            <w:tcW w:w="3273" w:type="dxa"/>
            <w:vMerge w:val="continue"/>
            <w:noWrap w:val="0"/>
            <w:vAlign w:val="center"/>
          </w:tcPr>
          <w:p w14:paraId="76CB63F2">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auto"/>
                <w:sz w:val="24"/>
                <w:szCs w:val="24"/>
                <w:highlight w:val="none"/>
                <w:lang w:val="en-US" w:eastAsia="zh-CN"/>
              </w:rPr>
            </w:pPr>
          </w:p>
        </w:tc>
        <w:tc>
          <w:tcPr>
            <w:tcW w:w="1980" w:type="dxa"/>
            <w:vMerge w:val="continue"/>
            <w:noWrap w:val="0"/>
            <w:vAlign w:val="center"/>
          </w:tcPr>
          <w:p w14:paraId="066437E9">
            <w:pPr>
              <w:pStyle w:val="43"/>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eastAsia"/>
                <w:color w:val="auto"/>
                <w:sz w:val="24"/>
                <w:szCs w:val="24"/>
                <w:highlight w:val="none"/>
                <w:lang w:val="en-US" w:eastAsia="zh-CN"/>
              </w:rPr>
            </w:pPr>
          </w:p>
        </w:tc>
      </w:tr>
      <w:tr w14:paraId="4D07AC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58" w:type="dxa"/>
            <w:vMerge w:val="continue"/>
            <w:noWrap w:val="0"/>
            <w:vAlign w:val="center"/>
          </w:tcPr>
          <w:p w14:paraId="5ED45484">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auto"/>
                <w:sz w:val="24"/>
                <w:szCs w:val="24"/>
                <w:highlight w:val="none"/>
              </w:rPr>
            </w:pPr>
          </w:p>
        </w:tc>
        <w:tc>
          <w:tcPr>
            <w:tcW w:w="1322" w:type="dxa"/>
            <w:noWrap w:val="0"/>
            <w:vAlign w:val="center"/>
          </w:tcPr>
          <w:p w14:paraId="44442236">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color w:val="auto"/>
                <w:sz w:val="24"/>
                <w:szCs w:val="24"/>
                <w:highlight w:val="none"/>
                <w:lang w:val="en-US" w:eastAsia="zh-CN"/>
              </w:rPr>
            </w:pPr>
            <w:r>
              <w:rPr>
                <w:rFonts w:hint="default" w:ascii="Times New Roman" w:hAnsi="Times New Roman" w:eastAsia="宋体" w:cs="宋体"/>
                <w:color w:val="auto"/>
                <w:sz w:val="24"/>
                <w:szCs w:val="24"/>
                <w:highlight w:val="none"/>
                <w:lang w:val="en-US" w:eastAsia="zh-CN"/>
              </w:rPr>
              <w:t>生活污水</w:t>
            </w:r>
          </w:p>
        </w:tc>
        <w:tc>
          <w:tcPr>
            <w:tcW w:w="1555" w:type="dxa"/>
            <w:noWrap w:val="0"/>
            <w:vAlign w:val="center"/>
          </w:tcPr>
          <w:p w14:paraId="160DC0E8">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highlight w:val="none"/>
                <w:lang w:val="en-US" w:eastAsia="zh-CN"/>
              </w:rPr>
            </w:pPr>
            <w:r>
              <w:rPr>
                <w:rFonts w:hint="eastAsia"/>
                <w:color w:val="auto"/>
                <w:sz w:val="24"/>
                <w:szCs w:val="24"/>
                <w:highlight w:val="none"/>
                <w:lang w:val="en-US" w:eastAsia="zh-CN"/>
              </w:rPr>
              <w:t>化学需氧量、五日生氧量、悬浮物、氨氮</w:t>
            </w:r>
          </w:p>
        </w:tc>
        <w:tc>
          <w:tcPr>
            <w:tcW w:w="3273" w:type="dxa"/>
            <w:noWrap w:val="0"/>
            <w:vAlign w:val="center"/>
          </w:tcPr>
          <w:p w14:paraId="66D738CB">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auto"/>
                <w:sz w:val="24"/>
                <w:szCs w:val="24"/>
                <w:highlight w:val="none"/>
                <w:lang w:val="en-US" w:eastAsia="zh-CN"/>
              </w:rPr>
            </w:pPr>
            <w:r>
              <w:rPr>
                <w:rFonts w:hint="default" w:ascii="Times New Roman" w:hAnsi="Times New Roman" w:eastAsia="宋体" w:cs="宋体"/>
                <w:color w:val="auto"/>
                <w:sz w:val="24"/>
                <w:szCs w:val="24"/>
                <w:highlight w:val="none"/>
                <w:lang w:val="en-US" w:eastAsia="zh-CN"/>
              </w:rPr>
              <w:t>经化粪池处理后通过校区总排口排入市政污水管网。</w:t>
            </w:r>
          </w:p>
        </w:tc>
        <w:tc>
          <w:tcPr>
            <w:tcW w:w="1980" w:type="dxa"/>
            <w:vMerge w:val="continue"/>
            <w:noWrap w:val="0"/>
            <w:vAlign w:val="center"/>
          </w:tcPr>
          <w:p w14:paraId="4BD0B845">
            <w:pPr>
              <w:pStyle w:val="43"/>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color w:val="auto"/>
                <w:sz w:val="24"/>
                <w:szCs w:val="24"/>
                <w:highlight w:val="none"/>
                <w:lang w:val="en-US" w:eastAsia="zh-CN"/>
              </w:rPr>
            </w:pPr>
          </w:p>
        </w:tc>
      </w:tr>
      <w:tr w14:paraId="6AC96B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58" w:type="dxa"/>
            <w:noWrap w:val="0"/>
            <w:vAlign w:val="center"/>
          </w:tcPr>
          <w:p w14:paraId="2793D01A">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color w:val="auto"/>
                <w:sz w:val="24"/>
                <w:szCs w:val="24"/>
                <w:highlight w:val="none"/>
              </w:rPr>
            </w:pPr>
            <w:r>
              <w:rPr>
                <w:color w:val="auto"/>
                <w:sz w:val="24"/>
                <w:szCs w:val="24"/>
                <w:highlight w:val="none"/>
              </w:rPr>
              <w:t>声环境</w:t>
            </w:r>
          </w:p>
        </w:tc>
        <w:tc>
          <w:tcPr>
            <w:tcW w:w="1322" w:type="dxa"/>
            <w:noWrap w:val="0"/>
            <w:vAlign w:val="center"/>
          </w:tcPr>
          <w:p w14:paraId="4E4A21F0">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4"/>
                <w:szCs w:val="24"/>
                <w:highlight w:val="none"/>
                <w:lang w:eastAsia="zh-CN"/>
              </w:rPr>
            </w:pPr>
            <w:r>
              <w:rPr>
                <w:rFonts w:hint="eastAsia"/>
                <w:color w:val="auto"/>
                <w:sz w:val="24"/>
                <w:szCs w:val="24"/>
                <w:highlight w:val="none"/>
                <w:lang w:val="en-US" w:eastAsia="zh-CN"/>
              </w:rPr>
              <w:t>风机、泵类、车辆等</w:t>
            </w:r>
            <w:r>
              <w:rPr>
                <w:rFonts w:hint="eastAsia"/>
                <w:color w:val="auto"/>
                <w:sz w:val="24"/>
                <w:szCs w:val="24"/>
                <w:highlight w:val="none"/>
                <w:lang w:eastAsia="zh-CN"/>
              </w:rPr>
              <w:t>噪声</w:t>
            </w:r>
          </w:p>
        </w:tc>
        <w:tc>
          <w:tcPr>
            <w:tcW w:w="1555" w:type="dxa"/>
            <w:noWrap w:val="0"/>
            <w:vAlign w:val="center"/>
          </w:tcPr>
          <w:p w14:paraId="6BB6BBB8">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auto"/>
                <w:sz w:val="24"/>
                <w:szCs w:val="24"/>
                <w:highlight w:val="none"/>
                <w:lang w:val="en-US" w:eastAsia="zh-CN"/>
              </w:rPr>
            </w:pPr>
            <w:r>
              <w:rPr>
                <w:rFonts w:hint="eastAsia"/>
                <w:color w:val="auto"/>
                <w:sz w:val="24"/>
                <w:szCs w:val="24"/>
                <w:highlight w:val="none"/>
                <w:lang w:val="en-US" w:eastAsia="zh-CN"/>
              </w:rPr>
              <w:t>机械噪声、空气动力噪声</w:t>
            </w:r>
          </w:p>
        </w:tc>
        <w:tc>
          <w:tcPr>
            <w:tcW w:w="3273" w:type="dxa"/>
            <w:noWrap w:val="0"/>
            <w:vAlign w:val="center"/>
          </w:tcPr>
          <w:p w14:paraId="2AC91A8C">
            <w:pPr>
              <w:pStyle w:val="4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auto"/>
                <w:sz w:val="24"/>
                <w:szCs w:val="24"/>
                <w:highlight w:val="none"/>
                <w:lang w:val="en-US" w:eastAsia="zh-CN"/>
              </w:rPr>
            </w:pPr>
            <w:r>
              <w:rPr>
                <w:rFonts w:hint="eastAsia"/>
                <w:color w:val="auto"/>
                <w:sz w:val="24"/>
                <w:szCs w:val="24"/>
                <w:highlight w:val="none"/>
                <w:lang w:eastAsia="zh-CN"/>
              </w:rPr>
              <w:t>采用低噪声设备，软管连接，安装消声器，基础减振；设置限速、禁鸣标志</w:t>
            </w:r>
            <w:r>
              <w:rPr>
                <w:rFonts w:hint="eastAsia"/>
                <w:color w:val="auto"/>
                <w:sz w:val="24"/>
                <w:szCs w:val="24"/>
                <w:highlight w:val="none"/>
                <w:lang w:val="en-US" w:eastAsia="zh-CN"/>
              </w:rPr>
              <w:t>。</w:t>
            </w:r>
          </w:p>
        </w:tc>
        <w:tc>
          <w:tcPr>
            <w:tcW w:w="1980" w:type="dxa"/>
            <w:noWrap w:val="0"/>
            <w:vAlign w:val="center"/>
          </w:tcPr>
          <w:p w14:paraId="439ED356">
            <w:pPr>
              <w:pStyle w:val="43"/>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color w:val="auto"/>
                <w:sz w:val="24"/>
                <w:szCs w:val="24"/>
                <w:highlight w:val="none"/>
              </w:rPr>
            </w:pPr>
            <w:r>
              <w:rPr>
                <w:rFonts w:hint="eastAsia"/>
                <w:color w:val="auto"/>
                <w:sz w:val="24"/>
                <w:szCs w:val="24"/>
                <w:highlight w:val="none"/>
                <w:lang w:eastAsia="zh-CN"/>
              </w:rPr>
              <w:t>厂界噪声执行《工业企业厂界环境噪声排放标准》（GB12348-2008）的</w:t>
            </w:r>
            <w:r>
              <w:rPr>
                <w:rFonts w:hint="eastAsia"/>
                <w:color w:val="auto"/>
                <w:sz w:val="24"/>
                <w:szCs w:val="24"/>
                <w:highlight w:val="none"/>
                <w:lang w:val="en-US" w:eastAsia="zh-CN"/>
              </w:rPr>
              <w:t>1</w:t>
            </w:r>
            <w:r>
              <w:rPr>
                <w:rFonts w:hint="eastAsia"/>
                <w:color w:val="auto"/>
                <w:sz w:val="24"/>
                <w:szCs w:val="24"/>
                <w:highlight w:val="none"/>
                <w:lang w:eastAsia="zh-CN"/>
              </w:rPr>
              <w:t>类标准</w:t>
            </w:r>
          </w:p>
        </w:tc>
      </w:tr>
      <w:tr w14:paraId="481317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5" w:hRule="atLeast"/>
          <w:jc w:val="center"/>
        </w:trPr>
        <w:tc>
          <w:tcPr>
            <w:tcW w:w="1158" w:type="dxa"/>
            <w:noWrap w:val="0"/>
            <w:vAlign w:val="center"/>
          </w:tcPr>
          <w:p w14:paraId="49136FF5">
            <w:pPr>
              <w:pStyle w:val="43"/>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color w:val="auto"/>
                <w:sz w:val="24"/>
                <w:szCs w:val="24"/>
                <w:highlight w:val="none"/>
              </w:rPr>
            </w:pPr>
            <w:r>
              <w:rPr>
                <w:color w:val="auto"/>
                <w:sz w:val="24"/>
                <w:szCs w:val="24"/>
                <w:highlight w:val="none"/>
              </w:rPr>
              <w:t>固体废物</w:t>
            </w:r>
          </w:p>
        </w:tc>
        <w:tc>
          <w:tcPr>
            <w:tcW w:w="8130" w:type="dxa"/>
            <w:gridSpan w:val="4"/>
            <w:shd w:val="clear" w:color="auto" w:fill="auto"/>
            <w:noWrap w:val="0"/>
            <w:vAlign w:val="center"/>
          </w:tcPr>
          <w:p w14:paraId="2EB9675D">
            <w:pPr>
              <w:pStyle w:val="43"/>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宋体"/>
                <w:color w:val="auto"/>
                <w:kern w:val="2"/>
                <w:sz w:val="24"/>
                <w:szCs w:val="24"/>
                <w:highlight w:val="none"/>
                <w:lang w:val="en-US" w:eastAsia="zh-CN" w:bidi="ar-SA"/>
              </w:rPr>
            </w:pPr>
            <w:r>
              <w:rPr>
                <w:rFonts w:hint="eastAsia" w:ascii="Times New Roman" w:hAnsi="Times New Roman" w:eastAsia="宋体" w:cs="宋体"/>
                <w:color w:val="auto"/>
                <w:kern w:val="2"/>
                <w:sz w:val="24"/>
                <w:szCs w:val="24"/>
                <w:highlight w:val="none"/>
                <w:lang w:val="en-US" w:eastAsia="zh-CN" w:bidi="ar-SA"/>
              </w:rPr>
              <w:t>本项目</w:t>
            </w:r>
            <w:r>
              <w:rPr>
                <w:rFonts w:hint="eastAsia" w:cs="宋体"/>
                <w:color w:val="auto"/>
                <w:kern w:val="2"/>
                <w:sz w:val="24"/>
                <w:szCs w:val="24"/>
                <w:highlight w:val="none"/>
                <w:lang w:val="en-US" w:eastAsia="zh-CN" w:bidi="ar-SA"/>
              </w:rPr>
              <w:t>产生的</w:t>
            </w:r>
            <w:r>
              <w:rPr>
                <w:rFonts w:hint="eastAsia" w:ascii="Times New Roman" w:hAnsi="Times New Roman" w:eastAsia="宋体" w:cs="宋体"/>
                <w:color w:val="auto"/>
                <w:kern w:val="2"/>
                <w:sz w:val="24"/>
                <w:szCs w:val="24"/>
                <w:highlight w:val="none"/>
                <w:lang w:val="en-US" w:eastAsia="zh-CN" w:bidi="ar-SA"/>
              </w:rPr>
              <w:t>生活垃圾、食堂餐厨垃圾、隔油池废油脂、化学及生物实验室废物（一般固废）经收集分类后委托环卫部门统一处置；</w:t>
            </w:r>
          </w:p>
          <w:p w14:paraId="6FE2135F">
            <w:pPr>
              <w:pStyle w:val="43"/>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default" w:cs="宋体"/>
                <w:color w:val="auto"/>
                <w:kern w:val="2"/>
                <w:sz w:val="24"/>
                <w:szCs w:val="24"/>
                <w:highlight w:val="none"/>
                <w:lang w:val="en-US" w:eastAsia="zh-CN" w:bidi="ar-SA"/>
              </w:rPr>
            </w:pPr>
            <w:r>
              <w:rPr>
                <w:rFonts w:hint="eastAsia" w:ascii="Times New Roman" w:hAnsi="Times New Roman" w:eastAsia="宋体" w:cs="宋体"/>
                <w:color w:val="auto"/>
                <w:kern w:val="2"/>
                <w:sz w:val="24"/>
                <w:szCs w:val="24"/>
                <w:highlight w:val="none"/>
                <w:lang w:val="en-US" w:eastAsia="zh-CN" w:bidi="ar-SA"/>
              </w:rPr>
              <w:t>化学及生物实验室废物（危险废物）、废气治理措施产生的废活性炭（实验室废气治理设施）收集后暂存于</w:t>
            </w:r>
            <w:r>
              <w:rPr>
                <w:rFonts w:hint="eastAsia" w:cs="宋体"/>
                <w:color w:val="auto"/>
                <w:kern w:val="2"/>
                <w:sz w:val="24"/>
                <w:szCs w:val="24"/>
                <w:highlight w:val="none"/>
                <w:lang w:val="en-US" w:eastAsia="zh-CN" w:bidi="ar-SA"/>
              </w:rPr>
              <w:t>危废贮存点</w:t>
            </w:r>
            <w:r>
              <w:rPr>
                <w:rFonts w:hint="eastAsia" w:ascii="Times New Roman" w:hAnsi="Times New Roman" w:eastAsia="宋体" w:cs="宋体"/>
                <w:color w:val="auto"/>
                <w:kern w:val="2"/>
                <w:sz w:val="24"/>
                <w:szCs w:val="24"/>
                <w:highlight w:val="none"/>
                <w:lang w:val="en-US" w:eastAsia="zh-CN" w:bidi="ar-SA"/>
              </w:rPr>
              <w:t>中，委托有资质单位定期处置。</w:t>
            </w:r>
          </w:p>
        </w:tc>
      </w:tr>
      <w:tr w14:paraId="6FF445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59" w:hRule="atLeast"/>
          <w:jc w:val="center"/>
        </w:trPr>
        <w:tc>
          <w:tcPr>
            <w:tcW w:w="1158" w:type="dxa"/>
            <w:noWrap w:val="0"/>
            <w:vAlign w:val="center"/>
          </w:tcPr>
          <w:p w14:paraId="38D744A3">
            <w:pPr>
              <w:pStyle w:val="43"/>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color w:val="auto"/>
                <w:sz w:val="24"/>
                <w:szCs w:val="24"/>
                <w:highlight w:val="none"/>
              </w:rPr>
            </w:pPr>
            <w:r>
              <w:rPr>
                <w:color w:val="auto"/>
                <w:sz w:val="24"/>
                <w:szCs w:val="24"/>
                <w:highlight w:val="none"/>
              </w:rPr>
              <w:t>土壤及地下水污染防治措施</w:t>
            </w:r>
          </w:p>
        </w:tc>
        <w:tc>
          <w:tcPr>
            <w:tcW w:w="8130" w:type="dxa"/>
            <w:gridSpan w:val="4"/>
            <w:noWrap w:val="0"/>
            <w:vAlign w:val="center"/>
          </w:tcPr>
          <w:p w14:paraId="0DF30E46">
            <w:pPr>
              <w:keepNext w:val="0"/>
              <w:keepLines w:val="0"/>
              <w:pageBreakBefore w:val="0"/>
              <w:kinsoku/>
              <w:overflowPunct/>
              <w:topLinePunct w:val="0"/>
              <w:autoSpaceDE/>
              <w:autoSpaceDN/>
              <w:bidi w:val="0"/>
              <w:adjustRightInd/>
              <w:snapToGrid/>
              <w:spacing w:line="360" w:lineRule="auto"/>
              <w:textAlignment w:val="auto"/>
              <w:rPr>
                <w:rFonts w:hint="default" w:cs="Times New Roman"/>
                <w:bCs/>
                <w:color w:val="auto"/>
                <w:spacing w:val="4"/>
                <w:sz w:val="24"/>
                <w:szCs w:val="24"/>
                <w:highlight w:val="none"/>
                <w:lang w:val="en-US" w:eastAsia="zh-CN"/>
              </w:rPr>
            </w:pPr>
            <w:r>
              <w:rPr>
                <w:rFonts w:hint="default" w:cs="Times New Roman"/>
                <w:bCs/>
                <w:color w:val="auto"/>
                <w:spacing w:val="4"/>
                <w:sz w:val="24"/>
                <w:szCs w:val="24"/>
                <w:highlight w:val="none"/>
                <w:lang w:val="en-US" w:eastAsia="zh-CN"/>
              </w:rPr>
              <w:t>严格按照《危险废物贮存污染控制标准》（GB18597-2023）中规定建设规范的</w:t>
            </w:r>
            <w:r>
              <w:rPr>
                <w:rFonts w:hint="eastAsia" w:cs="Times New Roman"/>
                <w:bCs/>
                <w:color w:val="auto"/>
                <w:spacing w:val="4"/>
                <w:sz w:val="24"/>
                <w:szCs w:val="24"/>
                <w:highlight w:val="none"/>
                <w:lang w:val="en-US" w:eastAsia="zh-CN"/>
              </w:rPr>
              <w:t>危废暂存点</w:t>
            </w:r>
            <w:r>
              <w:rPr>
                <w:rFonts w:hint="default" w:cs="Times New Roman"/>
                <w:bCs/>
                <w:color w:val="auto"/>
                <w:spacing w:val="4"/>
                <w:sz w:val="24"/>
                <w:szCs w:val="24"/>
                <w:highlight w:val="none"/>
                <w:lang w:val="en-US" w:eastAsia="zh-CN"/>
              </w:rPr>
              <w:t>，按要求对危险废物进行贮存、暂存。基础必须防渗，防渗层为至少1m厚黏土层（渗透系数≤10</w:t>
            </w:r>
            <w:r>
              <w:rPr>
                <w:rFonts w:hint="default" w:cs="Times New Roman"/>
                <w:bCs/>
                <w:color w:val="auto"/>
                <w:spacing w:val="4"/>
                <w:sz w:val="24"/>
                <w:szCs w:val="24"/>
                <w:highlight w:val="none"/>
                <w:vertAlign w:val="superscript"/>
                <w:lang w:val="en-US" w:eastAsia="zh-CN"/>
              </w:rPr>
              <w:t>-7</w:t>
            </w:r>
            <w:r>
              <w:rPr>
                <w:rFonts w:hint="default" w:cs="Times New Roman"/>
                <w:bCs/>
                <w:color w:val="auto"/>
                <w:spacing w:val="4"/>
                <w:sz w:val="24"/>
                <w:szCs w:val="24"/>
                <w:highlight w:val="none"/>
                <w:lang w:val="en-US" w:eastAsia="zh-CN"/>
              </w:rPr>
              <w:t>cm/s），渗透系数≤10</w:t>
            </w:r>
            <w:r>
              <w:rPr>
                <w:rFonts w:hint="default" w:cs="Times New Roman"/>
                <w:bCs/>
                <w:color w:val="auto"/>
                <w:spacing w:val="4"/>
                <w:sz w:val="24"/>
                <w:szCs w:val="24"/>
                <w:highlight w:val="none"/>
                <w:vertAlign w:val="superscript"/>
                <w:lang w:val="en-US" w:eastAsia="zh-CN"/>
              </w:rPr>
              <w:t>-10</w:t>
            </w:r>
            <w:r>
              <w:rPr>
                <w:rFonts w:hint="default" w:cs="Times New Roman"/>
                <w:bCs/>
                <w:color w:val="auto"/>
                <w:spacing w:val="4"/>
                <w:sz w:val="24"/>
                <w:szCs w:val="24"/>
                <w:highlight w:val="none"/>
                <w:lang w:val="en-US" w:eastAsia="zh-CN"/>
              </w:rPr>
              <w:t>cm/s。</w:t>
            </w:r>
            <w:r>
              <w:rPr>
                <w:rFonts w:hint="eastAsia" w:cs="Times New Roman"/>
                <w:bCs/>
                <w:color w:val="auto"/>
                <w:spacing w:val="4"/>
                <w:sz w:val="24"/>
                <w:szCs w:val="24"/>
                <w:highlight w:val="none"/>
                <w:lang w:val="en-US" w:eastAsia="zh-CN"/>
              </w:rPr>
              <w:t>危废暂存点</w:t>
            </w:r>
            <w:r>
              <w:rPr>
                <w:rFonts w:hint="default" w:cs="Times New Roman"/>
                <w:bCs/>
                <w:color w:val="auto"/>
                <w:spacing w:val="4"/>
                <w:sz w:val="24"/>
                <w:szCs w:val="24"/>
                <w:highlight w:val="none"/>
                <w:lang w:val="en-US" w:eastAsia="zh-CN"/>
              </w:rPr>
              <w:t>的地面与裙脚要用坚固、防渗的材料建造，地面必须硬化、耐腐蚀，且表面无裂缝，并防风、防雨、防晒、防漏。对隔油池、化粪池、酸碱中和池做好基础的防渗等措施。</w:t>
            </w:r>
          </w:p>
        </w:tc>
      </w:tr>
      <w:tr w14:paraId="1F83EB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58" w:type="dxa"/>
            <w:noWrap w:val="0"/>
            <w:vAlign w:val="center"/>
          </w:tcPr>
          <w:p w14:paraId="67272CC5">
            <w:pPr>
              <w:pStyle w:val="43"/>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color w:val="auto"/>
                <w:sz w:val="24"/>
                <w:szCs w:val="24"/>
                <w:highlight w:val="none"/>
              </w:rPr>
            </w:pPr>
            <w:r>
              <w:rPr>
                <w:color w:val="auto"/>
                <w:sz w:val="24"/>
                <w:szCs w:val="24"/>
                <w:highlight w:val="none"/>
              </w:rPr>
              <w:t>生态保护措施</w:t>
            </w:r>
          </w:p>
        </w:tc>
        <w:tc>
          <w:tcPr>
            <w:tcW w:w="8130" w:type="dxa"/>
            <w:gridSpan w:val="4"/>
            <w:noWrap w:val="0"/>
            <w:vAlign w:val="center"/>
          </w:tcPr>
          <w:p w14:paraId="285EFAB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highlight w:val="none"/>
              </w:rPr>
            </w:pPr>
            <w:r>
              <w:rPr>
                <w:rFonts w:hint="eastAsia"/>
                <w:color w:val="auto"/>
                <w:sz w:val="24"/>
                <w:szCs w:val="24"/>
                <w:highlight w:val="none"/>
                <w:lang w:val="en-US" w:eastAsia="zh-CN"/>
              </w:rPr>
              <w:t>校园主干道设置景观、教学楼周边设置绿化区、操场周边设置绿化区、宿舍区设置绿化区。</w:t>
            </w:r>
          </w:p>
        </w:tc>
      </w:tr>
      <w:tr w14:paraId="5C835B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58" w:type="dxa"/>
            <w:noWrap w:val="0"/>
            <w:vAlign w:val="center"/>
          </w:tcPr>
          <w:p w14:paraId="091DA0CB">
            <w:pPr>
              <w:pStyle w:val="43"/>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color w:val="auto"/>
                <w:sz w:val="24"/>
                <w:szCs w:val="24"/>
                <w:highlight w:val="none"/>
              </w:rPr>
            </w:pPr>
            <w:r>
              <w:rPr>
                <w:color w:val="auto"/>
                <w:sz w:val="24"/>
                <w:szCs w:val="24"/>
                <w:highlight w:val="none"/>
              </w:rPr>
              <w:t>环境风险防范措施</w:t>
            </w:r>
          </w:p>
        </w:tc>
        <w:tc>
          <w:tcPr>
            <w:tcW w:w="8130" w:type="dxa"/>
            <w:gridSpan w:val="4"/>
            <w:noWrap w:val="0"/>
            <w:vAlign w:val="center"/>
          </w:tcPr>
          <w:p w14:paraId="44FA66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highlight w:val="none"/>
              </w:rPr>
            </w:pPr>
            <w:r>
              <w:rPr>
                <w:rFonts w:hint="eastAsia"/>
                <w:color w:val="auto"/>
                <w:sz w:val="24"/>
                <w:szCs w:val="24"/>
                <w:highlight w:val="none"/>
              </w:rPr>
              <w:t>①加强危险化学品的储存管理和风险防范；</w:t>
            </w:r>
          </w:p>
          <w:p w14:paraId="1AAA1053">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4"/>
                <w:szCs w:val="24"/>
                <w:highlight w:val="none"/>
              </w:rPr>
            </w:pPr>
            <w:r>
              <w:rPr>
                <w:rFonts w:hint="eastAsia"/>
                <w:color w:val="auto"/>
                <w:sz w:val="24"/>
                <w:szCs w:val="24"/>
                <w:highlight w:val="none"/>
              </w:rPr>
              <w:t>②应急要求：编制突发环境事件应急预案并按要求配备应急资源、进行应急演练等。</w:t>
            </w:r>
          </w:p>
        </w:tc>
      </w:tr>
      <w:tr w14:paraId="75CB2D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58" w:type="dxa"/>
            <w:noWrap w:val="0"/>
            <w:vAlign w:val="center"/>
          </w:tcPr>
          <w:p w14:paraId="1A74C111">
            <w:pPr>
              <w:pStyle w:val="43"/>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color w:val="auto"/>
                <w:sz w:val="24"/>
                <w:szCs w:val="24"/>
                <w:highlight w:val="none"/>
              </w:rPr>
            </w:pPr>
            <w:r>
              <w:rPr>
                <w:color w:val="auto"/>
                <w:sz w:val="24"/>
                <w:szCs w:val="24"/>
                <w:highlight w:val="none"/>
              </w:rPr>
              <w:t>其他环境管理要求</w:t>
            </w:r>
          </w:p>
        </w:tc>
        <w:tc>
          <w:tcPr>
            <w:tcW w:w="8130" w:type="dxa"/>
            <w:gridSpan w:val="4"/>
            <w:noWrap w:val="0"/>
            <w:vAlign w:val="center"/>
          </w:tcPr>
          <w:p w14:paraId="6F95A7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highlight w:val="none"/>
              </w:rPr>
            </w:pPr>
            <w:r>
              <w:rPr>
                <w:rFonts w:hint="eastAsia"/>
                <w:b/>
                <w:bCs/>
                <w:color w:val="auto"/>
                <w:sz w:val="24"/>
                <w:szCs w:val="24"/>
                <w:highlight w:val="none"/>
              </w:rPr>
              <w:t>施工期环境管理制度建设</w:t>
            </w:r>
          </w:p>
          <w:p w14:paraId="5AC2DB3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highlight w:val="none"/>
              </w:rPr>
            </w:pPr>
            <w:r>
              <w:rPr>
                <w:rFonts w:hint="eastAsia"/>
                <w:color w:val="auto"/>
                <w:sz w:val="24"/>
                <w:szCs w:val="24"/>
                <w:highlight w:val="none"/>
              </w:rPr>
              <w:t>环境管理与环保治理措施一样重要，是保证建设项目排污达到相应标准、控制建设地周围区域环境质量不下降的一个重要技术手段。在生产过程中对整个</w:t>
            </w:r>
            <w:r>
              <w:rPr>
                <w:rFonts w:hint="eastAsia"/>
                <w:color w:val="auto"/>
                <w:sz w:val="24"/>
                <w:szCs w:val="24"/>
                <w:highlight w:val="none"/>
                <w:lang w:val="en-US" w:eastAsia="zh-CN"/>
              </w:rPr>
              <w:t>学校</w:t>
            </w:r>
            <w:r>
              <w:rPr>
                <w:rFonts w:hint="eastAsia"/>
                <w:color w:val="auto"/>
                <w:sz w:val="24"/>
                <w:szCs w:val="24"/>
                <w:highlight w:val="none"/>
              </w:rPr>
              <w:t>的环保工作，项目废气、废水、噪声和固体废物处理处置情况进行监督管理，对外的环保协调工作，履行环境管理和环境监控职责，现分述如下：</w:t>
            </w:r>
          </w:p>
          <w:p w14:paraId="2550164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highlight w:val="none"/>
              </w:rPr>
            </w:pPr>
            <w:r>
              <w:rPr>
                <w:rFonts w:hint="eastAsia"/>
                <w:color w:val="auto"/>
                <w:sz w:val="24"/>
                <w:szCs w:val="24"/>
                <w:highlight w:val="none"/>
              </w:rPr>
              <w:t>1.建设单位环保责任：</w:t>
            </w:r>
          </w:p>
          <w:p w14:paraId="362E51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color w:val="auto"/>
                <w:sz w:val="24"/>
                <w:szCs w:val="24"/>
                <w:highlight w:val="none"/>
              </w:rPr>
              <w:t>负责落实环评报告及相关环保部门提出的各项环保要求和措施，确保环保资金投入</w:t>
            </w:r>
            <w:r>
              <w:rPr>
                <w:rFonts w:hint="eastAsia"/>
                <w:color w:val="auto"/>
                <w:sz w:val="24"/>
                <w:szCs w:val="24"/>
                <w:highlight w:val="none"/>
                <w:lang w:eastAsia="zh-CN"/>
              </w:rPr>
              <w:t>；</w:t>
            </w:r>
          </w:p>
          <w:p w14:paraId="4E9AFAE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color w:val="auto"/>
                <w:sz w:val="24"/>
                <w:szCs w:val="24"/>
                <w:highlight w:val="none"/>
              </w:rPr>
              <w:t>在工程招标时，将环保要求纳入招标文件和工程承包合同中，明确施工单位的环保责任</w:t>
            </w:r>
            <w:r>
              <w:rPr>
                <w:rFonts w:hint="eastAsia"/>
                <w:color w:val="auto"/>
                <w:sz w:val="24"/>
                <w:szCs w:val="24"/>
                <w:highlight w:val="none"/>
                <w:lang w:eastAsia="zh-CN"/>
              </w:rPr>
              <w:t>；</w:t>
            </w:r>
          </w:p>
          <w:p w14:paraId="05802CC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color w:val="auto"/>
                <w:sz w:val="24"/>
                <w:szCs w:val="24"/>
                <w:highlight w:val="none"/>
              </w:rPr>
              <w:t>组织开展施工期环境监测，监督施工单位的环保措施落实情况，对发现的问题及时督促整改</w:t>
            </w:r>
            <w:r>
              <w:rPr>
                <w:rFonts w:hint="eastAsia"/>
                <w:color w:val="auto"/>
                <w:sz w:val="24"/>
                <w:szCs w:val="24"/>
                <w:highlight w:val="none"/>
                <w:lang w:eastAsia="zh-CN"/>
              </w:rPr>
              <w:t>；</w:t>
            </w:r>
          </w:p>
          <w:p w14:paraId="44B54D7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color w:val="auto"/>
                <w:sz w:val="24"/>
                <w:szCs w:val="24"/>
                <w:highlight w:val="none"/>
              </w:rPr>
              <w:t>配合环保部门的监督检查工作，及时报送相关环保资料</w:t>
            </w:r>
            <w:r>
              <w:rPr>
                <w:rFonts w:hint="eastAsia"/>
                <w:color w:val="auto"/>
                <w:sz w:val="24"/>
                <w:szCs w:val="24"/>
                <w:highlight w:val="none"/>
                <w:lang w:eastAsia="zh-CN"/>
              </w:rPr>
              <w:t>。</w:t>
            </w:r>
          </w:p>
          <w:p w14:paraId="207A8B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highlight w:val="none"/>
              </w:rPr>
            </w:pPr>
            <w:r>
              <w:rPr>
                <w:rFonts w:hint="eastAsia"/>
                <w:color w:val="auto"/>
                <w:sz w:val="24"/>
                <w:szCs w:val="24"/>
                <w:highlight w:val="none"/>
              </w:rPr>
              <w:t>2.监理单位环保责任：</w:t>
            </w:r>
          </w:p>
          <w:p w14:paraId="7BA8C7D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color w:val="auto"/>
                <w:sz w:val="24"/>
                <w:szCs w:val="24"/>
                <w:highlight w:val="none"/>
              </w:rPr>
              <w:t>对施工单位的环保措施落实情况进行监督检查，确保施工过程符合环保要求</w:t>
            </w:r>
            <w:r>
              <w:rPr>
                <w:rFonts w:hint="eastAsia"/>
                <w:color w:val="auto"/>
                <w:sz w:val="24"/>
                <w:szCs w:val="24"/>
                <w:highlight w:val="none"/>
                <w:lang w:eastAsia="zh-CN"/>
              </w:rPr>
              <w:t>；</w:t>
            </w:r>
          </w:p>
          <w:p w14:paraId="7F37431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color w:val="auto"/>
                <w:sz w:val="24"/>
                <w:szCs w:val="24"/>
                <w:highlight w:val="none"/>
              </w:rPr>
              <w:t>发现施工单位有违反环保规定的行为，及时要求施工单位整改，并向建设单位报告</w:t>
            </w:r>
            <w:r>
              <w:rPr>
                <w:rFonts w:hint="eastAsia"/>
                <w:color w:val="auto"/>
                <w:sz w:val="24"/>
                <w:szCs w:val="24"/>
                <w:highlight w:val="none"/>
                <w:lang w:eastAsia="zh-CN"/>
              </w:rPr>
              <w:t>；</w:t>
            </w:r>
          </w:p>
          <w:p w14:paraId="5169219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color w:val="auto"/>
                <w:sz w:val="24"/>
                <w:szCs w:val="24"/>
                <w:highlight w:val="none"/>
              </w:rPr>
              <w:t>参与建设单位组织的环境监测工作，对监测数据进行审核</w:t>
            </w:r>
            <w:r>
              <w:rPr>
                <w:rFonts w:hint="eastAsia"/>
                <w:color w:val="auto"/>
                <w:sz w:val="24"/>
                <w:szCs w:val="24"/>
                <w:highlight w:val="none"/>
                <w:lang w:eastAsia="zh-CN"/>
              </w:rPr>
              <w:t>；</w:t>
            </w:r>
          </w:p>
          <w:p w14:paraId="4CDD7A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协助建设单位协调处理施工过程中与周边居民因环境问题产生的纠纷。</w:t>
            </w:r>
          </w:p>
          <w:p w14:paraId="405390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3.施工单位环保责任：</w:t>
            </w:r>
          </w:p>
          <w:p w14:paraId="687C577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制定详细的环境保护方案，包括扬尘、噪声、废水、固废等方面的具体控制措施，并严格执行</w:t>
            </w:r>
            <w:r>
              <w:rPr>
                <w:rFonts w:hint="eastAsia"/>
                <w:color w:val="auto"/>
                <w:sz w:val="24"/>
                <w:szCs w:val="24"/>
                <w:highlight w:val="none"/>
                <w:lang w:eastAsia="zh-CN"/>
              </w:rPr>
              <w:t>；</w:t>
            </w:r>
          </w:p>
          <w:p w14:paraId="4AD0ADF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配备专门的环境保护管理人员，负责施工现场的环保工作日常管理和监督</w:t>
            </w:r>
            <w:r>
              <w:rPr>
                <w:rFonts w:hint="eastAsia"/>
                <w:color w:val="auto"/>
                <w:sz w:val="24"/>
                <w:szCs w:val="24"/>
                <w:highlight w:val="none"/>
                <w:lang w:eastAsia="zh-CN"/>
              </w:rPr>
              <w:t>；</w:t>
            </w:r>
          </w:p>
          <w:p w14:paraId="7F43F0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定期组织环境保护培训，提高施工人员的环保意识，确保每位员工了解其在施工过程中的环境保护责任</w:t>
            </w:r>
            <w:r>
              <w:rPr>
                <w:rFonts w:hint="eastAsia"/>
                <w:color w:val="auto"/>
                <w:sz w:val="24"/>
                <w:szCs w:val="24"/>
                <w:highlight w:val="none"/>
                <w:lang w:eastAsia="zh-CN"/>
              </w:rPr>
              <w:t>；</w:t>
            </w:r>
          </w:p>
          <w:p w14:paraId="38B4CD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按照规定进行环境影响评估，识别潜在环境风险，制定相应的预防措施，并向当地生态环境部门报备施工环境保护方案，获得批准后方可开工</w:t>
            </w:r>
            <w:r>
              <w:rPr>
                <w:rFonts w:hint="eastAsia"/>
                <w:color w:val="auto"/>
                <w:sz w:val="24"/>
                <w:szCs w:val="24"/>
                <w:highlight w:val="none"/>
                <w:lang w:eastAsia="zh-CN"/>
              </w:rPr>
              <w:t>；</w:t>
            </w:r>
          </w:p>
          <w:p w14:paraId="758FE3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与相关部门协商，制定施工期间的交通、排污、噪声等管理方案，并严格遵守</w:t>
            </w:r>
            <w:r>
              <w:rPr>
                <w:rFonts w:hint="eastAsia"/>
                <w:color w:val="auto"/>
                <w:sz w:val="24"/>
                <w:szCs w:val="24"/>
                <w:highlight w:val="none"/>
                <w:lang w:eastAsia="zh-CN"/>
              </w:rPr>
              <w:t>；</w:t>
            </w:r>
          </w:p>
          <w:p w14:paraId="1FC640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在施工过程中，采取有效措施控制施工扬尘、噪声、废水和固废的排放，对产生的环境问题及时进行整改。</w:t>
            </w:r>
          </w:p>
          <w:p w14:paraId="4AC108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b/>
                <w:bCs/>
                <w:color w:val="auto"/>
                <w:sz w:val="24"/>
                <w:szCs w:val="24"/>
                <w:highlight w:val="none"/>
                <w:lang w:eastAsia="zh-CN"/>
              </w:rPr>
              <w:t>运营期</w:t>
            </w:r>
            <w:r>
              <w:rPr>
                <w:rFonts w:hint="eastAsia"/>
                <w:b/>
                <w:bCs/>
                <w:color w:val="auto"/>
                <w:sz w:val="24"/>
                <w:szCs w:val="24"/>
                <w:highlight w:val="none"/>
              </w:rPr>
              <w:t>环境管理制度建设</w:t>
            </w:r>
          </w:p>
          <w:p w14:paraId="20186F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1）环境管理职责</w:t>
            </w:r>
          </w:p>
          <w:p w14:paraId="3D813F3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①认真贯彻执行</w:t>
            </w:r>
            <w:r>
              <w:rPr>
                <w:rFonts w:hint="eastAsia"/>
                <w:color w:val="auto"/>
                <w:sz w:val="24"/>
                <w:szCs w:val="24"/>
                <w:highlight w:val="none"/>
                <w:lang w:val="en-US" w:eastAsia="zh-CN"/>
              </w:rPr>
              <w:t>学校</w:t>
            </w:r>
            <w:r>
              <w:rPr>
                <w:rFonts w:hint="eastAsia" w:eastAsia="宋体"/>
                <w:color w:val="auto"/>
                <w:sz w:val="24"/>
                <w:szCs w:val="24"/>
                <w:highlight w:val="none"/>
                <w:lang w:eastAsia="zh-CN"/>
              </w:rPr>
              <w:t>管理要求，实行清洁生产，把环保工作落到实处；</w:t>
            </w:r>
          </w:p>
          <w:p w14:paraId="3402275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②建立各种环境管理制度，并经常检查监督；</w:t>
            </w:r>
          </w:p>
          <w:p w14:paraId="176FF01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③编制项目环境保护规划并组织实施；</w:t>
            </w:r>
          </w:p>
          <w:p w14:paraId="6273DDD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④领导并组织实施项目的环境监测工作，建立监控档案；</w:t>
            </w:r>
          </w:p>
          <w:p w14:paraId="3EA73AE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⑤抓好环境教育和技术培训工作，提高员工素质；</w:t>
            </w:r>
          </w:p>
          <w:p w14:paraId="12E9D66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⑥建立项目有关污染物排放和环保设施运转的规章制度；</w:t>
            </w:r>
          </w:p>
          <w:p w14:paraId="1E605C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⑦负责日常环境管理工作，并配合生态环境管理部门做好与其他社会各界有关环保问题的协调工作；</w:t>
            </w:r>
          </w:p>
          <w:p w14:paraId="7AB358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⑧制定突发性事故的应急处理方案并参与突发性事故的应急处理工作；</w:t>
            </w:r>
          </w:p>
          <w:p w14:paraId="3F2A4E5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⑨定期检查监督环保法规执行情况，及时和有关部门联系落实各方面的环保措施，使之正常运行。</w:t>
            </w:r>
          </w:p>
          <w:p w14:paraId="40DAF2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2）规范排放口</w:t>
            </w:r>
          </w:p>
          <w:p w14:paraId="7FFC371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企业在严格进行环境管理的同时还应遵照国家对排污口规范的要求，在</w:t>
            </w:r>
            <w:r>
              <w:rPr>
                <w:rFonts w:hint="eastAsia"/>
                <w:color w:val="auto"/>
                <w:sz w:val="24"/>
                <w:szCs w:val="24"/>
                <w:highlight w:val="none"/>
                <w:lang w:val="en-US" w:eastAsia="zh-CN"/>
              </w:rPr>
              <w:t>校区</w:t>
            </w:r>
            <w:r>
              <w:rPr>
                <w:rFonts w:hint="eastAsia" w:eastAsia="宋体"/>
                <w:color w:val="auto"/>
                <w:sz w:val="24"/>
                <w:szCs w:val="24"/>
                <w:highlight w:val="none"/>
                <w:lang w:eastAsia="zh-CN"/>
              </w:rPr>
              <w:t>“三废”及噪声排放点设置明显标志，标志的设置应执行《环境保护图形标志排放口（源）》（GB15562.1—1995）及《环境保护图形固体废物贮存（处置）场》（GB15562.2—1995）及2023年修改单中有关规定。排放口图形标志见表5-1。</w:t>
            </w:r>
          </w:p>
          <w:p w14:paraId="2FEFE6B9">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b/>
                <w:bCs/>
                <w:color w:val="auto"/>
                <w:spacing w:val="1"/>
                <w:sz w:val="21"/>
                <w:szCs w:val="21"/>
                <w:highlight w:val="none"/>
              </w:rPr>
              <w:t>表5-1环境保护图形标志</w:t>
            </w:r>
          </w:p>
          <w:tbl>
            <w:tblPr>
              <w:tblStyle w:val="47"/>
              <w:tblW w:w="4998" w:type="pct"/>
              <w:tblInd w:w="7" w:type="dxa"/>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autofit"/>
              <w:tblCellMar>
                <w:top w:w="0" w:type="dxa"/>
                <w:left w:w="0" w:type="dxa"/>
                <w:bottom w:w="0" w:type="dxa"/>
                <w:right w:w="0" w:type="dxa"/>
              </w:tblCellMar>
            </w:tblPr>
            <w:tblGrid>
              <w:gridCol w:w="1617"/>
              <w:gridCol w:w="2093"/>
              <w:gridCol w:w="2095"/>
              <w:gridCol w:w="2096"/>
            </w:tblGrid>
            <w:tr w14:paraId="1BCC013E">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023" w:type="pct"/>
                  <w:vAlign w:val="center"/>
                </w:tcPr>
                <w:p w14:paraId="6404510B">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bCs/>
                      <w:color w:val="auto"/>
                      <w:sz w:val="21"/>
                      <w:szCs w:val="21"/>
                      <w:highlight w:val="none"/>
                    </w:rPr>
                  </w:pPr>
                  <w:r>
                    <w:rPr>
                      <w:b/>
                      <w:bCs/>
                      <w:color w:val="auto"/>
                      <w:spacing w:val="-4"/>
                      <w:sz w:val="21"/>
                      <w:szCs w:val="21"/>
                      <w:highlight w:val="none"/>
                    </w:rPr>
                    <w:t>排放口</w:t>
                  </w:r>
                </w:p>
              </w:tc>
              <w:tc>
                <w:tcPr>
                  <w:tcW w:w="1324" w:type="pct"/>
                  <w:vAlign w:val="center"/>
                </w:tcPr>
                <w:p w14:paraId="36925F70">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bCs/>
                      <w:color w:val="auto"/>
                      <w:sz w:val="21"/>
                      <w:szCs w:val="21"/>
                      <w:highlight w:val="none"/>
                    </w:rPr>
                  </w:pPr>
                  <w:r>
                    <w:rPr>
                      <w:b/>
                      <w:bCs/>
                      <w:color w:val="auto"/>
                      <w:spacing w:val="-3"/>
                      <w:sz w:val="21"/>
                      <w:szCs w:val="21"/>
                      <w:highlight w:val="none"/>
                    </w:rPr>
                    <w:t>废水排口</w:t>
                  </w:r>
                </w:p>
              </w:tc>
              <w:tc>
                <w:tcPr>
                  <w:tcW w:w="1325" w:type="pct"/>
                  <w:vAlign w:val="center"/>
                </w:tcPr>
                <w:p w14:paraId="58F517FC">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bCs/>
                      <w:color w:val="auto"/>
                      <w:sz w:val="21"/>
                      <w:szCs w:val="21"/>
                      <w:highlight w:val="none"/>
                    </w:rPr>
                  </w:pPr>
                  <w:r>
                    <w:rPr>
                      <w:b/>
                      <w:bCs/>
                      <w:color w:val="auto"/>
                      <w:spacing w:val="-7"/>
                      <w:sz w:val="21"/>
                      <w:szCs w:val="21"/>
                      <w:highlight w:val="none"/>
                    </w:rPr>
                    <w:t>噪声源</w:t>
                  </w:r>
                </w:p>
              </w:tc>
              <w:tc>
                <w:tcPr>
                  <w:tcW w:w="1326" w:type="pct"/>
                  <w:vAlign w:val="center"/>
                </w:tcPr>
                <w:p w14:paraId="438EB1CA">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bCs/>
                      <w:color w:val="auto"/>
                      <w:sz w:val="21"/>
                      <w:szCs w:val="21"/>
                      <w:highlight w:val="none"/>
                    </w:rPr>
                  </w:pPr>
                  <w:r>
                    <w:rPr>
                      <w:rFonts w:hint="eastAsia"/>
                      <w:b/>
                      <w:bCs/>
                      <w:color w:val="auto"/>
                      <w:spacing w:val="-6"/>
                      <w:sz w:val="21"/>
                      <w:szCs w:val="21"/>
                      <w:highlight w:val="none"/>
                      <w:lang w:val="en-US" w:eastAsia="zh-CN"/>
                    </w:rPr>
                    <w:t>危险</w:t>
                  </w:r>
                  <w:r>
                    <w:rPr>
                      <w:b/>
                      <w:bCs/>
                      <w:color w:val="auto"/>
                      <w:spacing w:val="-6"/>
                      <w:sz w:val="21"/>
                      <w:szCs w:val="21"/>
                      <w:highlight w:val="none"/>
                    </w:rPr>
                    <w:t>废物</w:t>
                  </w:r>
                </w:p>
              </w:tc>
            </w:tr>
            <w:tr w14:paraId="4B8F3DFD">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023" w:type="pct"/>
                  <w:vAlign w:val="center"/>
                </w:tcPr>
                <w:p w14:paraId="71854857">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 w:val="21"/>
                      <w:szCs w:val="21"/>
                      <w:highlight w:val="none"/>
                    </w:rPr>
                  </w:pPr>
                  <w:r>
                    <w:rPr>
                      <w:color w:val="auto"/>
                      <w:spacing w:val="-9"/>
                      <w:sz w:val="21"/>
                      <w:szCs w:val="21"/>
                      <w:highlight w:val="none"/>
                    </w:rPr>
                    <w:t>图形符号</w:t>
                  </w:r>
                </w:p>
              </w:tc>
              <w:tc>
                <w:tcPr>
                  <w:tcW w:w="1324" w:type="pct"/>
                  <w:vAlign w:val="center"/>
                </w:tcPr>
                <w:p w14:paraId="0FD6DDB0">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 w:val="21"/>
                      <w:szCs w:val="21"/>
                      <w:highlight w:val="none"/>
                    </w:rPr>
                  </w:pPr>
                  <w:r>
                    <w:rPr>
                      <w:color w:val="auto"/>
                      <w:position w:val="-18"/>
                      <w:sz w:val="21"/>
                      <w:szCs w:val="21"/>
                      <w:highlight w:val="none"/>
                    </w:rPr>
                    <w:drawing>
                      <wp:inline distT="0" distB="0" distL="0" distR="0">
                        <wp:extent cx="569595" cy="575945"/>
                        <wp:effectExtent l="0" t="0" r="1905" b="14605"/>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20"/>
                                <a:stretch>
                                  <a:fillRect/>
                                </a:stretch>
                              </pic:blipFill>
                              <pic:spPr>
                                <a:xfrm>
                                  <a:off x="0" y="0"/>
                                  <a:ext cx="569975" cy="576072"/>
                                </a:xfrm>
                                <a:prstGeom prst="rect">
                                  <a:avLst/>
                                </a:prstGeom>
                              </pic:spPr>
                            </pic:pic>
                          </a:graphicData>
                        </a:graphic>
                      </wp:inline>
                    </w:drawing>
                  </w:r>
                </w:p>
              </w:tc>
              <w:tc>
                <w:tcPr>
                  <w:tcW w:w="1325" w:type="pct"/>
                  <w:vAlign w:val="center"/>
                </w:tcPr>
                <w:p w14:paraId="4E0B689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 w:val="21"/>
                      <w:szCs w:val="21"/>
                      <w:highlight w:val="none"/>
                    </w:rPr>
                  </w:pPr>
                  <w:r>
                    <w:rPr>
                      <w:color w:val="auto"/>
                      <w:position w:val="-18"/>
                      <w:sz w:val="21"/>
                      <w:szCs w:val="21"/>
                      <w:highlight w:val="none"/>
                    </w:rPr>
                    <w:drawing>
                      <wp:inline distT="0" distB="0" distL="0" distR="0">
                        <wp:extent cx="568325" cy="575945"/>
                        <wp:effectExtent l="0" t="0" r="3175" b="14605"/>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21"/>
                                <a:stretch>
                                  <a:fillRect/>
                                </a:stretch>
                              </pic:blipFill>
                              <pic:spPr>
                                <a:xfrm>
                                  <a:off x="0" y="0"/>
                                  <a:ext cx="568452" cy="576071"/>
                                </a:xfrm>
                                <a:prstGeom prst="rect">
                                  <a:avLst/>
                                </a:prstGeom>
                              </pic:spPr>
                            </pic:pic>
                          </a:graphicData>
                        </a:graphic>
                      </wp:inline>
                    </w:drawing>
                  </w:r>
                </w:p>
              </w:tc>
              <w:tc>
                <w:tcPr>
                  <w:tcW w:w="1326" w:type="pct"/>
                  <w:vAlign w:val="center"/>
                </w:tcPr>
                <w:p w14:paraId="2260843E">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eastAsia="宋体"/>
                      <w:color w:val="auto"/>
                      <w:sz w:val="21"/>
                      <w:szCs w:val="21"/>
                      <w:highlight w:val="none"/>
                      <w:lang w:eastAsia="zh-CN"/>
                    </w:rPr>
                  </w:pPr>
                  <w:r>
                    <w:rPr>
                      <w:rFonts w:hint="eastAsia" w:eastAsia="宋体"/>
                      <w:color w:val="auto"/>
                      <w:sz w:val="21"/>
                      <w:szCs w:val="21"/>
                      <w:highlight w:val="none"/>
                      <w:lang w:eastAsia="zh-CN"/>
                    </w:rPr>
                    <w:drawing>
                      <wp:inline distT="0" distB="0" distL="114300" distR="114300">
                        <wp:extent cx="633730" cy="562610"/>
                        <wp:effectExtent l="0" t="0" r="13970" b="8890"/>
                        <wp:docPr id="87" name="图片 87" descr="a4f8f204c0448490a7bb419fae516f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a4f8f204c0448490a7bb419fae516f92"/>
                                <pic:cNvPicPr>
                                  <a:picLocks noChangeAspect="1"/>
                                </pic:cNvPicPr>
                              </pic:nvPicPr>
                              <pic:blipFill>
                                <a:blip r:embed="rId22"/>
                                <a:stretch>
                                  <a:fillRect/>
                                </a:stretch>
                              </pic:blipFill>
                              <pic:spPr>
                                <a:xfrm>
                                  <a:off x="0" y="0"/>
                                  <a:ext cx="633730" cy="562610"/>
                                </a:xfrm>
                                <a:prstGeom prst="rect">
                                  <a:avLst/>
                                </a:prstGeom>
                              </pic:spPr>
                            </pic:pic>
                          </a:graphicData>
                        </a:graphic>
                      </wp:inline>
                    </w:drawing>
                  </w:r>
                </w:p>
              </w:tc>
            </w:tr>
            <w:tr w14:paraId="01CFF742">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023" w:type="pct"/>
                  <w:vAlign w:val="center"/>
                </w:tcPr>
                <w:p w14:paraId="41A653C3">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 w:val="21"/>
                      <w:szCs w:val="21"/>
                      <w:highlight w:val="none"/>
                    </w:rPr>
                  </w:pPr>
                  <w:r>
                    <w:rPr>
                      <w:color w:val="auto"/>
                      <w:spacing w:val="-4"/>
                      <w:sz w:val="21"/>
                      <w:szCs w:val="21"/>
                      <w:highlight w:val="none"/>
                    </w:rPr>
                    <w:t>背景颜色</w:t>
                  </w:r>
                </w:p>
              </w:tc>
              <w:tc>
                <w:tcPr>
                  <w:tcW w:w="2649" w:type="pct"/>
                  <w:gridSpan w:val="2"/>
                  <w:vAlign w:val="center"/>
                </w:tcPr>
                <w:p w14:paraId="0A00D1FA">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 w:val="21"/>
                      <w:szCs w:val="21"/>
                      <w:highlight w:val="none"/>
                    </w:rPr>
                  </w:pPr>
                  <w:r>
                    <w:rPr>
                      <w:color w:val="auto"/>
                      <w:spacing w:val="-6"/>
                      <w:sz w:val="21"/>
                      <w:szCs w:val="21"/>
                      <w:highlight w:val="none"/>
                    </w:rPr>
                    <w:t>绿色</w:t>
                  </w:r>
                </w:p>
              </w:tc>
              <w:tc>
                <w:tcPr>
                  <w:tcW w:w="1326" w:type="pct"/>
                  <w:vAlign w:val="center"/>
                </w:tcPr>
                <w:p w14:paraId="6AA5F21A">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 w:val="21"/>
                      <w:szCs w:val="21"/>
                      <w:highlight w:val="none"/>
                    </w:rPr>
                  </w:pPr>
                  <w:r>
                    <w:rPr>
                      <w:color w:val="auto"/>
                      <w:spacing w:val="-5"/>
                      <w:sz w:val="21"/>
                      <w:szCs w:val="21"/>
                      <w:highlight w:val="none"/>
                    </w:rPr>
                    <w:t>黄色</w:t>
                  </w:r>
                </w:p>
              </w:tc>
            </w:tr>
            <w:tr w14:paraId="4D904AFF">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023" w:type="pct"/>
                  <w:vAlign w:val="center"/>
                </w:tcPr>
                <w:p w14:paraId="70C32205">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 w:val="21"/>
                      <w:szCs w:val="21"/>
                      <w:highlight w:val="none"/>
                    </w:rPr>
                  </w:pPr>
                  <w:r>
                    <w:rPr>
                      <w:color w:val="auto"/>
                      <w:spacing w:val="-9"/>
                      <w:sz w:val="21"/>
                      <w:szCs w:val="21"/>
                      <w:highlight w:val="none"/>
                    </w:rPr>
                    <w:t>图形颜色</w:t>
                  </w:r>
                </w:p>
              </w:tc>
              <w:tc>
                <w:tcPr>
                  <w:tcW w:w="2649" w:type="pct"/>
                  <w:gridSpan w:val="2"/>
                  <w:vAlign w:val="center"/>
                </w:tcPr>
                <w:p w14:paraId="33254B92">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 w:val="21"/>
                      <w:szCs w:val="21"/>
                      <w:highlight w:val="none"/>
                    </w:rPr>
                  </w:pPr>
                  <w:r>
                    <w:rPr>
                      <w:color w:val="auto"/>
                      <w:spacing w:val="-23"/>
                      <w:sz w:val="21"/>
                      <w:szCs w:val="21"/>
                      <w:highlight w:val="none"/>
                    </w:rPr>
                    <w:t>白色</w:t>
                  </w:r>
                </w:p>
              </w:tc>
              <w:tc>
                <w:tcPr>
                  <w:tcW w:w="1326" w:type="pct"/>
                  <w:vAlign w:val="center"/>
                </w:tcPr>
                <w:p w14:paraId="72FC4FDB">
                  <w:pPr>
                    <w:pStyle w:val="52"/>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 w:val="21"/>
                      <w:szCs w:val="21"/>
                      <w:highlight w:val="none"/>
                    </w:rPr>
                  </w:pPr>
                  <w:r>
                    <w:rPr>
                      <w:color w:val="auto"/>
                      <w:spacing w:val="-8"/>
                      <w:sz w:val="21"/>
                      <w:szCs w:val="21"/>
                      <w:highlight w:val="none"/>
                    </w:rPr>
                    <w:t>黑色</w:t>
                  </w:r>
                </w:p>
              </w:tc>
            </w:tr>
          </w:tbl>
          <w:p w14:paraId="2441C82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1、排污口管理</w:t>
            </w:r>
          </w:p>
          <w:p w14:paraId="39D3AFB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排污口是</w:t>
            </w:r>
            <w:r>
              <w:rPr>
                <w:rFonts w:hint="eastAsia"/>
                <w:color w:val="auto"/>
                <w:sz w:val="24"/>
                <w:szCs w:val="24"/>
                <w:highlight w:val="none"/>
                <w:lang w:val="en-US" w:eastAsia="zh-CN"/>
              </w:rPr>
              <w:t>校区</w:t>
            </w:r>
            <w:r>
              <w:rPr>
                <w:rFonts w:hint="eastAsia" w:eastAsia="宋体"/>
                <w:color w:val="auto"/>
                <w:sz w:val="24"/>
                <w:szCs w:val="24"/>
                <w:highlight w:val="none"/>
                <w:lang w:eastAsia="zh-CN"/>
              </w:rPr>
              <w:t>污染物进入环境，污染环境的通道，强化排污口的管理是实施污染物总量控制的基础工作之一，也是区域环境管理逐步实现污染物排放科学化、定量化的重要手段。具体管理原则如下：</w:t>
            </w:r>
          </w:p>
          <w:p w14:paraId="77FC32B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1</w:t>
            </w:r>
            <w:r>
              <w:rPr>
                <w:rFonts w:hint="eastAsia"/>
                <w:color w:val="auto"/>
                <w:sz w:val="24"/>
                <w:szCs w:val="24"/>
                <w:highlight w:val="none"/>
                <w:lang w:eastAsia="zh-CN"/>
              </w:rPr>
              <w:t>）</w:t>
            </w:r>
            <w:r>
              <w:rPr>
                <w:rFonts w:hint="eastAsia" w:eastAsia="宋体"/>
                <w:color w:val="auto"/>
                <w:sz w:val="24"/>
                <w:szCs w:val="24"/>
                <w:highlight w:val="none"/>
                <w:lang w:eastAsia="zh-CN"/>
              </w:rPr>
              <w:t>向环境排放污染物的排放口必须规范化；</w:t>
            </w:r>
          </w:p>
          <w:p w14:paraId="370CD9D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2</w:t>
            </w:r>
            <w:r>
              <w:rPr>
                <w:rFonts w:hint="eastAsia"/>
                <w:color w:val="auto"/>
                <w:sz w:val="24"/>
                <w:szCs w:val="24"/>
                <w:highlight w:val="none"/>
                <w:lang w:eastAsia="zh-CN"/>
              </w:rPr>
              <w:t>）</w:t>
            </w:r>
            <w:r>
              <w:rPr>
                <w:rFonts w:hint="eastAsia" w:eastAsia="宋体"/>
                <w:color w:val="auto"/>
                <w:sz w:val="24"/>
                <w:szCs w:val="24"/>
                <w:highlight w:val="none"/>
                <w:lang w:eastAsia="zh-CN"/>
              </w:rPr>
              <w:t>列入总量控制污染物、排污口列为管理重点；</w:t>
            </w:r>
          </w:p>
          <w:p w14:paraId="2702DCA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3</w:t>
            </w:r>
            <w:r>
              <w:rPr>
                <w:rFonts w:hint="eastAsia"/>
                <w:color w:val="auto"/>
                <w:sz w:val="24"/>
                <w:szCs w:val="24"/>
                <w:highlight w:val="none"/>
                <w:lang w:eastAsia="zh-CN"/>
              </w:rPr>
              <w:t>）</w:t>
            </w:r>
            <w:r>
              <w:rPr>
                <w:rFonts w:hint="eastAsia" w:eastAsia="宋体"/>
                <w:color w:val="auto"/>
                <w:sz w:val="24"/>
                <w:szCs w:val="24"/>
                <w:highlight w:val="none"/>
                <w:lang w:eastAsia="zh-CN"/>
              </w:rPr>
              <w:t>排污口应便于采样与计量监测，便于日常现场监督检查；</w:t>
            </w:r>
          </w:p>
          <w:p w14:paraId="752E28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4</w:t>
            </w:r>
            <w:r>
              <w:rPr>
                <w:rFonts w:hint="eastAsia"/>
                <w:color w:val="auto"/>
                <w:sz w:val="24"/>
                <w:szCs w:val="24"/>
                <w:highlight w:val="none"/>
                <w:lang w:eastAsia="zh-CN"/>
              </w:rPr>
              <w:t>）</w:t>
            </w:r>
            <w:r>
              <w:rPr>
                <w:rFonts w:hint="eastAsia" w:eastAsia="宋体"/>
                <w:color w:val="auto"/>
                <w:sz w:val="24"/>
                <w:szCs w:val="24"/>
                <w:highlight w:val="none"/>
                <w:lang w:eastAsia="zh-CN"/>
              </w:rPr>
              <w:t>如实向生态环境局申报排污口数量、位置及所排放的主要污染物种类、数量、浓度、排放去向等情况；</w:t>
            </w:r>
          </w:p>
          <w:p w14:paraId="62C91FC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2、排污口立标和建档</w:t>
            </w:r>
          </w:p>
          <w:p w14:paraId="274BF77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1）排污口立标管理</w:t>
            </w:r>
          </w:p>
          <w:p w14:paraId="01E84C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对上述污染物排放口和固体废物堆场，应按照国家有关规定，设置国家统一规定的环境保护图形标志牌。</w:t>
            </w:r>
          </w:p>
          <w:p w14:paraId="6D918E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（1）污染物排放口的环保图形标志牌应设置在靠近采样点且醒目处，标志牌设置高度为其上边缘距离地面约2m；</w:t>
            </w:r>
          </w:p>
          <w:p w14:paraId="3AAB712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（2）一般排污单位污染物排放口，可根据情况设置立式或平面固定式标志牌。</w:t>
            </w:r>
          </w:p>
          <w:p w14:paraId="12EE085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2）排污口建档管理</w:t>
            </w:r>
          </w:p>
          <w:p w14:paraId="7764A6C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（1）本项目应使用原国家环保总局统一印制的《中华人民共和国规范化排污口标志登记证》，并按要求填写有关内容；</w:t>
            </w:r>
          </w:p>
          <w:p w14:paraId="5B0DB5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（2）根据排污口管理内容要求，项目建成投产后，应将主要污染物种类、数量、浓度、排放去向，达标情况及设施运行情况记录于档案。</w:t>
            </w:r>
          </w:p>
          <w:p w14:paraId="61C2A71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3、信息公开</w:t>
            </w:r>
          </w:p>
          <w:p w14:paraId="3FB34EE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highlight w:val="none"/>
                <w:lang w:eastAsia="zh-CN"/>
              </w:rPr>
            </w:pPr>
            <w:r>
              <w:rPr>
                <w:rFonts w:hint="eastAsia" w:eastAsia="宋体"/>
                <w:color w:val="auto"/>
                <w:sz w:val="24"/>
                <w:szCs w:val="24"/>
                <w:highlight w:val="none"/>
                <w:lang w:eastAsia="zh-CN"/>
              </w:rPr>
              <w:t>如实向社会公开工程主要污染物的名称、排放方式、排放浓度，以及污染防治设施的建设和运行情况。</w:t>
            </w:r>
          </w:p>
        </w:tc>
      </w:tr>
    </w:tbl>
    <w:p w14:paraId="547A5F46">
      <w:pPr>
        <w:pStyle w:val="43"/>
        <w:bidi w:val="0"/>
        <w:rPr>
          <w:rFonts w:hint="eastAsia"/>
          <w:color w:val="auto"/>
          <w:highlight w:val="none"/>
          <w:lang w:eastAsia="zh-CN"/>
        </w:rPr>
      </w:pPr>
      <w:bookmarkStart w:id="60" w:name="_Ref32215"/>
      <w:r>
        <w:rPr>
          <w:rFonts w:hint="eastAsia"/>
          <w:color w:val="auto"/>
          <w:highlight w:val="none"/>
          <w:lang w:eastAsia="zh-CN"/>
        </w:rPr>
        <w:br w:type="page"/>
      </w:r>
      <w:bookmarkEnd w:id="60"/>
    </w:p>
    <w:p w14:paraId="088DF8BB">
      <w:pPr>
        <w:pStyle w:val="2"/>
        <w:bidi w:val="0"/>
        <w:rPr>
          <w:rFonts w:hint="eastAsia"/>
          <w:color w:val="auto"/>
          <w:highlight w:val="none"/>
          <w:lang w:eastAsia="zh-CN"/>
        </w:rPr>
      </w:pPr>
      <w:bookmarkStart w:id="61" w:name="_Toc19931"/>
      <w:bookmarkStart w:id="62" w:name="_Toc30693"/>
      <w:r>
        <w:rPr>
          <w:rFonts w:hint="eastAsia"/>
          <w:color w:val="auto"/>
          <w:highlight w:val="none"/>
          <w:lang w:eastAsia="zh-CN"/>
        </w:rPr>
        <w:t>结论</w:t>
      </w:r>
      <w:bookmarkEnd w:id="61"/>
      <w:bookmarkEnd w:id="62"/>
    </w:p>
    <w:tbl>
      <w:tblPr>
        <w:tblStyle w:val="34"/>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4DA481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02" w:hRule="atLeast"/>
        </w:trPr>
        <w:tc>
          <w:tcPr>
            <w:tcW w:w="9060" w:type="dxa"/>
            <w:vAlign w:val="center"/>
          </w:tcPr>
          <w:p w14:paraId="7A31182F">
            <w:pPr>
              <w:bidi w:val="0"/>
              <w:rPr>
                <w:rFonts w:hint="eastAsia"/>
                <w:color w:val="auto"/>
                <w:highlight w:val="none"/>
                <w:lang w:eastAsia="zh-CN"/>
              </w:rPr>
            </w:pPr>
            <w:r>
              <w:rPr>
                <w:rFonts w:hint="eastAsia"/>
                <w:color w:val="auto"/>
                <w:highlight w:val="none"/>
                <w:lang w:val="en-US" w:eastAsia="zh-CN"/>
              </w:rPr>
              <w:t>从环境保护角度</w:t>
            </w:r>
            <w:r>
              <w:rPr>
                <w:rFonts w:hint="eastAsia"/>
                <w:color w:val="auto"/>
                <w:highlight w:val="none"/>
                <w:lang w:eastAsia="zh-CN"/>
              </w:rPr>
              <w:t>，山西省长治市壶关县高级中学建设项目</w:t>
            </w:r>
            <w:r>
              <w:rPr>
                <w:rFonts w:hint="eastAsia"/>
                <w:color w:val="auto"/>
                <w:highlight w:val="none"/>
                <w:lang w:val="en-US" w:eastAsia="zh-CN"/>
              </w:rPr>
              <w:t>环境影响</w:t>
            </w:r>
            <w:r>
              <w:rPr>
                <w:rFonts w:hint="eastAsia"/>
                <w:color w:val="auto"/>
                <w:highlight w:val="none"/>
                <w:lang w:eastAsia="zh-CN"/>
              </w:rPr>
              <w:t>可行。</w:t>
            </w:r>
          </w:p>
        </w:tc>
      </w:tr>
    </w:tbl>
    <w:p w14:paraId="3A14747C">
      <w:pPr>
        <w:bidi w:val="0"/>
        <w:rPr>
          <w:rFonts w:hint="eastAsia"/>
          <w:color w:val="auto"/>
          <w:sz w:val="2"/>
          <w:szCs w:val="2"/>
          <w:highlight w:val="none"/>
          <w:lang w:eastAsia="zh-CN"/>
        </w:rPr>
        <w:sectPr>
          <w:pgSz w:w="11906" w:h="16838"/>
          <w:pgMar w:top="1701" w:right="1417" w:bottom="1701" w:left="1417" w:header="851" w:footer="992" w:gutter="0"/>
          <w:pgBorders>
            <w:top w:val="none" w:sz="0" w:space="0"/>
            <w:left w:val="none" w:sz="0" w:space="0"/>
            <w:bottom w:val="none" w:sz="0" w:space="0"/>
            <w:right w:val="none" w:sz="0" w:space="0"/>
          </w:pgBorders>
          <w:pgNumType w:fmt="decimal"/>
          <w:cols w:space="0" w:num="1"/>
          <w:rtlGutter w:val="0"/>
          <w:docGrid w:type="lines" w:linePitch="327" w:charSpace="0"/>
        </w:sectPr>
      </w:pPr>
    </w:p>
    <w:p w14:paraId="200A861B">
      <w:pPr>
        <w:pStyle w:val="42"/>
        <w:numPr>
          <w:ilvl w:val="0"/>
          <w:numId w:val="0"/>
        </w:numPr>
        <w:bidi w:val="0"/>
        <w:ind w:leftChars="0"/>
        <w:outlineLvl w:val="0"/>
        <w:rPr>
          <w:rFonts w:hint="eastAsia" w:ascii="黑体" w:hAnsi="黑体" w:eastAsia="黑体" w:cs="黑体"/>
          <w:color w:val="auto"/>
          <w:sz w:val="32"/>
          <w:szCs w:val="32"/>
          <w:highlight w:val="none"/>
          <w:lang w:eastAsia="zh-CN"/>
        </w:rPr>
      </w:pPr>
      <w:bookmarkStart w:id="63" w:name="_Toc26899"/>
      <w:r>
        <w:rPr>
          <w:rFonts w:hint="eastAsia" w:ascii="黑体" w:hAnsi="黑体" w:eastAsia="黑体" w:cs="黑体"/>
          <w:b w:val="0"/>
          <w:bCs w:val="0"/>
          <w:color w:val="auto"/>
          <w:sz w:val="32"/>
          <w:szCs w:val="32"/>
          <w:highlight w:val="none"/>
          <w:lang w:eastAsia="zh-CN"/>
        </w:rPr>
        <w:t>附表</w:t>
      </w:r>
      <w:bookmarkEnd w:id="63"/>
    </w:p>
    <w:p w14:paraId="1C20FFE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_GBK" w:hAnsi="方正小标宋_GBK" w:eastAsia="方正小标宋_GBK" w:cs="方正小标宋_GBK"/>
          <w:color w:val="auto"/>
          <w:kern w:val="2"/>
          <w:sz w:val="30"/>
          <w:szCs w:val="30"/>
          <w:highlight w:val="none"/>
          <w:lang w:val="en-US" w:eastAsia="zh-CN" w:bidi="ar-SA"/>
        </w:rPr>
      </w:pPr>
      <w:r>
        <w:rPr>
          <w:rFonts w:hint="eastAsia" w:ascii="方正小标宋_GBK" w:hAnsi="方正小标宋_GBK" w:eastAsia="方正小标宋_GBK" w:cs="方正小标宋_GBK"/>
          <w:color w:val="auto"/>
          <w:kern w:val="2"/>
          <w:sz w:val="38"/>
          <w:szCs w:val="38"/>
          <w:highlight w:val="none"/>
          <w:lang w:val="en-US" w:eastAsia="zh-CN" w:bidi="ar-SA"/>
        </w:rPr>
        <w:t>建设项目污染物排放量汇总表</w:t>
      </w:r>
    </w:p>
    <w:tbl>
      <w:tblPr>
        <w:tblStyle w:val="33"/>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06"/>
        <w:gridCol w:w="1953"/>
        <w:gridCol w:w="1832"/>
        <w:gridCol w:w="1563"/>
        <w:gridCol w:w="1812"/>
        <w:gridCol w:w="1876"/>
        <w:gridCol w:w="1930"/>
        <w:gridCol w:w="1988"/>
        <w:gridCol w:w="1348"/>
      </w:tblGrid>
      <w:tr w14:paraId="01DA5C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42" w:type="dxa"/>
            <w:noWrap w:val="0"/>
            <w:vAlign w:val="center"/>
            <mc:AlternateContent>
              <mc:Choice Requires="wpsCustomData">
                <wpsCustomData:diagonals>
                  <wpsCustomData:diagonal from="10000" to="30000">
                    <wpsCustomData:border w:val="single" w:color="auto" w:sz="4" w:space="0"/>
                  </wpsCustomData:diagonal>
                </wpsCustomData:diagonals>
              </mc:Choice>
            </mc:AlternateContent>
          </w:tcPr>
          <w:p w14:paraId="6D072306">
            <w:pPr>
              <w:pStyle w:val="43"/>
              <w:bidi w:val="0"/>
              <w:snapToGrid w:val="0"/>
              <w:spacing w:line="240" w:lineRule="auto"/>
              <w:rPr>
                <w:rFonts w:hint="eastAsia"/>
                <w:color w:val="auto"/>
                <w:highlight w:val="none"/>
                <w:lang w:eastAsia="zh-CN"/>
              </w:rPr>
            </w:pPr>
          </w:p>
          <w:p w14:paraId="295C0355">
            <w:pPr>
              <w:pStyle w:val="43"/>
              <w:bidi w:val="0"/>
              <w:snapToGrid w:val="0"/>
              <w:spacing w:line="240" w:lineRule="auto"/>
              <w:rPr>
                <w:rFonts w:hint="eastAsia"/>
                <w:color w:val="auto"/>
                <w:highlight w:val="none"/>
                <w:lang w:eastAsia="zh-CN"/>
              </w:rPr>
            </w:pPr>
          </w:p>
          <w:p w14:paraId="787BE9CE">
            <w:pPr>
              <w:pStyle w:val="43"/>
              <w:bidi w:val="0"/>
              <w:snapToGrid w:val="0"/>
              <w:spacing w:line="240" w:lineRule="auto"/>
              <w:rPr>
                <w:rFonts w:hint="eastAsia"/>
                <w:color w:val="auto"/>
                <w:highlight w:val="none"/>
                <w:lang w:eastAsia="zh-CN"/>
              </w:rPr>
            </w:pPr>
          </w:p>
          <w:p w14:paraId="087727A8">
            <w:pPr>
              <w:pStyle w:val="43"/>
              <w:bidi w:val="0"/>
              <w:snapToGrid w:val="0"/>
              <w:spacing w:line="240" w:lineRule="auto"/>
              <w:jc w:val="both"/>
              <mc:AlternateContent>
                <mc:Choice Requires="wpsCustomData">
                  <wpsCustomData:diagonalParaType/>
                </mc:Choice>
              </mc:AlternateContent>
              <w:rPr>
                <w:rFonts w:hint="eastAsia"/>
                <w:color w:val="auto"/>
                <w:highlight w:val="none"/>
              </w:rPr>
            </w:pPr>
            <w:r>
              <w:rPr>
                <w:rFonts w:hint="eastAsia"/>
                <w:color w:val="auto"/>
                <w:highlight w:val="none"/>
                <w:lang w:eastAsia="zh-CN"/>
              </w:rPr>
              <w:t>分类</w:t>
            </w:r>
          </w:p>
          <w:p w14:paraId="6246C788">
            <w:pPr>
              <w:pStyle w:val="43"/>
              <w:bidi w:val="0"/>
              <w:rPr>
                <w:rFonts w:hint="eastAsia"/>
                <w:color w:val="auto"/>
                <w:highlight w:val="none"/>
              </w:rPr>
            </w:pPr>
            <w:r>
              <w:rPr>
                <w:rFonts w:hint="eastAsia"/>
                <w:color w:val="auto"/>
                <w:highlight w:val="none"/>
                <w:lang w:eastAsia="zh-CN"/>
              </w:rPr>
              <w:t>项目</w:t>
            </w:r>
          </w:p>
        </w:tc>
        <w:tc>
          <w:tcPr>
            <w:tcW w:w="1708" w:type="dxa"/>
            <w:shd w:val="clear" w:color="auto" w:fill="auto"/>
            <w:noWrap w:val="0"/>
            <w:vAlign w:val="center"/>
          </w:tcPr>
          <w:p w14:paraId="510B8AD9">
            <w:pPr>
              <w:pStyle w:val="43"/>
              <w:bidi w:val="0"/>
              <w:ind w:firstLine="0" w:firstLineChars="0"/>
              <w:rPr>
                <w:rFonts w:hint="eastAsia" w:ascii="Times New Roman" w:hAnsi="Times New Roman" w:eastAsia="宋体" w:cs="宋体"/>
                <w:color w:val="auto"/>
                <w:kern w:val="2"/>
                <w:sz w:val="21"/>
                <w:szCs w:val="21"/>
                <w:highlight w:val="none"/>
                <w:lang w:val="en-US" w:eastAsia="zh-CN" w:bidi="ar"/>
              </w:rPr>
            </w:pPr>
            <w:r>
              <w:rPr>
                <w:rFonts w:hint="eastAsia"/>
                <w:color w:val="auto"/>
                <w:highlight w:val="none"/>
                <w:lang w:val="en-US" w:eastAsia="zh-CN"/>
              </w:rPr>
              <w:t>污染物名称</w:t>
            </w:r>
          </w:p>
        </w:tc>
        <w:tc>
          <w:tcPr>
            <w:tcW w:w="1602" w:type="dxa"/>
            <w:shd w:val="clear" w:color="auto" w:fill="auto"/>
            <w:noWrap w:val="0"/>
            <w:vAlign w:val="center"/>
          </w:tcPr>
          <w:p w14:paraId="225714C4">
            <w:pPr>
              <w:pStyle w:val="43"/>
              <w:bidi w:val="0"/>
              <w:rPr>
                <w:rFonts w:hint="eastAsia"/>
                <w:color w:val="auto"/>
                <w:highlight w:val="none"/>
                <w:lang w:val="en-US" w:eastAsia="zh-CN"/>
              </w:rPr>
            </w:pPr>
            <w:r>
              <w:rPr>
                <w:color w:val="auto"/>
                <w:highlight w:val="none"/>
                <w:lang w:val="en-US" w:eastAsia="zh-CN"/>
              </w:rPr>
              <w:t>现有工程</w:t>
            </w:r>
          </w:p>
          <w:p w14:paraId="3190716D">
            <w:pPr>
              <w:pStyle w:val="43"/>
              <w:bidi w:val="0"/>
              <w:ind w:firstLine="0" w:firstLineChars="0"/>
              <w:rPr>
                <w:rFonts w:hint="eastAsia" w:ascii="Times New Roman" w:hAnsi="Times New Roman" w:eastAsia="宋体" w:cs="宋体"/>
                <w:color w:val="auto"/>
                <w:kern w:val="2"/>
                <w:sz w:val="21"/>
                <w:szCs w:val="21"/>
                <w:highlight w:val="none"/>
                <w:lang w:val="en-US" w:eastAsia="zh-CN" w:bidi="ar"/>
              </w:rPr>
            </w:pPr>
            <w:r>
              <w:rPr>
                <w:color w:val="auto"/>
                <w:highlight w:val="none"/>
                <w:lang w:val="en-US" w:eastAsia="zh-CN"/>
              </w:rPr>
              <w:t>排放量（固</w:t>
            </w:r>
            <w:r>
              <w:rPr>
                <w:rFonts w:hint="eastAsia"/>
                <w:color w:val="auto"/>
                <w:highlight w:val="none"/>
                <w:lang w:val="en-US" w:eastAsia="zh-CN"/>
              </w:rPr>
              <w:t>体</w:t>
            </w:r>
            <w:r>
              <w:rPr>
                <w:color w:val="auto"/>
                <w:highlight w:val="none"/>
                <w:lang w:val="en-US" w:eastAsia="zh-CN"/>
              </w:rPr>
              <w:t>废</w:t>
            </w:r>
            <w:r>
              <w:rPr>
                <w:rFonts w:hint="eastAsia"/>
                <w:color w:val="auto"/>
                <w:highlight w:val="none"/>
                <w:lang w:val="en-US" w:eastAsia="zh-CN"/>
              </w:rPr>
              <w:t>物</w:t>
            </w:r>
            <w:r>
              <w:rPr>
                <w:color w:val="auto"/>
                <w:highlight w:val="none"/>
                <w:lang w:val="en-US" w:eastAsia="zh-CN"/>
              </w:rPr>
              <w:t>产生量）</w:t>
            </w:r>
            <w:r>
              <w:rPr>
                <w:color w:val="auto"/>
                <w:highlight w:val="none"/>
                <w:lang w:val="en-US" w:eastAsia="zh-CN"/>
              </w:rPr>
              <w:fldChar w:fldCharType="begin"/>
            </w:r>
            <w:r>
              <w:rPr>
                <w:color w:val="auto"/>
                <w:highlight w:val="none"/>
                <w:lang w:val="en-US" w:eastAsia="zh-CN"/>
              </w:rPr>
              <w:instrText xml:space="preserve"> = 1 \* GB3 \* MERGEFORMAT </w:instrText>
            </w:r>
            <w:r>
              <w:rPr>
                <w:color w:val="auto"/>
                <w:highlight w:val="none"/>
                <w:lang w:val="en-US" w:eastAsia="zh-CN"/>
              </w:rPr>
              <w:fldChar w:fldCharType="separate"/>
            </w:r>
            <w:r>
              <w:rPr>
                <w:rFonts w:hint="eastAsia"/>
                <w:color w:val="auto"/>
                <w:highlight w:val="none"/>
                <w:lang w:val="en-US" w:eastAsia="zh-CN"/>
              </w:rPr>
              <w:t>①</w:t>
            </w:r>
            <w:r>
              <w:rPr>
                <w:color w:val="auto"/>
                <w:highlight w:val="none"/>
                <w:lang w:val="en-US" w:eastAsia="zh-CN"/>
              </w:rPr>
              <w:fldChar w:fldCharType="end"/>
            </w:r>
          </w:p>
        </w:tc>
        <w:tc>
          <w:tcPr>
            <w:tcW w:w="1367" w:type="dxa"/>
            <w:shd w:val="clear" w:color="auto" w:fill="auto"/>
            <w:noWrap w:val="0"/>
            <w:vAlign w:val="center"/>
          </w:tcPr>
          <w:p w14:paraId="57F2C9E1">
            <w:pPr>
              <w:pStyle w:val="43"/>
              <w:bidi w:val="0"/>
              <w:rPr>
                <w:color w:val="auto"/>
                <w:highlight w:val="none"/>
                <w:lang w:val="en-US" w:eastAsia="zh-CN"/>
              </w:rPr>
            </w:pPr>
            <w:r>
              <w:rPr>
                <w:color w:val="auto"/>
                <w:highlight w:val="none"/>
                <w:lang w:val="en-US" w:eastAsia="zh-CN"/>
              </w:rPr>
              <w:t>现有工程</w:t>
            </w:r>
          </w:p>
          <w:p w14:paraId="46E70B9B">
            <w:pPr>
              <w:pStyle w:val="43"/>
              <w:bidi w:val="0"/>
              <w:rPr>
                <w:color w:val="auto"/>
                <w:highlight w:val="none"/>
                <w:lang w:val="en-US" w:eastAsia="zh-CN"/>
              </w:rPr>
            </w:pPr>
            <w:r>
              <w:rPr>
                <w:color w:val="auto"/>
                <w:highlight w:val="none"/>
                <w:lang w:val="en-US" w:eastAsia="zh-CN"/>
              </w:rPr>
              <w:t>许可排放量</w:t>
            </w:r>
          </w:p>
          <w:p w14:paraId="07C5465D">
            <w:pPr>
              <w:pStyle w:val="43"/>
              <w:bidi w:val="0"/>
              <w:ind w:firstLine="0" w:firstLineChars="0"/>
              <w:rPr>
                <w:rFonts w:ascii="Times New Roman" w:hAnsi="Times New Roman" w:eastAsia="宋体" w:cs="宋体"/>
                <w:color w:val="auto"/>
                <w:kern w:val="2"/>
                <w:sz w:val="21"/>
                <w:szCs w:val="21"/>
                <w:highlight w:val="none"/>
                <w:lang w:val="en-US" w:eastAsia="zh-CN" w:bidi="ar"/>
              </w:rPr>
            </w:pPr>
            <w:r>
              <w:rPr>
                <w:color w:val="auto"/>
                <w:highlight w:val="none"/>
                <w:lang w:val="en-US" w:eastAsia="zh-CN"/>
              </w:rPr>
              <w:fldChar w:fldCharType="begin"/>
            </w:r>
            <w:r>
              <w:rPr>
                <w:color w:val="auto"/>
                <w:highlight w:val="none"/>
                <w:lang w:val="en-US" w:eastAsia="zh-CN"/>
              </w:rPr>
              <w:instrText xml:space="preserve"> = 2 \* GB3 \* MERGEFORMAT </w:instrText>
            </w:r>
            <w:r>
              <w:rPr>
                <w:color w:val="auto"/>
                <w:highlight w:val="none"/>
                <w:lang w:val="en-US" w:eastAsia="zh-CN"/>
              </w:rPr>
              <w:fldChar w:fldCharType="separate"/>
            </w:r>
            <w:r>
              <w:rPr>
                <w:rFonts w:hint="eastAsia"/>
                <w:color w:val="auto"/>
                <w:highlight w:val="none"/>
                <w:lang w:val="en-US" w:eastAsia="zh-CN"/>
              </w:rPr>
              <w:t>②</w:t>
            </w:r>
            <w:r>
              <w:rPr>
                <w:color w:val="auto"/>
                <w:highlight w:val="none"/>
                <w:lang w:val="en-US" w:eastAsia="zh-CN"/>
              </w:rPr>
              <w:fldChar w:fldCharType="end"/>
            </w:r>
          </w:p>
        </w:tc>
        <w:tc>
          <w:tcPr>
            <w:tcW w:w="1584" w:type="dxa"/>
            <w:shd w:val="clear" w:color="auto" w:fill="auto"/>
            <w:noWrap w:val="0"/>
            <w:vAlign w:val="center"/>
          </w:tcPr>
          <w:p w14:paraId="5497DD37">
            <w:pPr>
              <w:pStyle w:val="43"/>
              <w:bidi w:val="0"/>
              <w:rPr>
                <w:rFonts w:hint="eastAsia"/>
                <w:color w:val="auto"/>
                <w:highlight w:val="none"/>
                <w:lang w:val="en-US" w:eastAsia="zh-CN"/>
              </w:rPr>
            </w:pPr>
            <w:r>
              <w:rPr>
                <w:color w:val="auto"/>
                <w:highlight w:val="none"/>
                <w:lang w:val="en-US" w:eastAsia="zh-CN"/>
              </w:rPr>
              <w:t>在建工程</w:t>
            </w:r>
          </w:p>
          <w:p w14:paraId="10A7D658">
            <w:pPr>
              <w:pStyle w:val="43"/>
              <w:bidi w:val="0"/>
              <w:ind w:firstLine="0" w:firstLineChars="0"/>
              <w:rPr>
                <w:rFonts w:ascii="Times New Roman" w:hAnsi="Times New Roman" w:eastAsia="宋体" w:cs="宋体"/>
                <w:color w:val="auto"/>
                <w:kern w:val="2"/>
                <w:sz w:val="21"/>
                <w:szCs w:val="21"/>
                <w:highlight w:val="none"/>
                <w:lang w:val="en-US" w:eastAsia="zh-CN" w:bidi="ar"/>
              </w:rPr>
            </w:pPr>
            <w:r>
              <w:rPr>
                <w:color w:val="auto"/>
                <w:highlight w:val="none"/>
                <w:lang w:val="en-US" w:eastAsia="zh-CN"/>
              </w:rPr>
              <w:t>排放量（固</w:t>
            </w:r>
            <w:r>
              <w:rPr>
                <w:rFonts w:hint="eastAsia"/>
                <w:color w:val="auto"/>
                <w:highlight w:val="none"/>
                <w:lang w:val="en-US" w:eastAsia="zh-CN"/>
              </w:rPr>
              <w:t>体</w:t>
            </w:r>
            <w:r>
              <w:rPr>
                <w:color w:val="auto"/>
                <w:highlight w:val="none"/>
                <w:lang w:val="en-US" w:eastAsia="zh-CN"/>
              </w:rPr>
              <w:t>废</w:t>
            </w:r>
            <w:r>
              <w:rPr>
                <w:rFonts w:hint="eastAsia"/>
                <w:color w:val="auto"/>
                <w:highlight w:val="none"/>
                <w:lang w:val="en-US" w:eastAsia="zh-CN"/>
              </w:rPr>
              <w:t>物</w:t>
            </w:r>
            <w:r>
              <w:rPr>
                <w:color w:val="auto"/>
                <w:highlight w:val="none"/>
                <w:lang w:val="en-US" w:eastAsia="zh-CN"/>
              </w:rPr>
              <w:t>产生量）</w:t>
            </w:r>
            <w:r>
              <w:rPr>
                <w:color w:val="auto"/>
                <w:highlight w:val="none"/>
                <w:lang w:val="en-US" w:eastAsia="zh-CN"/>
              </w:rPr>
              <w:fldChar w:fldCharType="begin"/>
            </w:r>
            <w:r>
              <w:rPr>
                <w:color w:val="auto"/>
                <w:highlight w:val="none"/>
                <w:lang w:val="en-US" w:eastAsia="zh-CN"/>
              </w:rPr>
              <w:instrText xml:space="preserve"> = 3 \* GB3 \* MERGEFORMAT </w:instrText>
            </w:r>
            <w:r>
              <w:rPr>
                <w:color w:val="auto"/>
                <w:highlight w:val="none"/>
                <w:lang w:val="en-US" w:eastAsia="zh-CN"/>
              </w:rPr>
              <w:fldChar w:fldCharType="separate"/>
            </w:r>
            <w:r>
              <w:rPr>
                <w:rFonts w:hint="eastAsia"/>
                <w:color w:val="auto"/>
                <w:highlight w:val="none"/>
                <w:lang w:val="en-US" w:eastAsia="zh-CN"/>
              </w:rPr>
              <w:t>③</w:t>
            </w:r>
            <w:r>
              <w:rPr>
                <w:color w:val="auto"/>
                <w:highlight w:val="none"/>
                <w:lang w:val="en-US" w:eastAsia="zh-CN"/>
              </w:rPr>
              <w:fldChar w:fldCharType="end"/>
            </w:r>
          </w:p>
        </w:tc>
        <w:tc>
          <w:tcPr>
            <w:tcW w:w="1640" w:type="dxa"/>
            <w:shd w:val="clear" w:color="auto" w:fill="auto"/>
            <w:noWrap w:val="0"/>
            <w:vAlign w:val="center"/>
          </w:tcPr>
          <w:p w14:paraId="1802927C">
            <w:pPr>
              <w:pStyle w:val="43"/>
              <w:bidi w:val="0"/>
              <w:rPr>
                <w:rFonts w:hint="eastAsia"/>
                <w:color w:val="auto"/>
                <w:highlight w:val="none"/>
                <w:lang w:val="en-US" w:eastAsia="zh-CN"/>
              </w:rPr>
            </w:pPr>
            <w:r>
              <w:rPr>
                <w:color w:val="auto"/>
                <w:highlight w:val="none"/>
                <w:lang w:val="en-US" w:eastAsia="zh-CN"/>
              </w:rPr>
              <w:t>本项目</w:t>
            </w:r>
          </w:p>
          <w:p w14:paraId="77919FE9">
            <w:pPr>
              <w:pStyle w:val="43"/>
              <w:bidi w:val="0"/>
              <w:ind w:firstLine="0" w:firstLineChars="0"/>
              <w:rPr>
                <w:rFonts w:ascii="Times New Roman" w:hAnsi="Times New Roman" w:eastAsia="宋体" w:cs="宋体"/>
                <w:color w:val="auto"/>
                <w:kern w:val="2"/>
                <w:sz w:val="21"/>
                <w:szCs w:val="21"/>
                <w:highlight w:val="none"/>
                <w:lang w:val="en-US" w:eastAsia="zh-CN" w:bidi="ar"/>
              </w:rPr>
            </w:pPr>
            <w:r>
              <w:rPr>
                <w:color w:val="auto"/>
                <w:highlight w:val="none"/>
                <w:lang w:val="en-US" w:eastAsia="zh-CN"/>
              </w:rPr>
              <w:t>排放量（固</w:t>
            </w:r>
            <w:r>
              <w:rPr>
                <w:rFonts w:hint="eastAsia"/>
                <w:color w:val="auto"/>
                <w:highlight w:val="none"/>
                <w:lang w:val="en-US" w:eastAsia="zh-CN"/>
              </w:rPr>
              <w:t>体</w:t>
            </w:r>
            <w:r>
              <w:rPr>
                <w:color w:val="auto"/>
                <w:highlight w:val="none"/>
                <w:lang w:val="en-US" w:eastAsia="zh-CN"/>
              </w:rPr>
              <w:t>废</w:t>
            </w:r>
            <w:r>
              <w:rPr>
                <w:rFonts w:hint="eastAsia"/>
                <w:color w:val="auto"/>
                <w:highlight w:val="none"/>
                <w:lang w:val="en-US" w:eastAsia="zh-CN"/>
              </w:rPr>
              <w:t>物</w:t>
            </w:r>
            <w:r>
              <w:rPr>
                <w:color w:val="auto"/>
                <w:highlight w:val="none"/>
                <w:lang w:val="en-US" w:eastAsia="zh-CN"/>
              </w:rPr>
              <w:t>产生量）</w:t>
            </w:r>
            <w:r>
              <w:rPr>
                <w:color w:val="auto"/>
                <w:highlight w:val="none"/>
                <w:lang w:val="en-US" w:eastAsia="zh-CN"/>
              </w:rPr>
              <w:fldChar w:fldCharType="begin"/>
            </w:r>
            <w:r>
              <w:rPr>
                <w:color w:val="auto"/>
                <w:highlight w:val="none"/>
                <w:lang w:val="en-US" w:eastAsia="zh-CN"/>
              </w:rPr>
              <w:instrText xml:space="preserve"> = 4 \* GB3 \* MERGEFORMAT </w:instrText>
            </w:r>
            <w:r>
              <w:rPr>
                <w:color w:val="auto"/>
                <w:highlight w:val="none"/>
                <w:lang w:val="en-US" w:eastAsia="zh-CN"/>
              </w:rPr>
              <w:fldChar w:fldCharType="separate"/>
            </w:r>
            <w:r>
              <w:rPr>
                <w:rFonts w:hint="eastAsia"/>
                <w:color w:val="auto"/>
                <w:highlight w:val="none"/>
                <w:lang w:val="en-US" w:eastAsia="zh-CN"/>
              </w:rPr>
              <w:t>④</w:t>
            </w:r>
            <w:r>
              <w:rPr>
                <w:color w:val="auto"/>
                <w:highlight w:val="none"/>
                <w:lang w:val="en-US" w:eastAsia="zh-CN"/>
              </w:rPr>
              <w:fldChar w:fldCharType="end"/>
            </w:r>
          </w:p>
        </w:tc>
        <w:tc>
          <w:tcPr>
            <w:tcW w:w="1687" w:type="dxa"/>
            <w:shd w:val="clear" w:color="auto" w:fill="auto"/>
            <w:noWrap w:val="0"/>
            <w:vAlign w:val="center"/>
          </w:tcPr>
          <w:p w14:paraId="11F002B8">
            <w:pPr>
              <w:pStyle w:val="43"/>
              <w:bidi w:val="0"/>
              <w:rPr>
                <w:color w:val="auto"/>
                <w:highlight w:val="none"/>
                <w:lang w:val="en-US" w:eastAsia="zh-CN"/>
              </w:rPr>
            </w:pPr>
            <w:r>
              <w:rPr>
                <w:color w:val="auto"/>
                <w:highlight w:val="none"/>
                <w:lang w:val="en-US" w:eastAsia="zh-CN"/>
              </w:rPr>
              <w:t>以新带老削减量</w:t>
            </w:r>
          </w:p>
          <w:p w14:paraId="4AA92DFA">
            <w:pPr>
              <w:pStyle w:val="43"/>
              <w:bidi w:val="0"/>
              <w:ind w:firstLine="0" w:firstLineChars="0"/>
              <w:rPr>
                <w:rFonts w:ascii="Times New Roman" w:hAnsi="Times New Roman" w:eastAsia="宋体" w:cs="宋体"/>
                <w:color w:val="auto"/>
                <w:kern w:val="2"/>
                <w:sz w:val="21"/>
                <w:szCs w:val="21"/>
                <w:highlight w:val="none"/>
                <w:lang w:val="en-US" w:eastAsia="zh-CN" w:bidi="ar"/>
              </w:rPr>
            </w:pPr>
            <w:r>
              <w:rPr>
                <w:color w:val="auto"/>
                <w:highlight w:val="none"/>
                <w:lang w:val="en-US" w:eastAsia="zh-CN"/>
              </w:rPr>
              <w:t>（新建项目不填）</w:t>
            </w:r>
            <w:r>
              <w:rPr>
                <w:color w:val="auto"/>
                <w:highlight w:val="none"/>
                <w:lang w:val="en-US" w:eastAsia="zh-CN"/>
              </w:rPr>
              <w:fldChar w:fldCharType="begin"/>
            </w:r>
            <w:r>
              <w:rPr>
                <w:color w:val="auto"/>
                <w:highlight w:val="none"/>
                <w:lang w:val="en-US" w:eastAsia="zh-CN"/>
              </w:rPr>
              <w:instrText xml:space="preserve"> = 5 \* GB3 \* MERGEFORMAT </w:instrText>
            </w:r>
            <w:r>
              <w:rPr>
                <w:color w:val="auto"/>
                <w:highlight w:val="none"/>
                <w:lang w:val="en-US" w:eastAsia="zh-CN"/>
              </w:rPr>
              <w:fldChar w:fldCharType="separate"/>
            </w:r>
            <w:r>
              <w:rPr>
                <w:rFonts w:hint="eastAsia"/>
                <w:color w:val="auto"/>
                <w:highlight w:val="none"/>
                <w:lang w:val="en-US" w:eastAsia="zh-CN"/>
              </w:rPr>
              <w:t>⑤</w:t>
            </w:r>
            <w:r>
              <w:rPr>
                <w:color w:val="auto"/>
                <w:highlight w:val="none"/>
                <w:lang w:val="en-US" w:eastAsia="zh-CN"/>
              </w:rPr>
              <w:fldChar w:fldCharType="end"/>
            </w:r>
          </w:p>
        </w:tc>
        <w:tc>
          <w:tcPr>
            <w:tcW w:w="1738" w:type="dxa"/>
            <w:shd w:val="clear" w:color="auto" w:fill="auto"/>
            <w:noWrap w:val="0"/>
            <w:vAlign w:val="center"/>
          </w:tcPr>
          <w:p w14:paraId="5D4D3504">
            <w:pPr>
              <w:pStyle w:val="43"/>
              <w:bidi w:val="0"/>
              <w:rPr>
                <w:rFonts w:hint="eastAsia"/>
                <w:color w:val="auto"/>
                <w:highlight w:val="none"/>
                <w:lang w:val="en-US" w:eastAsia="zh-CN"/>
              </w:rPr>
            </w:pPr>
            <w:r>
              <w:rPr>
                <w:color w:val="auto"/>
                <w:highlight w:val="none"/>
                <w:lang w:val="en-US" w:eastAsia="zh-CN"/>
              </w:rPr>
              <w:t>本项目建成后</w:t>
            </w:r>
          </w:p>
          <w:p w14:paraId="7F195021">
            <w:pPr>
              <w:pStyle w:val="43"/>
              <w:bidi w:val="0"/>
              <w:ind w:firstLine="0" w:firstLineChars="0"/>
              <w:rPr>
                <w:rFonts w:ascii="Times New Roman" w:hAnsi="Times New Roman" w:eastAsia="宋体" w:cs="宋体"/>
                <w:color w:val="auto"/>
                <w:kern w:val="2"/>
                <w:sz w:val="21"/>
                <w:szCs w:val="21"/>
                <w:highlight w:val="none"/>
                <w:lang w:val="en-US" w:eastAsia="zh-CN" w:bidi="ar"/>
              </w:rPr>
            </w:pPr>
            <w:r>
              <w:rPr>
                <w:rFonts w:hint="eastAsia"/>
                <w:color w:val="auto"/>
                <w:highlight w:val="none"/>
                <w:lang w:val="en-US" w:eastAsia="zh-CN"/>
              </w:rPr>
              <w:t>全厂</w:t>
            </w:r>
            <w:r>
              <w:rPr>
                <w:color w:val="auto"/>
                <w:highlight w:val="none"/>
                <w:lang w:val="en-US" w:eastAsia="zh-CN"/>
              </w:rPr>
              <w:t>排放量（固</w:t>
            </w:r>
            <w:r>
              <w:rPr>
                <w:rFonts w:hint="eastAsia"/>
                <w:color w:val="auto"/>
                <w:highlight w:val="none"/>
                <w:lang w:val="en-US" w:eastAsia="zh-CN"/>
              </w:rPr>
              <w:t>体</w:t>
            </w:r>
            <w:r>
              <w:rPr>
                <w:color w:val="auto"/>
                <w:highlight w:val="none"/>
                <w:lang w:val="en-US" w:eastAsia="zh-CN"/>
              </w:rPr>
              <w:t>废</w:t>
            </w:r>
            <w:r>
              <w:rPr>
                <w:rFonts w:hint="eastAsia"/>
                <w:color w:val="auto"/>
                <w:highlight w:val="none"/>
                <w:lang w:val="en-US" w:eastAsia="zh-CN"/>
              </w:rPr>
              <w:t>物</w:t>
            </w:r>
            <w:r>
              <w:rPr>
                <w:color w:val="auto"/>
                <w:highlight w:val="none"/>
                <w:lang w:val="en-US" w:eastAsia="zh-CN"/>
              </w:rPr>
              <w:t>产生量）</w:t>
            </w:r>
            <w:r>
              <w:rPr>
                <w:color w:val="auto"/>
                <w:highlight w:val="none"/>
                <w:lang w:val="en-US" w:eastAsia="zh-CN"/>
              </w:rPr>
              <w:fldChar w:fldCharType="begin"/>
            </w:r>
            <w:r>
              <w:rPr>
                <w:color w:val="auto"/>
                <w:highlight w:val="none"/>
                <w:lang w:val="en-US" w:eastAsia="zh-CN"/>
              </w:rPr>
              <w:instrText xml:space="preserve"> = 6 \* GB3 \* MERGEFORMAT </w:instrText>
            </w:r>
            <w:r>
              <w:rPr>
                <w:color w:val="auto"/>
                <w:highlight w:val="none"/>
                <w:lang w:val="en-US" w:eastAsia="zh-CN"/>
              </w:rPr>
              <w:fldChar w:fldCharType="separate"/>
            </w:r>
            <w:r>
              <w:rPr>
                <w:rFonts w:hint="eastAsia"/>
                <w:color w:val="auto"/>
                <w:highlight w:val="none"/>
                <w:lang w:val="en-US" w:eastAsia="zh-CN"/>
              </w:rPr>
              <w:t>⑥</w:t>
            </w:r>
            <w:r>
              <w:rPr>
                <w:color w:val="auto"/>
                <w:highlight w:val="none"/>
                <w:lang w:val="en-US" w:eastAsia="zh-CN"/>
              </w:rPr>
              <w:fldChar w:fldCharType="end"/>
            </w:r>
          </w:p>
        </w:tc>
        <w:tc>
          <w:tcPr>
            <w:tcW w:w="1179" w:type="dxa"/>
            <w:shd w:val="clear" w:color="auto" w:fill="auto"/>
            <w:noWrap w:val="0"/>
            <w:vAlign w:val="center"/>
          </w:tcPr>
          <w:p w14:paraId="3E214547">
            <w:pPr>
              <w:pStyle w:val="43"/>
              <w:bidi w:val="0"/>
              <w:rPr>
                <w:color w:val="auto"/>
                <w:highlight w:val="none"/>
                <w:lang w:val="en-US" w:eastAsia="zh-CN"/>
              </w:rPr>
            </w:pPr>
            <w:r>
              <w:rPr>
                <w:color w:val="auto"/>
                <w:highlight w:val="none"/>
                <w:lang w:val="en-US" w:eastAsia="zh-CN"/>
              </w:rPr>
              <w:t>变化量</w:t>
            </w:r>
          </w:p>
          <w:p w14:paraId="0CD69B97">
            <w:pPr>
              <w:pStyle w:val="43"/>
              <w:bidi w:val="0"/>
              <w:ind w:firstLine="0" w:firstLineChars="0"/>
              <w:rPr>
                <w:rFonts w:ascii="Times New Roman" w:hAnsi="Times New Roman" w:eastAsia="宋体" w:cs="宋体"/>
                <w:color w:val="auto"/>
                <w:kern w:val="2"/>
                <w:sz w:val="21"/>
                <w:szCs w:val="21"/>
                <w:highlight w:val="none"/>
                <w:lang w:val="en-US" w:eastAsia="zh-CN" w:bidi="ar"/>
              </w:rPr>
            </w:pPr>
            <w:r>
              <w:rPr>
                <w:color w:val="auto"/>
                <w:highlight w:val="none"/>
                <w:lang w:val="en-US" w:eastAsia="zh-CN"/>
              </w:rPr>
              <w:fldChar w:fldCharType="begin"/>
            </w:r>
            <w:r>
              <w:rPr>
                <w:color w:val="auto"/>
                <w:highlight w:val="none"/>
                <w:lang w:val="en-US" w:eastAsia="zh-CN"/>
              </w:rPr>
              <w:instrText xml:space="preserve"> = 7 \* GB3 \* MERGEFORMAT </w:instrText>
            </w:r>
            <w:r>
              <w:rPr>
                <w:color w:val="auto"/>
                <w:highlight w:val="none"/>
                <w:lang w:val="en-US" w:eastAsia="zh-CN"/>
              </w:rPr>
              <w:fldChar w:fldCharType="separate"/>
            </w:r>
            <w:r>
              <w:rPr>
                <w:rFonts w:hint="eastAsia"/>
                <w:color w:val="auto"/>
                <w:highlight w:val="none"/>
                <w:lang w:val="en-US" w:eastAsia="zh-CN"/>
              </w:rPr>
              <w:t>⑦</w:t>
            </w:r>
            <w:r>
              <w:rPr>
                <w:color w:val="auto"/>
                <w:highlight w:val="none"/>
                <w:lang w:val="en-US" w:eastAsia="zh-CN"/>
              </w:rPr>
              <w:fldChar w:fldCharType="end"/>
            </w:r>
          </w:p>
        </w:tc>
      </w:tr>
      <w:tr w14:paraId="07CA89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1142" w:type="dxa"/>
            <w:vMerge w:val="restart"/>
            <w:noWrap w:val="0"/>
            <w:vAlign w:val="center"/>
          </w:tcPr>
          <w:p w14:paraId="0955D30B">
            <w:pPr>
              <w:pStyle w:val="43"/>
              <w:bidi w:val="0"/>
              <w:rPr>
                <w:color w:val="auto"/>
                <w:highlight w:val="none"/>
              </w:rPr>
            </w:pPr>
            <w:r>
              <w:rPr>
                <w:rFonts w:hint="eastAsia"/>
                <w:color w:val="auto"/>
                <w:highlight w:val="none"/>
              </w:rPr>
              <w:t>废气</w:t>
            </w:r>
          </w:p>
        </w:tc>
        <w:tc>
          <w:tcPr>
            <w:tcW w:w="1708" w:type="dxa"/>
            <w:noWrap w:val="0"/>
            <w:vAlign w:val="center"/>
          </w:tcPr>
          <w:p w14:paraId="066152BB">
            <w:pPr>
              <w:pStyle w:val="43"/>
              <w:bidi w:val="0"/>
              <w:rPr>
                <w:rFonts w:hint="default" w:eastAsia="宋体"/>
                <w:color w:val="auto"/>
                <w:highlight w:val="none"/>
                <w:lang w:val="en-US" w:eastAsia="zh-CN"/>
              </w:rPr>
            </w:pPr>
            <w:r>
              <w:rPr>
                <w:rFonts w:hint="eastAsia"/>
                <w:color w:val="auto"/>
                <w:highlight w:val="none"/>
                <w:lang w:val="en-US" w:eastAsia="zh-CN"/>
              </w:rPr>
              <w:t>氯化氢</w:t>
            </w:r>
          </w:p>
        </w:tc>
        <w:tc>
          <w:tcPr>
            <w:tcW w:w="1602" w:type="dxa"/>
            <w:noWrap w:val="0"/>
            <w:vAlign w:val="center"/>
          </w:tcPr>
          <w:p w14:paraId="0BC2DA63">
            <w:pPr>
              <w:pStyle w:val="43"/>
              <w:bidi w:val="0"/>
              <w:rPr>
                <w:rFonts w:hint="default" w:eastAsia="宋体"/>
                <w:color w:val="auto"/>
                <w:highlight w:val="none"/>
                <w:lang w:val="en-US" w:eastAsia="zh-CN"/>
              </w:rPr>
            </w:pPr>
            <w:r>
              <w:rPr>
                <w:rFonts w:hint="eastAsia"/>
                <w:color w:val="auto"/>
                <w:highlight w:val="none"/>
                <w:lang w:val="en-US" w:eastAsia="zh-CN"/>
              </w:rPr>
              <w:t>/</w:t>
            </w:r>
          </w:p>
        </w:tc>
        <w:tc>
          <w:tcPr>
            <w:tcW w:w="1367" w:type="dxa"/>
            <w:noWrap w:val="0"/>
            <w:vAlign w:val="center"/>
          </w:tcPr>
          <w:p w14:paraId="194B85F1">
            <w:pPr>
              <w:pStyle w:val="43"/>
              <w:bidi w:val="0"/>
              <w:rPr>
                <w:rFonts w:hint="eastAsia" w:eastAsia="宋体"/>
                <w:color w:val="auto"/>
                <w:highlight w:val="none"/>
                <w:lang w:val="en-US" w:eastAsia="zh-CN"/>
              </w:rPr>
            </w:pPr>
            <w:r>
              <w:rPr>
                <w:rFonts w:hint="eastAsia"/>
                <w:color w:val="auto"/>
                <w:highlight w:val="none"/>
                <w:lang w:val="en-US" w:eastAsia="zh-CN"/>
              </w:rPr>
              <w:t>/</w:t>
            </w:r>
          </w:p>
        </w:tc>
        <w:tc>
          <w:tcPr>
            <w:tcW w:w="1584" w:type="dxa"/>
            <w:noWrap w:val="0"/>
            <w:vAlign w:val="center"/>
          </w:tcPr>
          <w:p w14:paraId="67F1581F">
            <w:pPr>
              <w:pStyle w:val="43"/>
              <w:bidi w:val="0"/>
              <w:ind w:firstLine="0" w:firstLineChars="0"/>
              <w:rPr>
                <w:color w:val="auto"/>
                <w:highlight w:val="none"/>
              </w:rPr>
            </w:pPr>
            <w:r>
              <w:rPr>
                <w:rFonts w:hint="eastAsia"/>
                <w:color w:val="auto"/>
                <w:highlight w:val="none"/>
                <w:lang w:val="en-US" w:eastAsia="zh-CN"/>
              </w:rPr>
              <w:t>/</w:t>
            </w:r>
          </w:p>
        </w:tc>
        <w:tc>
          <w:tcPr>
            <w:tcW w:w="1640" w:type="dxa"/>
            <w:noWrap w:val="0"/>
            <w:vAlign w:val="center"/>
          </w:tcPr>
          <w:p w14:paraId="2B1F3918">
            <w:pPr>
              <w:pStyle w:val="43"/>
              <w:bidi w:val="0"/>
              <w:ind w:firstLine="0" w:firstLineChars="0"/>
              <w:rPr>
                <w:rFonts w:hint="default" w:eastAsia="宋体"/>
                <w:color w:val="auto"/>
                <w:highlight w:val="none"/>
                <w:lang w:val="en-US" w:eastAsia="zh-CN"/>
              </w:rPr>
            </w:pPr>
            <w:r>
              <w:rPr>
                <w:rFonts w:hint="eastAsia"/>
                <w:color w:val="auto"/>
                <w:highlight w:val="none"/>
                <w:lang w:val="en-US" w:eastAsia="zh-CN"/>
              </w:rPr>
              <w:t>0.019kg/a</w:t>
            </w:r>
          </w:p>
        </w:tc>
        <w:tc>
          <w:tcPr>
            <w:tcW w:w="1687" w:type="dxa"/>
            <w:noWrap w:val="0"/>
            <w:vAlign w:val="center"/>
          </w:tcPr>
          <w:p w14:paraId="11311D0E">
            <w:pPr>
              <w:pStyle w:val="43"/>
              <w:bidi w:val="0"/>
              <w:ind w:firstLine="0" w:firstLineChars="0"/>
              <w:rPr>
                <w:color w:val="auto"/>
                <w:highlight w:val="none"/>
              </w:rPr>
            </w:pPr>
            <w:r>
              <w:rPr>
                <w:rFonts w:hint="eastAsia"/>
                <w:color w:val="auto"/>
                <w:highlight w:val="none"/>
                <w:lang w:val="en-US" w:eastAsia="zh-CN"/>
              </w:rPr>
              <w:t>/</w:t>
            </w:r>
          </w:p>
        </w:tc>
        <w:tc>
          <w:tcPr>
            <w:tcW w:w="1738" w:type="dxa"/>
            <w:shd w:val="clear" w:color="auto" w:fill="auto"/>
            <w:noWrap w:val="0"/>
            <w:vAlign w:val="center"/>
          </w:tcPr>
          <w:p w14:paraId="4B8BFF67">
            <w:pPr>
              <w:pStyle w:val="43"/>
              <w:bidi w:val="0"/>
              <w:ind w:firstLine="0" w:firstLineChars="0"/>
              <w:rPr>
                <w:rFonts w:hint="default" w:ascii="Times New Roman" w:hAnsi="Times New Roman" w:eastAsia="宋体" w:cs="宋体"/>
                <w:color w:val="auto"/>
                <w:kern w:val="2"/>
                <w:sz w:val="21"/>
                <w:szCs w:val="21"/>
                <w:highlight w:val="none"/>
                <w:lang w:val="en-US" w:eastAsia="zh-CN" w:bidi="ar"/>
              </w:rPr>
            </w:pPr>
            <w:r>
              <w:rPr>
                <w:rFonts w:hint="eastAsia"/>
                <w:color w:val="auto"/>
                <w:highlight w:val="none"/>
                <w:lang w:val="en-US" w:eastAsia="zh-CN"/>
              </w:rPr>
              <w:t>0.019kg/a</w:t>
            </w:r>
          </w:p>
        </w:tc>
        <w:tc>
          <w:tcPr>
            <w:tcW w:w="1179" w:type="dxa"/>
            <w:shd w:val="clear" w:color="auto" w:fill="auto"/>
            <w:noWrap w:val="0"/>
            <w:vAlign w:val="center"/>
          </w:tcPr>
          <w:p w14:paraId="72DA2BA0">
            <w:pPr>
              <w:pStyle w:val="43"/>
              <w:bidi w:val="0"/>
              <w:ind w:firstLine="0" w:firstLineChars="0"/>
              <w:rPr>
                <w:rFonts w:hint="default" w:ascii="Times New Roman" w:hAnsi="Times New Roman" w:eastAsia="宋体" w:cs="宋体"/>
                <w:color w:val="auto"/>
                <w:kern w:val="2"/>
                <w:sz w:val="21"/>
                <w:szCs w:val="21"/>
                <w:highlight w:val="none"/>
                <w:lang w:val="en-US" w:eastAsia="zh-CN" w:bidi="ar"/>
              </w:rPr>
            </w:pPr>
            <w:r>
              <w:rPr>
                <w:rFonts w:hint="eastAsia" w:cs="宋体"/>
                <w:color w:val="auto"/>
                <w:kern w:val="2"/>
                <w:sz w:val="21"/>
                <w:szCs w:val="21"/>
                <w:highlight w:val="none"/>
                <w:lang w:val="en-US" w:eastAsia="zh-CN" w:bidi="ar"/>
              </w:rPr>
              <w:t>+</w:t>
            </w:r>
            <w:r>
              <w:rPr>
                <w:rFonts w:hint="eastAsia"/>
                <w:color w:val="auto"/>
                <w:highlight w:val="none"/>
                <w:lang w:val="en-US" w:eastAsia="zh-CN"/>
              </w:rPr>
              <w:t>0.019kg/a</w:t>
            </w:r>
          </w:p>
        </w:tc>
      </w:tr>
      <w:tr w14:paraId="3A8E81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1142" w:type="dxa"/>
            <w:vMerge w:val="continue"/>
            <w:noWrap w:val="0"/>
            <w:vAlign w:val="center"/>
          </w:tcPr>
          <w:p w14:paraId="09D349F7">
            <w:pPr>
              <w:pStyle w:val="43"/>
              <w:bidi w:val="0"/>
              <w:ind w:firstLine="0" w:firstLineChars="0"/>
              <w:rPr>
                <w:color w:val="auto"/>
                <w:highlight w:val="none"/>
              </w:rPr>
            </w:pPr>
          </w:p>
        </w:tc>
        <w:tc>
          <w:tcPr>
            <w:tcW w:w="1708" w:type="dxa"/>
            <w:noWrap w:val="0"/>
            <w:vAlign w:val="center"/>
          </w:tcPr>
          <w:p w14:paraId="41ECA192">
            <w:pPr>
              <w:pStyle w:val="43"/>
              <w:bidi w:val="0"/>
              <w:ind w:firstLine="0" w:firstLineChars="0"/>
              <w:rPr>
                <w:rFonts w:hint="default"/>
                <w:color w:val="auto"/>
                <w:highlight w:val="none"/>
                <w:lang w:val="en-US" w:eastAsia="zh-CN"/>
              </w:rPr>
            </w:pPr>
            <w:r>
              <w:rPr>
                <w:rFonts w:hint="eastAsia"/>
                <w:color w:val="auto"/>
                <w:highlight w:val="none"/>
                <w:lang w:val="en-US" w:eastAsia="zh-CN"/>
              </w:rPr>
              <w:t>硫酸雾</w:t>
            </w:r>
          </w:p>
        </w:tc>
        <w:tc>
          <w:tcPr>
            <w:tcW w:w="1602" w:type="dxa"/>
            <w:noWrap w:val="0"/>
            <w:vAlign w:val="center"/>
          </w:tcPr>
          <w:p w14:paraId="09CA2A52">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367" w:type="dxa"/>
            <w:noWrap w:val="0"/>
            <w:vAlign w:val="center"/>
          </w:tcPr>
          <w:p w14:paraId="1B1B1FB7">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584" w:type="dxa"/>
            <w:noWrap w:val="0"/>
            <w:vAlign w:val="center"/>
          </w:tcPr>
          <w:p w14:paraId="083BD3C6">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640" w:type="dxa"/>
            <w:noWrap w:val="0"/>
            <w:vAlign w:val="center"/>
          </w:tcPr>
          <w:p w14:paraId="00032EAB">
            <w:pPr>
              <w:pStyle w:val="43"/>
              <w:bidi w:val="0"/>
              <w:ind w:firstLine="0" w:firstLineChars="0"/>
              <w:rPr>
                <w:rFonts w:hint="default"/>
                <w:color w:val="auto"/>
                <w:highlight w:val="none"/>
                <w:lang w:val="en-US" w:eastAsia="zh-CN"/>
              </w:rPr>
            </w:pPr>
            <w:r>
              <w:rPr>
                <w:rFonts w:hint="eastAsia"/>
                <w:color w:val="auto"/>
                <w:highlight w:val="none"/>
                <w:lang w:val="en-US" w:eastAsia="zh-CN"/>
              </w:rPr>
              <w:t>0.042kg/a</w:t>
            </w:r>
          </w:p>
        </w:tc>
        <w:tc>
          <w:tcPr>
            <w:tcW w:w="1687" w:type="dxa"/>
            <w:noWrap w:val="0"/>
            <w:vAlign w:val="center"/>
          </w:tcPr>
          <w:p w14:paraId="224EEB52">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738" w:type="dxa"/>
            <w:shd w:val="clear" w:color="auto" w:fill="auto"/>
            <w:noWrap w:val="0"/>
            <w:vAlign w:val="center"/>
          </w:tcPr>
          <w:p w14:paraId="6A7305E1">
            <w:pPr>
              <w:pStyle w:val="43"/>
              <w:bidi w:val="0"/>
              <w:ind w:firstLine="0" w:firstLineChars="0"/>
              <w:rPr>
                <w:rFonts w:hint="eastAsia"/>
                <w:color w:val="auto"/>
                <w:highlight w:val="none"/>
                <w:lang w:val="en-US" w:eastAsia="zh-CN"/>
              </w:rPr>
            </w:pPr>
            <w:r>
              <w:rPr>
                <w:rFonts w:hint="eastAsia"/>
                <w:color w:val="auto"/>
                <w:highlight w:val="none"/>
                <w:lang w:val="en-US" w:eastAsia="zh-CN"/>
              </w:rPr>
              <w:t>0.042kg/a</w:t>
            </w:r>
          </w:p>
        </w:tc>
        <w:tc>
          <w:tcPr>
            <w:tcW w:w="1179" w:type="dxa"/>
            <w:shd w:val="clear" w:color="auto" w:fill="auto"/>
            <w:noWrap w:val="0"/>
            <w:vAlign w:val="center"/>
          </w:tcPr>
          <w:p w14:paraId="7F8B4BC0">
            <w:pPr>
              <w:pStyle w:val="43"/>
              <w:bidi w:val="0"/>
              <w:ind w:firstLine="0" w:firstLineChars="0"/>
              <w:rPr>
                <w:rFonts w:hint="eastAsia"/>
                <w:color w:val="auto"/>
                <w:highlight w:val="none"/>
                <w:lang w:val="en-US" w:eastAsia="zh-CN"/>
              </w:rPr>
            </w:pPr>
            <w:r>
              <w:rPr>
                <w:rFonts w:hint="eastAsia" w:cs="宋体"/>
                <w:color w:val="auto"/>
                <w:kern w:val="2"/>
                <w:sz w:val="21"/>
                <w:szCs w:val="21"/>
                <w:highlight w:val="none"/>
                <w:lang w:val="en-US" w:eastAsia="zh-CN" w:bidi="ar"/>
              </w:rPr>
              <w:t>+</w:t>
            </w:r>
            <w:r>
              <w:rPr>
                <w:rFonts w:hint="eastAsia"/>
                <w:color w:val="auto"/>
                <w:highlight w:val="none"/>
                <w:lang w:val="en-US" w:eastAsia="zh-CN"/>
              </w:rPr>
              <w:t>0.042kg/a</w:t>
            </w:r>
          </w:p>
        </w:tc>
      </w:tr>
      <w:tr w14:paraId="52B9BD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1142" w:type="dxa"/>
            <w:vMerge w:val="continue"/>
            <w:noWrap w:val="0"/>
            <w:vAlign w:val="center"/>
          </w:tcPr>
          <w:p w14:paraId="79FDB301">
            <w:pPr>
              <w:pStyle w:val="43"/>
              <w:bidi w:val="0"/>
              <w:ind w:firstLine="0" w:firstLineChars="0"/>
              <w:rPr>
                <w:rFonts w:hint="eastAsia"/>
                <w:color w:val="auto"/>
                <w:highlight w:val="none"/>
                <w:lang w:val="en-US" w:eastAsia="zh-CN"/>
              </w:rPr>
            </w:pPr>
          </w:p>
        </w:tc>
        <w:tc>
          <w:tcPr>
            <w:tcW w:w="1708" w:type="dxa"/>
            <w:noWrap w:val="0"/>
            <w:vAlign w:val="center"/>
          </w:tcPr>
          <w:p w14:paraId="7045769F">
            <w:pPr>
              <w:pStyle w:val="43"/>
              <w:bidi w:val="0"/>
              <w:ind w:firstLine="0" w:firstLineChars="0"/>
              <w:rPr>
                <w:rFonts w:hint="default"/>
                <w:color w:val="auto"/>
                <w:highlight w:val="none"/>
                <w:lang w:val="en-US" w:eastAsia="zh-CN"/>
              </w:rPr>
            </w:pPr>
            <w:r>
              <w:rPr>
                <w:rFonts w:hint="eastAsia"/>
                <w:color w:val="auto"/>
                <w:highlight w:val="none"/>
                <w:lang w:val="en-US" w:eastAsia="zh-CN"/>
              </w:rPr>
              <w:t>硝酸雾</w:t>
            </w:r>
          </w:p>
        </w:tc>
        <w:tc>
          <w:tcPr>
            <w:tcW w:w="1602" w:type="dxa"/>
            <w:noWrap w:val="0"/>
            <w:vAlign w:val="center"/>
          </w:tcPr>
          <w:p w14:paraId="6F344D8F">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367" w:type="dxa"/>
            <w:noWrap w:val="0"/>
            <w:vAlign w:val="center"/>
          </w:tcPr>
          <w:p w14:paraId="3BEB8FF6">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584" w:type="dxa"/>
            <w:noWrap w:val="0"/>
            <w:vAlign w:val="center"/>
          </w:tcPr>
          <w:p w14:paraId="45EE0F7C">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640" w:type="dxa"/>
            <w:noWrap w:val="0"/>
            <w:vAlign w:val="center"/>
          </w:tcPr>
          <w:p w14:paraId="6BE0251C">
            <w:pPr>
              <w:pStyle w:val="43"/>
              <w:bidi w:val="0"/>
              <w:ind w:firstLine="0" w:firstLineChars="0"/>
              <w:rPr>
                <w:rFonts w:hint="default"/>
                <w:color w:val="auto"/>
                <w:highlight w:val="none"/>
                <w:lang w:val="en-US" w:eastAsia="zh-CN"/>
              </w:rPr>
            </w:pPr>
            <w:r>
              <w:rPr>
                <w:rFonts w:hint="eastAsia"/>
                <w:color w:val="auto"/>
                <w:highlight w:val="none"/>
                <w:lang w:val="en-US" w:eastAsia="zh-CN"/>
              </w:rPr>
              <w:t>0.024kg/a</w:t>
            </w:r>
          </w:p>
        </w:tc>
        <w:tc>
          <w:tcPr>
            <w:tcW w:w="1687" w:type="dxa"/>
            <w:noWrap w:val="0"/>
            <w:vAlign w:val="center"/>
          </w:tcPr>
          <w:p w14:paraId="1927A405">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738" w:type="dxa"/>
            <w:shd w:val="clear" w:color="auto" w:fill="auto"/>
            <w:noWrap w:val="0"/>
            <w:vAlign w:val="center"/>
          </w:tcPr>
          <w:p w14:paraId="74F3F93F">
            <w:pPr>
              <w:pStyle w:val="43"/>
              <w:bidi w:val="0"/>
              <w:ind w:firstLine="0" w:firstLineChars="0"/>
              <w:rPr>
                <w:rFonts w:hint="eastAsia"/>
                <w:color w:val="auto"/>
                <w:highlight w:val="none"/>
                <w:lang w:val="en-US" w:eastAsia="zh-CN"/>
              </w:rPr>
            </w:pPr>
            <w:r>
              <w:rPr>
                <w:rFonts w:hint="eastAsia"/>
                <w:color w:val="auto"/>
                <w:highlight w:val="none"/>
                <w:lang w:val="en-US" w:eastAsia="zh-CN"/>
              </w:rPr>
              <w:t>0.024kg/a</w:t>
            </w:r>
          </w:p>
        </w:tc>
        <w:tc>
          <w:tcPr>
            <w:tcW w:w="1179" w:type="dxa"/>
            <w:shd w:val="clear" w:color="auto" w:fill="auto"/>
            <w:noWrap w:val="0"/>
            <w:vAlign w:val="center"/>
          </w:tcPr>
          <w:p w14:paraId="66803F71">
            <w:pPr>
              <w:pStyle w:val="43"/>
              <w:bidi w:val="0"/>
              <w:ind w:firstLine="0" w:firstLineChars="0"/>
              <w:rPr>
                <w:rFonts w:hint="eastAsia"/>
                <w:color w:val="auto"/>
                <w:highlight w:val="none"/>
                <w:lang w:val="en-US" w:eastAsia="zh-CN"/>
              </w:rPr>
            </w:pPr>
            <w:r>
              <w:rPr>
                <w:rFonts w:hint="eastAsia" w:cs="宋体"/>
                <w:color w:val="auto"/>
                <w:kern w:val="2"/>
                <w:sz w:val="21"/>
                <w:szCs w:val="21"/>
                <w:highlight w:val="none"/>
                <w:lang w:val="en-US" w:eastAsia="zh-CN" w:bidi="ar"/>
              </w:rPr>
              <w:t>+</w:t>
            </w:r>
            <w:r>
              <w:rPr>
                <w:rFonts w:hint="eastAsia"/>
                <w:color w:val="auto"/>
                <w:highlight w:val="none"/>
                <w:lang w:val="en-US" w:eastAsia="zh-CN"/>
              </w:rPr>
              <w:t>0.024kg/a</w:t>
            </w:r>
          </w:p>
        </w:tc>
      </w:tr>
      <w:tr w14:paraId="730B2B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1142" w:type="dxa"/>
            <w:vMerge w:val="continue"/>
            <w:noWrap w:val="0"/>
            <w:vAlign w:val="center"/>
          </w:tcPr>
          <w:p w14:paraId="026CF973">
            <w:pPr>
              <w:pStyle w:val="43"/>
              <w:bidi w:val="0"/>
              <w:ind w:firstLine="0" w:firstLineChars="0"/>
              <w:rPr>
                <w:rFonts w:hint="eastAsia"/>
                <w:color w:val="auto"/>
                <w:highlight w:val="none"/>
                <w:lang w:val="en-US" w:eastAsia="zh-CN"/>
              </w:rPr>
            </w:pPr>
          </w:p>
        </w:tc>
        <w:tc>
          <w:tcPr>
            <w:tcW w:w="1708" w:type="dxa"/>
            <w:noWrap w:val="0"/>
            <w:vAlign w:val="center"/>
          </w:tcPr>
          <w:p w14:paraId="2F477CA6">
            <w:pPr>
              <w:pStyle w:val="43"/>
              <w:bidi w:val="0"/>
              <w:ind w:firstLine="0" w:firstLineChars="0"/>
              <w:rPr>
                <w:rFonts w:hint="default"/>
                <w:color w:val="auto"/>
                <w:highlight w:val="none"/>
                <w:lang w:val="en-US" w:eastAsia="zh-CN"/>
              </w:rPr>
            </w:pPr>
            <w:r>
              <w:rPr>
                <w:rFonts w:hint="eastAsia"/>
                <w:color w:val="auto"/>
                <w:highlight w:val="none"/>
                <w:lang w:val="en-US" w:eastAsia="zh-CN"/>
              </w:rPr>
              <w:t>非甲烷总烃</w:t>
            </w:r>
          </w:p>
        </w:tc>
        <w:tc>
          <w:tcPr>
            <w:tcW w:w="1602" w:type="dxa"/>
            <w:noWrap w:val="0"/>
            <w:vAlign w:val="center"/>
          </w:tcPr>
          <w:p w14:paraId="068D82AA">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367" w:type="dxa"/>
            <w:noWrap w:val="0"/>
            <w:vAlign w:val="center"/>
          </w:tcPr>
          <w:p w14:paraId="4079BC61">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584" w:type="dxa"/>
            <w:noWrap w:val="0"/>
            <w:vAlign w:val="center"/>
          </w:tcPr>
          <w:p w14:paraId="6E0ED4F7">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640" w:type="dxa"/>
            <w:noWrap w:val="0"/>
            <w:vAlign w:val="center"/>
          </w:tcPr>
          <w:p w14:paraId="18E7CC57">
            <w:pPr>
              <w:pStyle w:val="43"/>
              <w:bidi w:val="0"/>
              <w:ind w:firstLine="0" w:firstLineChars="0"/>
              <w:rPr>
                <w:rFonts w:hint="default"/>
                <w:color w:val="auto"/>
                <w:highlight w:val="none"/>
                <w:lang w:val="en-US" w:eastAsia="zh-CN"/>
              </w:rPr>
            </w:pPr>
            <w:r>
              <w:rPr>
                <w:rFonts w:hint="eastAsia"/>
                <w:color w:val="auto"/>
                <w:highlight w:val="none"/>
                <w:lang w:val="en-US" w:eastAsia="zh-CN"/>
              </w:rPr>
              <w:t>0.439kg/a</w:t>
            </w:r>
          </w:p>
        </w:tc>
        <w:tc>
          <w:tcPr>
            <w:tcW w:w="1687" w:type="dxa"/>
            <w:noWrap w:val="0"/>
            <w:vAlign w:val="center"/>
          </w:tcPr>
          <w:p w14:paraId="2F1A2367">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738" w:type="dxa"/>
            <w:shd w:val="clear" w:color="auto" w:fill="auto"/>
            <w:noWrap w:val="0"/>
            <w:vAlign w:val="center"/>
          </w:tcPr>
          <w:p w14:paraId="0F7C0B27">
            <w:pPr>
              <w:pStyle w:val="43"/>
              <w:bidi w:val="0"/>
              <w:ind w:firstLine="0" w:firstLineChars="0"/>
              <w:rPr>
                <w:rFonts w:hint="eastAsia"/>
                <w:color w:val="auto"/>
                <w:highlight w:val="none"/>
                <w:lang w:val="en-US" w:eastAsia="zh-CN"/>
              </w:rPr>
            </w:pPr>
            <w:r>
              <w:rPr>
                <w:rFonts w:hint="eastAsia"/>
                <w:color w:val="auto"/>
                <w:highlight w:val="none"/>
                <w:lang w:val="en-US" w:eastAsia="zh-CN"/>
              </w:rPr>
              <w:t>0.439kg/a</w:t>
            </w:r>
          </w:p>
        </w:tc>
        <w:tc>
          <w:tcPr>
            <w:tcW w:w="1179" w:type="dxa"/>
            <w:shd w:val="clear" w:color="auto" w:fill="auto"/>
            <w:noWrap w:val="0"/>
            <w:vAlign w:val="center"/>
          </w:tcPr>
          <w:p w14:paraId="1FC72BD9">
            <w:pPr>
              <w:pStyle w:val="43"/>
              <w:bidi w:val="0"/>
              <w:ind w:firstLine="0" w:firstLineChars="0"/>
              <w:rPr>
                <w:rFonts w:hint="eastAsia"/>
                <w:color w:val="auto"/>
                <w:highlight w:val="none"/>
                <w:lang w:val="en-US" w:eastAsia="zh-CN"/>
              </w:rPr>
            </w:pPr>
            <w:r>
              <w:rPr>
                <w:rFonts w:hint="eastAsia" w:cs="宋体"/>
                <w:color w:val="auto"/>
                <w:kern w:val="2"/>
                <w:sz w:val="21"/>
                <w:szCs w:val="21"/>
                <w:highlight w:val="none"/>
                <w:lang w:val="en-US" w:eastAsia="zh-CN" w:bidi="ar"/>
              </w:rPr>
              <w:t>+</w:t>
            </w:r>
            <w:r>
              <w:rPr>
                <w:rFonts w:hint="eastAsia"/>
                <w:color w:val="auto"/>
                <w:highlight w:val="none"/>
                <w:lang w:val="en-US" w:eastAsia="zh-CN"/>
              </w:rPr>
              <w:t>0.439kg/a</w:t>
            </w:r>
          </w:p>
        </w:tc>
      </w:tr>
      <w:tr w14:paraId="4EA353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1142" w:type="dxa"/>
            <w:vMerge w:val="restart"/>
            <w:noWrap w:val="0"/>
            <w:vAlign w:val="center"/>
          </w:tcPr>
          <w:p w14:paraId="74536F88">
            <w:pPr>
              <w:pStyle w:val="43"/>
              <w:bidi w:val="0"/>
              <w:rPr>
                <w:rFonts w:hint="eastAsia"/>
                <w:color w:val="auto"/>
                <w:highlight w:val="none"/>
                <w:lang w:val="en-US" w:eastAsia="zh-CN"/>
              </w:rPr>
            </w:pPr>
            <w:r>
              <w:rPr>
                <w:rFonts w:hint="eastAsia"/>
                <w:color w:val="auto"/>
                <w:highlight w:val="none"/>
                <w:lang w:val="en-US" w:eastAsia="zh-CN"/>
              </w:rPr>
              <w:t>废水</w:t>
            </w:r>
          </w:p>
        </w:tc>
        <w:tc>
          <w:tcPr>
            <w:tcW w:w="1708" w:type="dxa"/>
            <w:noWrap w:val="0"/>
            <w:vAlign w:val="center"/>
          </w:tcPr>
          <w:p w14:paraId="2EDB009B">
            <w:pPr>
              <w:pStyle w:val="43"/>
              <w:bidi w:val="0"/>
              <w:rPr>
                <w:rFonts w:hint="default"/>
                <w:color w:val="auto"/>
                <w:highlight w:val="none"/>
                <w:lang w:val="en-US"/>
              </w:rPr>
            </w:pPr>
            <w:r>
              <w:rPr>
                <w:rFonts w:hint="eastAsia"/>
                <w:color w:val="auto"/>
                <w:highlight w:val="none"/>
                <w:lang w:val="en-US" w:eastAsia="zh-CN"/>
              </w:rPr>
              <w:t>COD</w:t>
            </w:r>
          </w:p>
        </w:tc>
        <w:tc>
          <w:tcPr>
            <w:tcW w:w="1602" w:type="dxa"/>
            <w:noWrap w:val="0"/>
            <w:vAlign w:val="center"/>
          </w:tcPr>
          <w:p w14:paraId="70A0379A">
            <w:pPr>
              <w:pStyle w:val="43"/>
              <w:bidi w:val="0"/>
              <w:ind w:firstLine="0" w:firstLineChars="0"/>
              <w:rPr>
                <w:rFonts w:hint="default" w:eastAsia="宋体"/>
                <w:color w:val="auto"/>
                <w:highlight w:val="none"/>
                <w:lang w:val="en-US" w:eastAsia="zh-CN"/>
              </w:rPr>
            </w:pPr>
            <w:r>
              <w:rPr>
                <w:rFonts w:hint="eastAsia"/>
                <w:color w:val="auto"/>
                <w:highlight w:val="none"/>
                <w:lang w:val="en-US" w:eastAsia="zh-CN"/>
              </w:rPr>
              <w:t>/</w:t>
            </w:r>
          </w:p>
        </w:tc>
        <w:tc>
          <w:tcPr>
            <w:tcW w:w="1367" w:type="dxa"/>
            <w:noWrap w:val="0"/>
            <w:vAlign w:val="center"/>
          </w:tcPr>
          <w:p w14:paraId="4F6BB815">
            <w:pPr>
              <w:pStyle w:val="43"/>
              <w:bidi w:val="0"/>
              <w:ind w:firstLine="0" w:firstLineChars="0"/>
              <w:rPr>
                <w:rFonts w:hint="eastAsia" w:eastAsia="宋体"/>
                <w:color w:val="auto"/>
                <w:highlight w:val="none"/>
                <w:lang w:val="en-US" w:eastAsia="zh-CN"/>
              </w:rPr>
            </w:pPr>
            <w:r>
              <w:rPr>
                <w:rFonts w:hint="eastAsia"/>
                <w:color w:val="auto"/>
                <w:highlight w:val="none"/>
                <w:lang w:val="en-US" w:eastAsia="zh-CN"/>
              </w:rPr>
              <w:t>/</w:t>
            </w:r>
          </w:p>
        </w:tc>
        <w:tc>
          <w:tcPr>
            <w:tcW w:w="1584" w:type="dxa"/>
            <w:noWrap w:val="0"/>
            <w:vAlign w:val="center"/>
          </w:tcPr>
          <w:p w14:paraId="07375BF4">
            <w:pPr>
              <w:pStyle w:val="43"/>
              <w:bidi w:val="0"/>
              <w:ind w:firstLine="0" w:firstLineChars="0"/>
              <w:rPr>
                <w:color w:val="auto"/>
                <w:highlight w:val="none"/>
              </w:rPr>
            </w:pPr>
            <w:r>
              <w:rPr>
                <w:rFonts w:hint="eastAsia"/>
                <w:color w:val="auto"/>
                <w:highlight w:val="none"/>
                <w:lang w:val="en-US" w:eastAsia="zh-CN"/>
              </w:rPr>
              <w:t>/</w:t>
            </w:r>
          </w:p>
        </w:tc>
        <w:tc>
          <w:tcPr>
            <w:tcW w:w="1640" w:type="dxa"/>
            <w:noWrap w:val="0"/>
            <w:vAlign w:val="center"/>
          </w:tcPr>
          <w:p w14:paraId="64B7C466">
            <w:pPr>
              <w:pStyle w:val="43"/>
              <w:bidi w:val="0"/>
              <w:ind w:firstLine="0" w:firstLineChars="0"/>
              <w:rPr>
                <w:rFonts w:hint="default" w:eastAsia="宋体"/>
                <w:color w:val="auto"/>
                <w:highlight w:val="none"/>
                <w:lang w:val="en-US" w:eastAsia="zh-CN"/>
              </w:rPr>
            </w:pPr>
            <w:r>
              <w:rPr>
                <w:rFonts w:hint="eastAsia"/>
                <w:color w:val="auto"/>
                <w:highlight w:val="none"/>
                <w:lang w:val="en-US" w:eastAsia="zh-CN"/>
              </w:rPr>
              <w:t>18.03</w:t>
            </w:r>
            <w:r>
              <w:rPr>
                <w:rFonts w:hint="default"/>
                <w:color w:val="auto"/>
                <w:highlight w:val="none"/>
                <w:lang w:val="en-US" w:eastAsia="zh-CN"/>
              </w:rPr>
              <w:t>t/a</w:t>
            </w:r>
          </w:p>
        </w:tc>
        <w:tc>
          <w:tcPr>
            <w:tcW w:w="1687" w:type="dxa"/>
            <w:noWrap w:val="0"/>
            <w:vAlign w:val="center"/>
          </w:tcPr>
          <w:p w14:paraId="77B426C7">
            <w:pPr>
              <w:pStyle w:val="43"/>
              <w:bidi w:val="0"/>
              <w:ind w:firstLine="0" w:firstLineChars="0"/>
              <w:rPr>
                <w:color w:val="auto"/>
                <w:highlight w:val="none"/>
              </w:rPr>
            </w:pPr>
            <w:r>
              <w:rPr>
                <w:rFonts w:hint="eastAsia"/>
                <w:color w:val="auto"/>
                <w:highlight w:val="none"/>
                <w:lang w:val="en-US" w:eastAsia="zh-CN"/>
              </w:rPr>
              <w:t>/</w:t>
            </w:r>
          </w:p>
        </w:tc>
        <w:tc>
          <w:tcPr>
            <w:tcW w:w="1738" w:type="dxa"/>
            <w:shd w:val="clear" w:color="auto" w:fill="auto"/>
            <w:noWrap w:val="0"/>
            <w:vAlign w:val="center"/>
          </w:tcPr>
          <w:p w14:paraId="43563A97">
            <w:pPr>
              <w:pStyle w:val="43"/>
              <w:bidi w:val="0"/>
              <w:ind w:firstLine="0" w:firstLineChars="0"/>
              <w:rPr>
                <w:rFonts w:hint="default" w:ascii="Times New Roman" w:hAnsi="Times New Roman" w:eastAsia="宋体" w:cs="宋体"/>
                <w:color w:val="auto"/>
                <w:kern w:val="2"/>
                <w:sz w:val="21"/>
                <w:szCs w:val="21"/>
                <w:highlight w:val="none"/>
                <w:lang w:val="en-US" w:eastAsia="zh-CN" w:bidi="ar"/>
              </w:rPr>
            </w:pPr>
            <w:r>
              <w:rPr>
                <w:rFonts w:hint="eastAsia"/>
                <w:color w:val="auto"/>
                <w:highlight w:val="none"/>
                <w:lang w:val="en-US" w:eastAsia="zh-CN"/>
              </w:rPr>
              <w:t>18.03</w:t>
            </w:r>
            <w:r>
              <w:rPr>
                <w:rFonts w:hint="default"/>
                <w:color w:val="auto"/>
                <w:highlight w:val="none"/>
                <w:lang w:val="en-US" w:eastAsia="zh-CN"/>
              </w:rPr>
              <w:t>t/a</w:t>
            </w:r>
          </w:p>
        </w:tc>
        <w:tc>
          <w:tcPr>
            <w:tcW w:w="1179" w:type="dxa"/>
            <w:shd w:val="clear" w:color="auto" w:fill="auto"/>
            <w:noWrap w:val="0"/>
            <w:vAlign w:val="center"/>
          </w:tcPr>
          <w:p w14:paraId="43EB2543">
            <w:pPr>
              <w:pStyle w:val="43"/>
              <w:bidi w:val="0"/>
              <w:ind w:firstLine="0" w:firstLineChars="0"/>
              <w:rPr>
                <w:rFonts w:hint="default" w:ascii="Times New Roman" w:hAnsi="Times New Roman" w:eastAsia="宋体" w:cs="宋体"/>
                <w:color w:val="auto"/>
                <w:kern w:val="2"/>
                <w:sz w:val="21"/>
                <w:szCs w:val="21"/>
                <w:highlight w:val="none"/>
                <w:lang w:val="en-US" w:eastAsia="zh-CN" w:bidi="ar"/>
              </w:rPr>
            </w:pPr>
            <w:r>
              <w:rPr>
                <w:rFonts w:hint="eastAsia"/>
                <w:color w:val="auto"/>
                <w:highlight w:val="none"/>
                <w:lang w:val="en-US" w:eastAsia="zh-CN"/>
              </w:rPr>
              <w:t>+18.03</w:t>
            </w:r>
            <w:r>
              <w:rPr>
                <w:rFonts w:hint="default"/>
                <w:color w:val="auto"/>
                <w:highlight w:val="none"/>
                <w:lang w:val="en-US" w:eastAsia="zh-CN"/>
              </w:rPr>
              <w:t>t/a</w:t>
            </w:r>
          </w:p>
        </w:tc>
      </w:tr>
      <w:tr w14:paraId="1E9651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1142" w:type="dxa"/>
            <w:vMerge w:val="continue"/>
            <w:noWrap w:val="0"/>
            <w:vAlign w:val="center"/>
          </w:tcPr>
          <w:p w14:paraId="3D95BB0C">
            <w:pPr>
              <w:pStyle w:val="43"/>
              <w:bidi w:val="0"/>
              <w:ind w:firstLine="0" w:firstLineChars="0"/>
              <w:rPr>
                <w:color w:val="auto"/>
                <w:highlight w:val="none"/>
              </w:rPr>
            </w:pPr>
          </w:p>
        </w:tc>
        <w:tc>
          <w:tcPr>
            <w:tcW w:w="1708" w:type="dxa"/>
            <w:noWrap w:val="0"/>
            <w:vAlign w:val="center"/>
          </w:tcPr>
          <w:p w14:paraId="35C6F7DC">
            <w:pPr>
              <w:pStyle w:val="43"/>
              <w:bidi w:val="0"/>
              <w:ind w:firstLine="0" w:firstLineChars="0"/>
              <w:rPr>
                <w:rFonts w:hint="default"/>
                <w:color w:val="auto"/>
                <w:highlight w:val="none"/>
                <w:lang w:val="en-US" w:eastAsia="zh-CN"/>
              </w:rPr>
            </w:pPr>
            <w:r>
              <w:rPr>
                <w:rFonts w:hint="eastAsia"/>
                <w:color w:val="auto"/>
                <w:highlight w:val="none"/>
                <w:lang w:val="en-US" w:eastAsia="zh-CN"/>
              </w:rPr>
              <w:t>氨氮</w:t>
            </w:r>
          </w:p>
        </w:tc>
        <w:tc>
          <w:tcPr>
            <w:tcW w:w="1602" w:type="dxa"/>
            <w:noWrap w:val="0"/>
            <w:vAlign w:val="center"/>
          </w:tcPr>
          <w:p w14:paraId="5AD3EC7F">
            <w:pPr>
              <w:pStyle w:val="43"/>
              <w:bidi w:val="0"/>
              <w:ind w:firstLine="0" w:firstLineChars="0"/>
              <w:rPr>
                <w:rFonts w:hint="default"/>
                <w:color w:val="auto"/>
                <w:highlight w:val="none"/>
                <w:lang w:val="en-US" w:eastAsia="zh-CN"/>
              </w:rPr>
            </w:pPr>
            <w:r>
              <w:rPr>
                <w:rFonts w:hint="eastAsia"/>
                <w:color w:val="auto"/>
                <w:highlight w:val="none"/>
                <w:lang w:val="en-US" w:eastAsia="zh-CN"/>
              </w:rPr>
              <w:t>/</w:t>
            </w:r>
          </w:p>
        </w:tc>
        <w:tc>
          <w:tcPr>
            <w:tcW w:w="1367" w:type="dxa"/>
            <w:noWrap w:val="0"/>
            <w:vAlign w:val="center"/>
          </w:tcPr>
          <w:p w14:paraId="1C80F293">
            <w:pPr>
              <w:pStyle w:val="43"/>
              <w:bidi w:val="0"/>
              <w:ind w:firstLine="0" w:firstLineChars="0"/>
              <w:rPr>
                <w:rFonts w:hint="default"/>
                <w:color w:val="auto"/>
                <w:highlight w:val="none"/>
                <w:lang w:val="en-US" w:eastAsia="zh-CN"/>
              </w:rPr>
            </w:pPr>
            <w:r>
              <w:rPr>
                <w:rFonts w:hint="eastAsia"/>
                <w:color w:val="auto"/>
                <w:highlight w:val="none"/>
                <w:lang w:val="en-US" w:eastAsia="zh-CN"/>
              </w:rPr>
              <w:t>/</w:t>
            </w:r>
          </w:p>
        </w:tc>
        <w:tc>
          <w:tcPr>
            <w:tcW w:w="1584" w:type="dxa"/>
            <w:noWrap w:val="0"/>
            <w:vAlign w:val="center"/>
          </w:tcPr>
          <w:p w14:paraId="4F2C9499">
            <w:pPr>
              <w:pStyle w:val="43"/>
              <w:bidi w:val="0"/>
              <w:ind w:firstLine="0" w:firstLineChars="0"/>
              <w:rPr>
                <w:rFonts w:hint="default"/>
                <w:color w:val="auto"/>
                <w:highlight w:val="none"/>
                <w:lang w:val="en-US" w:eastAsia="zh-CN"/>
              </w:rPr>
            </w:pPr>
            <w:r>
              <w:rPr>
                <w:rFonts w:hint="eastAsia"/>
                <w:color w:val="auto"/>
                <w:highlight w:val="none"/>
                <w:lang w:val="en-US" w:eastAsia="zh-CN"/>
              </w:rPr>
              <w:t>/</w:t>
            </w:r>
          </w:p>
        </w:tc>
        <w:tc>
          <w:tcPr>
            <w:tcW w:w="1640" w:type="dxa"/>
            <w:noWrap w:val="0"/>
            <w:vAlign w:val="center"/>
          </w:tcPr>
          <w:p w14:paraId="0DD32044">
            <w:pPr>
              <w:pStyle w:val="43"/>
              <w:bidi w:val="0"/>
              <w:ind w:firstLine="0" w:firstLineChars="0"/>
              <w:rPr>
                <w:rFonts w:hint="default"/>
                <w:color w:val="auto"/>
                <w:highlight w:val="none"/>
                <w:lang w:val="en-US" w:eastAsia="zh-CN"/>
              </w:rPr>
            </w:pPr>
            <w:r>
              <w:rPr>
                <w:rFonts w:hint="eastAsia"/>
                <w:color w:val="auto"/>
                <w:highlight w:val="none"/>
                <w:lang w:val="en-US" w:eastAsia="zh-CN"/>
              </w:rPr>
              <w:t>1.15</w:t>
            </w:r>
            <w:r>
              <w:rPr>
                <w:rFonts w:hint="default"/>
                <w:color w:val="auto"/>
                <w:highlight w:val="none"/>
                <w:lang w:val="en-US" w:eastAsia="zh-CN"/>
              </w:rPr>
              <w:t>t/a</w:t>
            </w:r>
          </w:p>
        </w:tc>
        <w:tc>
          <w:tcPr>
            <w:tcW w:w="1687" w:type="dxa"/>
            <w:noWrap w:val="0"/>
            <w:vAlign w:val="center"/>
          </w:tcPr>
          <w:p w14:paraId="7738A15D">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738" w:type="dxa"/>
            <w:shd w:val="clear" w:color="auto" w:fill="auto"/>
            <w:noWrap w:val="0"/>
            <w:vAlign w:val="center"/>
          </w:tcPr>
          <w:p w14:paraId="5546A254">
            <w:pPr>
              <w:pStyle w:val="43"/>
              <w:bidi w:val="0"/>
              <w:ind w:firstLine="0" w:firstLineChars="0"/>
              <w:rPr>
                <w:rFonts w:hint="default"/>
                <w:color w:val="auto"/>
                <w:highlight w:val="none"/>
                <w:lang w:val="en-US" w:eastAsia="zh-CN"/>
              </w:rPr>
            </w:pPr>
            <w:r>
              <w:rPr>
                <w:rFonts w:hint="eastAsia"/>
                <w:color w:val="auto"/>
                <w:highlight w:val="none"/>
                <w:lang w:val="en-US" w:eastAsia="zh-CN"/>
              </w:rPr>
              <w:t>1.15</w:t>
            </w:r>
            <w:r>
              <w:rPr>
                <w:rFonts w:hint="default"/>
                <w:color w:val="auto"/>
                <w:highlight w:val="none"/>
                <w:lang w:val="en-US" w:eastAsia="zh-CN"/>
              </w:rPr>
              <w:t>t/a</w:t>
            </w:r>
          </w:p>
        </w:tc>
        <w:tc>
          <w:tcPr>
            <w:tcW w:w="1179" w:type="dxa"/>
            <w:shd w:val="clear" w:color="auto" w:fill="auto"/>
            <w:noWrap w:val="0"/>
            <w:vAlign w:val="center"/>
          </w:tcPr>
          <w:p w14:paraId="6C570D34">
            <w:pPr>
              <w:pStyle w:val="43"/>
              <w:bidi w:val="0"/>
              <w:ind w:firstLine="0" w:firstLineChars="0"/>
              <w:rPr>
                <w:rFonts w:hint="default"/>
                <w:color w:val="auto"/>
                <w:highlight w:val="none"/>
                <w:lang w:val="en-US" w:eastAsia="zh-CN"/>
              </w:rPr>
            </w:pPr>
            <w:r>
              <w:rPr>
                <w:rFonts w:hint="eastAsia"/>
                <w:color w:val="auto"/>
                <w:highlight w:val="none"/>
                <w:lang w:val="en-US" w:eastAsia="zh-CN"/>
              </w:rPr>
              <w:t>+1.15</w:t>
            </w:r>
            <w:r>
              <w:rPr>
                <w:rFonts w:hint="default"/>
                <w:color w:val="auto"/>
                <w:highlight w:val="none"/>
                <w:lang w:val="en-US" w:eastAsia="zh-CN"/>
              </w:rPr>
              <w:t>t/a</w:t>
            </w:r>
          </w:p>
        </w:tc>
      </w:tr>
      <w:tr w14:paraId="22C621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1142" w:type="dxa"/>
            <w:vMerge w:val="restart"/>
            <w:noWrap w:val="0"/>
            <w:vAlign w:val="center"/>
          </w:tcPr>
          <w:p w14:paraId="05FC9C39">
            <w:pPr>
              <w:pStyle w:val="43"/>
              <w:bidi w:val="0"/>
              <w:rPr>
                <w:color w:val="auto"/>
                <w:highlight w:val="none"/>
                <w:lang w:val="en-US" w:eastAsia="zh-CN"/>
              </w:rPr>
            </w:pPr>
            <w:r>
              <w:rPr>
                <w:rFonts w:hint="eastAsia"/>
                <w:color w:val="auto"/>
                <w:highlight w:val="none"/>
                <w:lang w:val="en-US" w:eastAsia="zh-CN"/>
              </w:rPr>
              <w:t>一般工业</w:t>
            </w:r>
          </w:p>
          <w:p w14:paraId="5ADC3392">
            <w:pPr>
              <w:pStyle w:val="43"/>
              <w:bidi w:val="0"/>
              <w:rPr>
                <w:rFonts w:hint="eastAsia"/>
                <w:color w:val="auto"/>
                <w:highlight w:val="none"/>
              </w:rPr>
            </w:pPr>
            <w:r>
              <w:rPr>
                <w:rFonts w:hint="eastAsia"/>
                <w:color w:val="auto"/>
                <w:highlight w:val="none"/>
                <w:lang w:val="en-US" w:eastAsia="zh-CN"/>
              </w:rPr>
              <w:t>固体废物</w:t>
            </w:r>
          </w:p>
        </w:tc>
        <w:tc>
          <w:tcPr>
            <w:tcW w:w="1708" w:type="dxa"/>
            <w:noWrap w:val="0"/>
            <w:vAlign w:val="center"/>
          </w:tcPr>
          <w:p w14:paraId="594AB62B">
            <w:pPr>
              <w:pStyle w:val="43"/>
              <w:bidi w:val="0"/>
              <w:ind w:firstLine="0" w:firstLineChars="0"/>
              <w:rPr>
                <w:rFonts w:hint="eastAsia" w:eastAsia="宋体"/>
                <w:color w:val="auto"/>
                <w:highlight w:val="none"/>
                <w:lang w:val="en-US" w:eastAsia="zh-CN"/>
              </w:rPr>
            </w:pPr>
            <w:r>
              <w:rPr>
                <w:rFonts w:hint="eastAsia"/>
                <w:color w:val="auto"/>
                <w:highlight w:val="none"/>
                <w:lang w:val="en-US" w:eastAsia="zh-CN"/>
              </w:rPr>
              <w:t>餐厨垃圾</w:t>
            </w:r>
          </w:p>
        </w:tc>
        <w:tc>
          <w:tcPr>
            <w:tcW w:w="1602" w:type="dxa"/>
            <w:noWrap w:val="0"/>
            <w:vAlign w:val="center"/>
          </w:tcPr>
          <w:p w14:paraId="02687932">
            <w:pPr>
              <w:pStyle w:val="43"/>
              <w:bidi w:val="0"/>
              <w:ind w:firstLine="0" w:firstLineChars="0"/>
              <w:rPr>
                <w:rFonts w:hint="default" w:eastAsia="宋体"/>
                <w:color w:val="auto"/>
                <w:highlight w:val="none"/>
                <w:lang w:val="en-US" w:eastAsia="zh-CN"/>
              </w:rPr>
            </w:pPr>
            <w:r>
              <w:rPr>
                <w:rFonts w:hint="eastAsia"/>
                <w:color w:val="auto"/>
                <w:highlight w:val="none"/>
                <w:lang w:val="en-US" w:eastAsia="zh-CN"/>
              </w:rPr>
              <w:t>/</w:t>
            </w:r>
          </w:p>
        </w:tc>
        <w:tc>
          <w:tcPr>
            <w:tcW w:w="1367" w:type="dxa"/>
            <w:noWrap w:val="0"/>
            <w:vAlign w:val="center"/>
          </w:tcPr>
          <w:p w14:paraId="35A15583">
            <w:pPr>
              <w:pStyle w:val="43"/>
              <w:bidi w:val="0"/>
              <w:ind w:firstLine="0" w:firstLineChars="0"/>
              <w:rPr>
                <w:color w:val="auto"/>
                <w:highlight w:val="none"/>
              </w:rPr>
            </w:pPr>
            <w:r>
              <w:rPr>
                <w:rFonts w:hint="eastAsia"/>
                <w:color w:val="auto"/>
                <w:highlight w:val="none"/>
                <w:lang w:val="en-US" w:eastAsia="zh-CN"/>
              </w:rPr>
              <w:t>/</w:t>
            </w:r>
          </w:p>
        </w:tc>
        <w:tc>
          <w:tcPr>
            <w:tcW w:w="1584" w:type="dxa"/>
            <w:noWrap w:val="0"/>
            <w:vAlign w:val="center"/>
          </w:tcPr>
          <w:p w14:paraId="0A529846">
            <w:pPr>
              <w:pStyle w:val="43"/>
              <w:bidi w:val="0"/>
              <w:ind w:firstLine="0" w:firstLineChars="0"/>
              <w:rPr>
                <w:color w:val="auto"/>
                <w:highlight w:val="none"/>
              </w:rPr>
            </w:pPr>
            <w:r>
              <w:rPr>
                <w:rFonts w:hint="eastAsia"/>
                <w:color w:val="auto"/>
                <w:highlight w:val="none"/>
                <w:lang w:val="en-US" w:eastAsia="zh-CN"/>
              </w:rPr>
              <w:t>/</w:t>
            </w:r>
          </w:p>
        </w:tc>
        <w:tc>
          <w:tcPr>
            <w:tcW w:w="1640" w:type="dxa"/>
            <w:noWrap w:val="0"/>
            <w:vAlign w:val="center"/>
          </w:tcPr>
          <w:p w14:paraId="74B8CA88">
            <w:pPr>
              <w:pStyle w:val="43"/>
              <w:bidi w:val="0"/>
              <w:ind w:firstLine="0" w:firstLineChars="0"/>
              <w:rPr>
                <w:rFonts w:hint="default" w:eastAsia="宋体"/>
                <w:color w:val="auto"/>
                <w:highlight w:val="none"/>
                <w:lang w:val="en-US" w:eastAsia="zh-CN"/>
              </w:rPr>
            </w:pPr>
            <w:r>
              <w:rPr>
                <w:rFonts w:hint="eastAsia"/>
                <w:color w:val="auto"/>
                <w:highlight w:val="none"/>
                <w:lang w:val="en-US" w:eastAsia="zh-CN"/>
              </w:rPr>
              <w:t>97.5</w:t>
            </w:r>
            <w:r>
              <w:rPr>
                <w:rFonts w:hint="default"/>
                <w:color w:val="auto"/>
                <w:highlight w:val="none"/>
                <w:lang w:val="en-US" w:eastAsia="zh-CN"/>
              </w:rPr>
              <w:t>t/a</w:t>
            </w:r>
          </w:p>
        </w:tc>
        <w:tc>
          <w:tcPr>
            <w:tcW w:w="1687" w:type="dxa"/>
            <w:noWrap w:val="0"/>
            <w:vAlign w:val="center"/>
          </w:tcPr>
          <w:p w14:paraId="01973420">
            <w:pPr>
              <w:pStyle w:val="43"/>
              <w:bidi w:val="0"/>
              <w:ind w:firstLine="0" w:firstLineChars="0"/>
              <w:rPr>
                <w:color w:val="auto"/>
                <w:highlight w:val="none"/>
              </w:rPr>
            </w:pPr>
            <w:r>
              <w:rPr>
                <w:rFonts w:hint="eastAsia"/>
                <w:color w:val="auto"/>
                <w:highlight w:val="none"/>
                <w:lang w:val="en-US" w:eastAsia="zh-CN"/>
              </w:rPr>
              <w:t>/</w:t>
            </w:r>
          </w:p>
        </w:tc>
        <w:tc>
          <w:tcPr>
            <w:tcW w:w="1738" w:type="dxa"/>
            <w:shd w:val="clear" w:color="auto" w:fill="auto"/>
            <w:noWrap w:val="0"/>
            <w:vAlign w:val="center"/>
          </w:tcPr>
          <w:p w14:paraId="6131312A">
            <w:pPr>
              <w:pStyle w:val="43"/>
              <w:bidi w:val="0"/>
              <w:ind w:firstLine="0" w:firstLineChars="0"/>
              <w:rPr>
                <w:rFonts w:ascii="Times New Roman" w:hAnsi="Times New Roman" w:eastAsia="宋体" w:cs="宋体"/>
                <w:color w:val="auto"/>
                <w:kern w:val="2"/>
                <w:sz w:val="21"/>
                <w:szCs w:val="21"/>
                <w:highlight w:val="none"/>
                <w:lang w:val="en-US" w:eastAsia="zh-CN" w:bidi="ar"/>
              </w:rPr>
            </w:pPr>
            <w:r>
              <w:rPr>
                <w:rFonts w:hint="eastAsia"/>
                <w:color w:val="auto"/>
                <w:highlight w:val="none"/>
                <w:lang w:val="en-US" w:eastAsia="zh-CN"/>
              </w:rPr>
              <w:t>97.5</w:t>
            </w:r>
            <w:r>
              <w:rPr>
                <w:rFonts w:hint="default"/>
                <w:color w:val="auto"/>
                <w:highlight w:val="none"/>
                <w:lang w:val="en-US" w:eastAsia="zh-CN"/>
              </w:rPr>
              <w:t>t/a</w:t>
            </w:r>
          </w:p>
        </w:tc>
        <w:tc>
          <w:tcPr>
            <w:tcW w:w="1179" w:type="dxa"/>
            <w:shd w:val="clear" w:color="auto" w:fill="auto"/>
            <w:noWrap w:val="0"/>
            <w:vAlign w:val="center"/>
          </w:tcPr>
          <w:p w14:paraId="73BCE767">
            <w:pPr>
              <w:pStyle w:val="43"/>
              <w:bidi w:val="0"/>
              <w:ind w:firstLine="0" w:firstLineChars="0"/>
              <w:rPr>
                <w:rFonts w:ascii="Times New Roman" w:hAnsi="Times New Roman" w:eastAsia="宋体" w:cs="宋体"/>
                <w:color w:val="auto"/>
                <w:kern w:val="2"/>
                <w:sz w:val="21"/>
                <w:szCs w:val="21"/>
                <w:highlight w:val="none"/>
                <w:lang w:val="en-US" w:eastAsia="zh-CN" w:bidi="ar"/>
              </w:rPr>
            </w:pPr>
            <w:r>
              <w:rPr>
                <w:rFonts w:hint="eastAsia"/>
                <w:color w:val="auto"/>
                <w:highlight w:val="none"/>
                <w:lang w:val="en-US" w:eastAsia="zh-CN"/>
              </w:rPr>
              <w:t>+97.5</w:t>
            </w:r>
            <w:r>
              <w:rPr>
                <w:rFonts w:hint="default"/>
                <w:color w:val="auto"/>
                <w:highlight w:val="none"/>
                <w:lang w:val="en-US" w:eastAsia="zh-CN"/>
              </w:rPr>
              <w:t>t/a</w:t>
            </w:r>
          </w:p>
        </w:tc>
      </w:tr>
      <w:tr w14:paraId="58BAD1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1142" w:type="dxa"/>
            <w:vMerge w:val="continue"/>
            <w:noWrap w:val="0"/>
            <w:vAlign w:val="center"/>
          </w:tcPr>
          <w:p w14:paraId="29B7074D">
            <w:pPr>
              <w:pStyle w:val="43"/>
              <w:bidi w:val="0"/>
              <w:ind w:firstLine="0" w:firstLineChars="0"/>
              <w:rPr>
                <w:color w:val="auto"/>
                <w:highlight w:val="none"/>
              </w:rPr>
            </w:pPr>
          </w:p>
        </w:tc>
        <w:tc>
          <w:tcPr>
            <w:tcW w:w="1708" w:type="dxa"/>
            <w:noWrap w:val="0"/>
            <w:vAlign w:val="center"/>
          </w:tcPr>
          <w:p w14:paraId="774703FE">
            <w:pPr>
              <w:pStyle w:val="43"/>
              <w:bidi w:val="0"/>
              <w:ind w:firstLine="0" w:firstLineChars="0"/>
              <w:rPr>
                <w:rFonts w:hint="default"/>
                <w:color w:val="auto"/>
                <w:highlight w:val="none"/>
                <w:lang w:val="en-US" w:eastAsia="zh-CN"/>
              </w:rPr>
            </w:pPr>
            <w:r>
              <w:rPr>
                <w:rFonts w:hint="eastAsia"/>
                <w:color w:val="auto"/>
                <w:highlight w:val="none"/>
                <w:lang w:val="en-US" w:eastAsia="zh-CN"/>
              </w:rPr>
              <w:t>隔油池废油脂</w:t>
            </w:r>
          </w:p>
        </w:tc>
        <w:tc>
          <w:tcPr>
            <w:tcW w:w="1602" w:type="dxa"/>
            <w:noWrap w:val="0"/>
            <w:vAlign w:val="center"/>
          </w:tcPr>
          <w:p w14:paraId="0EA65747">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367" w:type="dxa"/>
            <w:noWrap w:val="0"/>
            <w:vAlign w:val="center"/>
          </w:tcPr>
          <w:p w14:paraId="5191CEE2">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584" w:type="dxa"/>
            <w:noWrap w:val="0"/>
            <w:vAlign w:val="center"/>
          </w:tcPr>
          <w:p w14:paraId="7B64F6E7">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640" w:type="dxa"/>
            <w:noWrap w:val="0"/>
            <w:vAlign w:val="center"/>
          </w:tcPr>
          <w:p w14:paraId="7DDCCEAB">
            <w:pPr>
              <w:pStyle w:val="43"/>
              <w:bidi w:val="0"/>
              <w:ind w:firstLine="0" w:firstLineChars="0"/>
              <w:rPr>
                <w:rFonts w:hint="default"/>
                <w:color w:val="auto"/>
                <w:highlight w:val="none"/>
                <w:lang w:val="en-US" w:eastAsia="zh-CN"/>
              </w:rPr>
            </w:pPr>
            <w:r>
              <w:rPr>
                <w:rFonts w:hint="eastAsia"/>
                <w:color w:val="auto"/>
                <w:highlight w:val="none"/>
                <w:lang w:val="en-US" w:eastAsia="zh-CN"/>
              </w:rPr>
              <w:t>44</w:t>
            </w:r>
            <w:r>
              <w:rPr>
                <w:rFonts w:hint="default"/>
                <w:color w:val="auto"/>
                <w:highlight w:val="none"/>
                <w:lang w:val="en-US" w:eastAsia="zh-CN"/>
              </w:rPr>
              <w:t>t/a</w:t>
            </w:r>
          </w:p>
        </w:tc>
        <w:tc>
          <w:tcPr>
            <w:tcW w:w="1687" w:type="dxa"/>
            <w:noWrap w:val="0"/>
            <w:vAlign w:val="center"/>
          </w:tcPr>
          <w:p w14:paraId="40B5D6FB">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738" w:type="dxa"/>
            <w:shd w:val="clear" w:color="auto" w:fill="auto"/>
            <w:noWrap w:val="0"/>
            <w:vAlign w:val="center"/>
          </w:tcPr>
          <w:p w14:paraId="7F675C6C">
            <w:pPr>
              <w:pStyle w:val="43"/>
              <w:bidi w:val="0"/>
              <w:ind w:firstLine="0" w:firstLineChars="0"/>
              <w:rPr>
                <w:rFonts w:hint="eastAsia"/>
                <w:color w:val="auto"/>
                <w:highlight w:val="none"/>
                <w:lang w:val="en-US" w:eastAsia="zh-CN"/>
              </w:rPr>
            </w:pPr>
            <w:r>
              <w:rPr>
                <w:rFonts w:hint="eastAsia"/>
                <w:color w:val="auto"/>
                <w:highlight w:val="none"/>
                <w:lang w:val="en-US" w:eastAsia="zh-CN"/>
              </w:rPr>
              <w:t>44</w:t>
            </w:r>
            <w:r>
              <w:rPr>
                <w:rFonts w:hint="default"/>
                <w:color w:val="auto"/>
                <w:highlight w:val="none"/>
                <w:lang w:val="en-US" w:eastAsia="zh-CN"/>
              </w:rPr>
              <w:t>t/a</w:t>
            </w:r>
          </w:p>
        </w:tc>
        <w:tc>
          <w:tcPr>
            <w:tcW w:w="1179" w:type="dxa"/>
            <w:shd w:val="clear" w:color="auto" w:fill="auto"/>
            <w:noWrap w:val="0"/>
            <w:vAlign w:val="center"/>
          </w:tcPr>
          <w:p w14:paraId="647C9950">
            <w:pPr>
              <w:pStyle w:val="43"/>
              <w:bidi w:val="0"/>
              <w:ind w:firstLine="0" w:firstLineChars="0"/>
              <w:rPr>
                <w:rFonts w:hint="eastAsia"/>
                <w:color w:val="auto"/>
                <w:highlight w:val="none"/>
                <w:lang w:val="en-US" w:eastAsia="zh-CN"/>
              </w:rPr>
            </w:pPr>
            <w:r>
              <w:rPr>
                <w:rFonts w:hint="eastAsia"/>
                <w:color w:val="auto"/>
                <w:highlight w:val="none"/>
                <w:lang w:val="en-US" w:eastAsia="zh-CN"/>
              </w:rPr>
              <w:t>+44</w:t>
            </w:r>
            <w:r>
              <w:rPr>
                <w:rFonts w:hint="default"/>
                <w:color w:val="auto"/>
                <w:highlight w:val="none"/>
                <w:lang w:val="en-US" w:eastAsia="zh-CN"/>
              </w:rPr>
              <w:t>t/a</w:t>
            </w:r>
          </w:p>
        </w:tc>
      </w:tr>
      <w:tr w14:paraId="3F3175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1142" w:type="dxa"/>
            <w:vMerge w:val="continue"/>
            <w:noWrap w:val="0"/>
            <w:vAlign w:val="center"/>
          </w:tcPr>
          <w:p w14:paraId="11C04A57">
            <w:pPr>
              <w:pStyle w:val="43"/>
              <w:bidi w:val="0"/>
              <w:ind w:firstLine="0" w:firstLineChars="0"/>
              <w:rPr>
                <w:rFonts w:hint="eastAsia"/>
                <w:color w:val="auto"/>
                <w:highlight w:val="none"/>
                <w:lang w:val="en-US" w:eastAsia="zh-CN"/>
              </w:rPr>
            </w:pPr>
          </w:p>
        </w:tc>
        <w:tc>
          <w:tcPr>
            <w:tcW w:w="1708" w:type="dxa"/>
            <w:noWrap w:val="0"/>
            <w:vAlign w:val="center"/>
          </w:tcPr>
          <w:p w14:paraId="68FD3F92">
            <w:pPr>
              <w:pStyle w:val="43"/>
              <w:bidi w:val="0"/>
              <w:ind w:firstLine="0" w:firstLineChars="0"/>
              <w:rPr>
                <w:rFonts w:hint="default"/>
                <w:color w:val="auto"/>
                <w:highlight w:val="none"/>
                <w:lang w:val="en-US" w:eastAsia="zh-CN"/>
              </w:rPr>
            </w:pPr>
            <w:r>
              <w:rPr>
                <w:rFonts w:hint="eastAsia"/>
                <w:color w:val="auto"/>
                <w:highlight w:val="none"/>
                <w:lang w:val="en-US" w:eastAsia="zh-CN"/>
              </w:rPr>
              <w:t>实验室一般固废</w:t>
            </w:r>
          </w:p>
        </w:tc>
        <w:tc>
          <w:tcPr>
            <w:tcW w:w="1602" w:type="dxa"/>
            <w:noWrap w:val="0"/>
            <w:vAlign w:val="center"/>
          </w:tcPr>
          <w:p w14:paraId="57454855">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367" w:type="dxa"/>
            <w:noWrap w:val="0"/>
            <w:vAlign w:val="center"/>
          </w:tcPr>
          <w:p w14:paraId="703CC5D6">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584" w:type="dxa"/>
            <w:noWrap w:val="0"/>
            <w:vAlign w:val="center"/>
          </w:tcPr>
          <w:p w14:paraId="3D07338B">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640" w:type="dxa"/>
            <w:noWrap w:val="0"/>
            <w:vAlign w:val="center"/>
          </w:tcPr>
          <w:p w14:paraId="64F866BF">
            <w:pPr>
              <w:pStyle w:val="43"/>
              <w:bidi w:val="0"/>
              <w:ind w:firstLine="0" w:firstLineChars="0"/>
              <w:rPr>
                <w:rFonts w:hint="default"/>
                <w:color w:val="auto"/>
                <w:highlight w:val="none"/>
                <w:lang w:val="en-US" w:eastAsia="zh-CN"/>
              </w:rPr>
            </w:pPr>
            <w:r>
              <w:rPr>
                <w:rFonts w:hint="eastAsia"/>
                <w:color w:val="auto"/>
                <w:highlight w:val="none"/>
                <w:lang w:val="en-US" w:eastAsia="zh-CN"/>
              </w:rPr>
              <w:t>0.5</w:t>
            </w:r>
            <w:r>
              <w:rPr>
                <w:rFonts w:hint="default"/>
                <w:color w:val="auto"/>
                <w:highlight w:val="none"/>
                <w:lang w:val="en-US" w:eastAsia="zh-CN"/>
              </w:rPr>
              <w:t>t/a</w:t>
            </w:r>
          </w:p>
        </w:tc>
        <w:tc>
          <w:tcPr>
            <w:tcW w:w="1687" w:type="dxa"/>
            <w:noWrap w:val="0"/>
            <w:vAlign w:val="center"/>
          </w:tcPr>
          <w:p w14:paraId="69DF3889">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738" w:type="dxa"/>
            <w:shd w:val="clear" w:color="auto" w:fill="auto"/>
            <w:noWrap w:val="0"/>
            <w:vAlign w:val="center"/>
          </w:tcPr>
          <w:p w14:paraId="2C4C7E46">
            <w:pPr>
              <w:pStyle w:val="43"/>
              <w:bidi w:val="0"/>
              <w:ind w:firstLine="0" w:firstLineChars="0"/>
              <w:rPr>
                <w:rFonts w:hint="eastAsia"/>
                <w:color w:val="auto"/>
                <w:highlight w:val="none"/>
                <w:lang w:val="en-US" w:eastAsia="zh-CN"/>
              </w:rPr>
            </w:pPr>
            <w:r>
              <w:rPr>
                <w:rFonts w:hint="eastAsia"/>
                <w:color w:val="auto"/>
                <w:highlight w:val="none"/>
                <w:lang w:val="en-US" w:eastAsia="zh-CN"/>
              </w:rPr>
              <w:t>0.5</w:t>
            </w:r>
            <w:r>
              <w:rPr>
                <w:rFonts w:hint="default"/>
                <w:color w:val="auto"/>
                <w:highlight w:val="none"/>
                <w:lang w:val="en-US" w:eastAsia="zh-CN"/>
              </w:rPr>
              <w:t>t/a</w:t>
            </w:r>
          </w:p>
        </w:tc>
        <w:tc>
          <w:tcPr>
            <w:tcW w:w="1179" w:type="dxa"/>
            <w:shd w:val="clear" w:color="auto" w:fill="auto"/>
            <w:noWrap w:val="0"/>
            <w:vAlign w:val="center"/>
          </w:tcPr>
          <w:p w14:paraId="478F3284">
            <w:pPr>
              <w:pStyle w:val="43"/>
              <w:bidi w:val="0"/>
              <w:ind w:firstLine="0" w:firstLineChars="0"/>
              <w:rPr>
                <w:rFonts w:hint="eastAsia"/>
                <w:color w:val="auto"/>
                <w:highlight w:val="none"/>
                <w:lang w:val="en-US" w:eastAsia="zh-CN"/>
              </w:rPr>
            </w:pPr>
            <w:r>
              <w:rPr>
                <w:rFonts w:hint="eastAsia"/>
                <w:color w:val="auto"/>
                <w:highlight w:val="none"/>
                <w:lang w:val="en-US" w:eastAsia="zh-CN"/>
              </w:rPr>
              <w:t>+0.5</w:t>
            </w:r>
            <w:r>
              <w:rPr>
                <w:rFonts w:hint="default"/>
                <w:color w:val="auto"/>
                <w:highlight w:val="none"/>
                <w:lang w:val="en-US" w:eastAsia="zh-CN"/>
              </w:rPr>
              <w:t>t/a</w:t>
            </w:r>
          </w:p>
        </w:tc>
      </w:tr>
      <w:tr w14:paraId="6BF0B1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142" w:type="dxa"/>
            <w:vMerge w:val="restart"/>
            <w:noWrap w:val="0"/>
            <w:vAlign w:val="center"/>
          </w:tcPr>
          <w:p w14:paraId="74A0AA46">
            <w:pPr>
              <w:pStyle w:val="43"/>
              <w:bidi w:val="0"/>
              <w:rPr>
                <w:rFonts w:hint="eastAsia"/>
                <w:color w:val="auto"/>
                <w:highlight w:val="none"/>
              </w:rPr>
            </w:pPr>
            <w:r>
              <w:rPr>
                <w:rFonts w:hint="eastAsia"/>
                <w:color w:val="auto"/>
                <w:highlight w:val="none"/>
                <w:lang w:val="en-US" w:eastAsia="zh-CN"/>
              </w:rPr>
              <w:t>危险废物</w:t>
            </w:r>
          </w:p>
        </w:tc>
        <w:tc>
          <w:tcPr>
            <w:tcW w:w="1708" w:type="dxa"/>
            <w:noWrap w:val="0"/>
            <w:vAlign w:val="center"/>
          </w:tcPr>
          <w:p w14:paraId="11FD9785">
            <w:pPr>
              <w:pStyle w:val="43"/>
              <w:bidi w:val="0"/>
              <w:ind w:firstLine="0" w:firstLineChars="0"/>
              <w:rPr>
                <w:rFonts w:hint="default"/>
                <w:color w:val="auto"/>
                <w:highlight w:val="none"/>
                <w:lang w:val="en-US" w:eastAsia="zh-CN"/>
              </w:rPr>
            </w:pPr>
            <w:r>
              <w:rPr>
                <w:rFonts w:hint="eastAsia"/>
                <w:color w:val="auto"/>
                <w:highlight w:val="none"/>
                <w:lang w:val="en-US" w:eastAsia="zh-CN"/>
              </w:rPr>
              <w:t>实验室危险废物</w:t>
            </w:r>
          </w:p>
        </w:tc>
        <w:tc>
          <w:tcPr>
            <w:tcW w:w="1602" w:type="dxa"/>
            <w:noWrap w:val="0"/>
            <w:vAlign w:val="center"/>
          </w:tcPr>
          <w:p w14:paraId="26339E67">
            <w:pPr>
              <w:pStyle w:val="43"/>
              <w:bidi w:val="0"/>
              <w:ind w:firstLine="0" w:firstLineChars="0"/>
              <w:rPr>
                <w:rFonts w:hint="default"/>
                <w:color w:val="auto"/>
                <w:highlight w:val="none"/>
                <w:lang w:val="en-US" w:eastAsia="zh-CN"/>
              </w:rPr>
            </w:pPr>
            <w:r>
              <w:rPr>
                <w:rFonts w:hint="eastAsia"/>
                <w:color w:val="auto"/>
                <w:highlight w:val="none"/>
                <w:lang w:val="en-US" w:eastAsia="zh-CN"/>
              </w:rPr>
              <w:t>/</w:t>
            </w:r>
          </w:p>
        </w:tc>
        <w:tc>
          <w:tcPr>
            <w:tcW w:w="1367" w:type="dxa"/>
            <w:noWrap w:val="0"/>
            <w:vAlign w:val="center"/>
          </w:tcPr>
          <w:p w14:paraId="7399614E">
            <w:pPr>
              <w:pStyle w:val="43"/>
              <w:bidi w:val="0"/>
              <w:ind w:firstLine="0" w:firstLineChars="0"/>
              <w:rPr>
                <w:rFonts w:hint="default"/>
                <w:color w:val="auto"/>
                <w:highlight w:val="none"/>
                <w:lang w:val="en-US" w:eastAsia="zh-CN"/>
              </w:rPr>
            </w:pPr>
            <w:r>
              <w:rPr>
                <w:rFonts w:hint="eastAsia"/>
                <w:color w:val="auto"/>
                <w:highlight w:val="none"/>
                <w:lang w:val="en-US" w:eastAsia="zh-CN"/>
              </w:rPr>
              <w:t>/</w:t>
            </w:r>
          </w:p>
        </w:tc>
        <w:tc>
          <w:tcPr>
            <w:tcW w:w="1584" w:type="dxa"/>
            <w:noWrap w:val="0"/>
            <w:vAlign w:val="center"/>
          </w:tcPr>
          <w:p w14:paraId="49FD832B">
            <w:pPr>
              <w:pStyle w:val="43"/>
              <w:bidi w:val="0"/>
              <w:ind w:firstLine="0" w:firstLineChars="0"/>
              <w:rPr>
                <w:rFonts w:hint="default"/>
                <w:color w:val="auto"/>
                <w:highlight w:val="none"/>
                <w:lang w:val="en-US" w:eastAsia="zh-CN"/>
              </w:rPr>
            </w:pPr>
            <w:r>
              <w:rPr>
                <w:rFonts w:hint="eastAsia"/>
                <w:color w:val="auto"/>
                <w:highlight w:val="none"/>
                <w:lang w:val="en-US" w:eastAsia="zh-CN"/>
              </w:rPr>
              <w:t>/</w:t>
            </w:r>
          </w:p>
        </w:tc>
        <w:tc>
          <w:tcPr>
            <w:tcW w:w="1640" w:type="dxa"/>
            <w:noWrap w:val="0"/>
            <w:vAlign w:val="center"/>
          </w:tcPr>
          <w:p w14:paraId="098FD343">
            <w:pPr>
              <w:pStyle w:val="43"/>
              <w:bidi w:val="0"/>
              <w:ind w:firstLine="0" w:firstLineChars="0"/>
              <w:rPr>
                <w:rFonts w:hint="default"/>
                <w:color w:val="auto"/>
                <w:highlight w:val="none"/>
                <w:lang w:val="en-US" w:eastAsia="zh-CN"/>
              </w:rPr>
            </w:pPr>
            <w:r>
              <w:rPr>
                <w:rFonts w:hint="eastAsia"/>
                <w:color w:val="auto"/>
                <w:highlight w:val="none"/>
                <w:lang w:val="en-US" w:eastAsia="zh-CN"/>
              </w:rPr>
              <w:t>0.151t/a</w:t>
            </w:r>
          </w:p>
        </w:tc>
        <w:tc>
          <w:tcPr>
            <w:tcW w:w="1687" w:type="dxa"/>
            <w:noWrap w:val="0"/>
            <w:vAlign w:val="center"/>
          </w:tcPr>
          <w:p w14:paraId="64F08392">
            <w:pPr>
              <w:pStyle w:val="43"/>
              <w:bidi w:val="0"/>
              <w:ind w:firstLine="0" w:firstLineChars="0"/>
              <w:rPr>
                <w:rFonts w:hint="default"/>
                <w:color w:val="auto"/>
                <w:highlight w:val="none"/>
                <w:lang w:val="en-US" w:eastAsia="zh-CN"/>
              </w:rPr>
            </w:pPr>
            <w:r>
              <w:rPr>
                <w:rFonts w:hint="eastAsia"/>
                <w:color w:val="auto"/>
                <w:highlight w:val="none"/>
                <w:lang w:val="en-US" w:eastAsia="zh-CN"/>
              </w:rPr>
              <w:t>/</w:t>
            </w:r>
          </w:p>
        </w:tc>
        <w:tc>
          <w:tcPr>
            <w:tcW w:w="1738" w:type="dxa"/>
            <w:shd w:val="clear" w:color="auto" w:fill="auto"/>
            <w:noWrap w:val="0"/>
            <w:vAlign w:val="center"/>
          </w:tcPr>
          <w:p w14:paraId="652BCC75">
            <w:pPr>
              <w:pStyle w:val="43"/>
              <w:bidi w:val="0"/>
              <w:ind w:firstLine="0" w:firstLineChars="0"/>
              <w:rPr>
                <w:rFonts w:hint="default"/>
                <w:color w:val="auto"/>
                <w:highlight w:val="none"/>
                <w:lang w:val="en-US" w:eastAsia="zh-CN"/>
              </w:rPr>
            </w:pPr>
            <w:r>
              <w:rPr>
                <w:rFonts w:hint="eastAsia"/>
                <w:color w:val="auto"/>
                <w:highlight w:val="none"/>
                <w:lang w:val="en-US" w:eastAsia="zh-CN"/>
              </w:rPr>
              <w:t>0.151t/a</w:t>
            </w:r>
          </w:p>
        </w:tc>
        <w:tc>
          <w:tcPr>
            <w:tcW w:w="1179" w:type="dxa"/>
            <w:shd w:val="clear" w:color="auto" w:fill="auto"/>
            <w:noWrap w:val="0"/>
            <w:vAlign w:val="center"/>
          </w:tcPr>
          <w:p w14:paraId="49BE4358">
            <w:pPr>
              <w:pStyle w:val="43"/>
              <w:bidi w:val="0"/>
              <w:ind w:firstLine="0" w:firstLineChars="0"/>
              <w:rPr>
                <w:rFonts w:hint="default"/>
                <w:color w:val="auto"/>
                <w:highlight w:val="none"/>
                <w:lang w:val="en-US" w:eastAsia="zh-CN"/>
              </w:rPr>
            </w:pPr>
            <w:r>
              <w:rPr>
                <w:rFonts w:hint="eastAsia"/>
                <w:color w:val="auto"/>
                <w:highlight w:val="none"/>
                <w:lang w:val="en-US" w:eastAsia="zh-CN"/>
              </w:rPr>
              <w:t>+0.151t/a</w:t>
            </w:r>
          </w:p>
        </w:tc>
      </w:tr>
      <w:tr w14:paraId="1557FF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142" w:type="dxa"/>
            <w:vMerge w:val="continue"/>
            <w:noWrap w:val="0"/>
            <w:vAlign w:val="center"/>
          </w:tcPr>
          <w:p w14:paraId="7678FBBB">
            <w:pPr>
              <w:pStyle w:val="43"/>
              <w:bidi w:val="0"/>
              <w:ind w:firstLine="0" w:firstLineChars="0"/>
              <w:rPr>
                <w:color w:val="auto"/>
                <w:highlight w:val="none"/>
              </w:rPr>
            </w:pPr>
          </w:p>
        </w:tc>
        <w:tc>
          <w:tcPr>
            <w:tcW w:w="1708" w:type="dxa"/>
            <w:noWrap w:val="0"/>
            <w:vAlign w:val="center"/>
          </w:tcPr>
          <w:p w14:paraId="77C34354">
            <w:pPr>
              <w:pStyle w:val="43"/>
              <w:bidi w:val="0"/>
              <w:ind w:firstLine="0" w:firstLineChars="0"/>
              <w:rPr>
                <w:rFonts w:hint="default"/>
                <w:color w:val="auto"/>
                <w:highlight w:val="none"/>
                <w:lang w:val="en-US" w:eastAsia="zh-CN"/>
              </w:rPr>
            </w:pPr>
            <w:r>
              <w:rPr>
                <w:rFonts w:hint="eastAsia" w:cs="宋体"/>
                <w:color w:val="auto"/>
                <w:kern w:val="2"/>
                <w:sz w:val="21"/>
                <w:szCs w:val="21"/>
                <w:highlight w:val="none"/>
                <w:lang w:val="en-US" w:eastAsia="zh-CN" w:bidi="ar"/>
              </w:rPr>
              <w:t>实验室废气治理</w:t>
            </w:r>
            <w:r>
              <w:rPr>
                <w:rFonts w:hint="eastAsia"/>
                <w:color w:val="auto"/>
                <w:highlight w:val="none"/>
                <w:lang w:val="en-US" w:eastAsia="zh-CN"/>
              </w:rPr>
              <w:t>废活性炭</w:t>
            </w:r>
          </w:p>
        </w:tc>
        <w:tc>
          <w:tcPr>
            <w:tcW w:w="1602" w:type="dxa"/>
            <w:noWrap w:val="0"/>
            <w:vAlign w:val="center"/>
          </w:tcPr>
          <w:p w14:paraId="06DD704C">
            <w:pPr>
              <w:pStyle w:val="43"/>
              <w:bidi w:val="0"/>
              <w:ind w:firstLine="0" w:firstLineChars="0"/>
              <w:rPr>
                <w:rFonts w:hint="default"/>
                <w:color w:val="auto"/>
                <w:highlight w:val="none"/>
                <w:lang w:val="en-US" w:eastAsia="zh-CN"/>
              </w:rPr>
            </w:pPr>
            <w:r>
              <w:rPr>
                <w:rFonts w:hint="eastAsia"/>
                <w:color w:val="auto"/>
                <w:highlight w:val="none"/>
                <w:lang w:val="en-US" w:eastAsia="zh-CN"/>
              </w:rPr>
              <w:t>/</w:t>
            </w:r>
          </w:p>
        </w:tc>
        <w:tc>
          <w:tcPr>
            <w:tcW w:w="1367" w:type="dxa"/>
            <w:noWrap w:val="0"/>
            <w:vAlign w:val="center"/>
          </w:tcPr>
          <w:p w14:paraId="44A8C9E2">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584" w:type="dxa"/>
            <w:noWrap w:val="0"/>
            <w:vAlign w:val="center"/>
          </w:tcPr>
          <w:p w14:paraId="07877482">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640" w:type="dxa"/>
            <w:noWrap w:val="0"/>
            <w:vAlign w:val="center"/>
          </w:tcPr>
          <w:p w14:paraId="52B29651">
            <w:pPr>
              <w:pStyle w:val="43"/>
              <w:bidi w:val="0"/>
              <w:ind w:firstLine="0" w:firstLineChars="0"/>
              <w:rPr>
                <w:rFonts w:hint="default"/>
                <w:color w:val="auto"/>
                <w:highlight w:val="none"/>
                <w:lang w:val="en-US" w:eastAsia="zh-CN"/>
              </w:rPr>
            </w:pPr>
            <w:r>
              <w:rPr>
                <w:rFonts w:hint="eastAsia"/>
                <w:color w:val="auto"/>
                <w:highlight w:val="none"/>
                <w:lang w:val="en-US" w:eastAsia="zh-CN"/>
              </w:rPr>
              <w:t>0.04t/a</w:t>
            </w:r>
          </w:p>
        </w:tc>
        <w:tc>
          <w:tcPr>
            <w:tcW w:w="1687" w:type="dxa"/>
            <w:noWrap w:val="0"/>
            <w:vAlign w:val="center"/>
          </w:tcPr>
          <w:p w14:paraId="51D73E68">
            <w:pPr>
              <w:pStyle w:val="43"/>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1738" w:type="dxa"/>
            <w:shd w:val="clear" w:color="auto" w:fill="auto"/>
            <w:noWrap w:val="0"/>
            <w:vAlign w:val="center"/>
          </w:tcPr>
          <w:p w14:paraId="4F8ECCFB">
            <w:pPr>
              <w:pStyle w:val="43"/>
              <w:bidi w:val="0"/>
              <w:ind w:firstLine="0" w:firstLineChars="0"/>
              <w:rPr>
                <w:rFonts w:hint="default"/>
                <w:color w:val="auto"/>
                <w:highlight w:val="none"/>
                <w:lang w:val="en-US" w:eastAsia="zh-CN"/>
              </w:rPr>
            </w:pPr>
            <w:r>
              <w:rPr>
                <w:rFonts w:hint="eastAsia"/>
                <w:color w:val="auto"/>
                <w:highlight w:val="none"/>
                <w:lang w:val="en-US" w:eastAsia="zh-CN"/>
              </w:rPr>
              <w:t>0.04t/a</w:t>
            </w:r>
          </w:p>
        </w:tc>
        <w:tc>
          <w:tcPr>
            <w:tcW w:w="1179" w:type="dxa"/>
            <w:shd w:val="clear" w:color="auto" w:fill="auto"/>
            <w:noWrap w:val="0"/>
            <w:vAlign w:val="center"/>
          </w:tcPr>
          <w:p w14:paraId="2C6363A8">
            <w:pPr>
              <w:pStyle w:val="43"/>
              <w:bidi w:val="0"/>
              <w:ind w:firstLine="0" w:firstLineChars="0"/>
              <w:rPr>
                <w:rFonts w:hint="default"/>
                <w:color w:val="auto"/>
                <w:highlight w:val="none"/>
                <w:lang w:val="en-US" w:eastAsia="zh-CN"/>
              </w:rPr>
            </w:pPr>
            <w:r>
              <w:rPr>
                <w:rFonts w:hint="eastAsia"/>
                <w:color w:val="auto"/>
                <w:highlight w:val="none"/>
                <w:lang w:val="en-US" w:eastAsia="zh-CN"/>
              </w:rPr>
              <w:t>+0.04t/a</w:t>
            </w:r>
          </w:p>
        </w:tc>
      </w:tr>
    </w:tbl>
    <w:p w14:paraId="50DCCAA7">
      <w:pPr>
        <w:pStyle w:val="43"/>
        <w:bidi w:val="0"/>
        <w:jc w:val="left"/>
        <w:rPr>
          <w:rFonts w:hint="eastAsia"/>
          <w:color w:val="auto"/>
          <w:highlight w:val="none"/>
          <w:lang w:eastAsia="zh-CN"/>
        </w:rPr>
      </w:pPr>
      <w:r>
        <w:rPr>
          <w:rFonts w:hint="eastAsia"/>
          <w:color w:val="auto"/>
          <w:highlight w:val="none"/>
          <w:lang w:eastAsia="zh-CN"/>
        </w:rPr>
        <w:t>注：</w:t>
      </w:r>
      <w:r>
        <w:rPr>
          <w:color w:val="auto"/>
          <w:highlight w:val="none"/>
          <w:lang w:val="en-US" w:eastAsia="zh-CN"/>
        </w:rPr>
        <w:fldChar w:fldCharType="begin"/>
      </w:r>
      <w:r>
        <w:rPr>
          <w:color w:val="auto"/>
          <w:highlight w:val="none"/>
          <w:lang w:val="en-US" w:eastAsia="zh-CN"/>
        </w:rPr>
        <w:instrText xml:space="preserve"> = 6 \* GB3 \* MERGEFORMAT </w:instrText>
      </w:r>
      <w:r>
        <w:rPr>
          <w:color w:val="auto"/>
          <w:highlight w:val="none"/>
          <w:lang w:val="en-US" w:eastAsia="zh-CN"/>
        </w:rPr>
        <w:fldChar w:fldCharType="separate"/>
      </w:r>
      <w:r>
        <w:rPr>
          <w:rFonts w:hint="eastAsia"/>
          <w:color w:val="auto"/>
          <w:highlight w:val="none"/>
          <w:lang w:val="en-US" w:eastAsia="zh-CN"/>
        </w:rPr>
        <w:t>⑥</w:t>
      </w:r>
      <w:r>
        <w:rPr>
          <w:color w:val="auto"/>
          <w:highlight w:val="none"/>
          <w:lang w:val="en-US" w:eastAsia="zh-CN"/>
        </w:rPr>
        <w:fldChar w:fldCharType="end"/>
      </w:r>
      <w:r>
        <w:rPr>
          <w:color w:val="auto"/>
          <w:highlight w:val="none"/>
          <w:lang w:val="en-US" w:eastAsia="zh-CN"/>
        </w:rPr>
        <w:t>=</w:t>
      </w:r>
      <w:r>
        <w:rPr>
          <w:color w:val="auto"/>
          <w:highlight w:val="none"/>
          <w:lang w:val="en-US" w:eastAsia="zh-CN"/>
        </w:rPr>
        <w:fldChar w:fldCharType="begin"/>
      </w:r>
      <w:r>
        <w:rPr>
          <w:color w:val="auto"/>
          <w:highlight w:val="none"/>
          <w:lang w:val="en-US" w:eastAsia="zh-CN"/>
        </w:rPr>
        <w:instrText xml:space="preserve"> = 1 \* GB3 \* MERGEFORMAT </w:instrText>
      </w:r>
      <w:r>
        <w:rPr>
          <w:color w:val="auto"/>
          <w:highlight w:val="none"/>
          <w:lang w:val="en-US" w:eastAsia="zh-CN"/>
        </w:rPr>
        <w:fldChar w:fldCharType="separate"/>
      </w:r>
      <w:r>
        <w:rPr>
          <w:rFonts w:hint="eastAsia"/>
          <w:color w:val="auto"/>
          <w:highlight w:val="none"/>
          <w:lang w:val="en-US" w:eastAsia="zh-CN"/>
        </w:rPr>
        <w:t>①</w:t>
      </w:r>
      <w:r>
        <w:rPr>
          <w:color w:val="auto"/>
          <w:highlight w:val="none"/>
          <w:lang w:val="en-US" w:eastAsia="zh-CN"/>
        </w:rPr>
        <w:fldChar w:fldCharType="end"/>
      </w:r>
      <w:r>
        <w:rPr>
          <w:color w:val="auto"/>
          <w:highlight w:val="none"/>
          <w:lang w:val="en-US" w:eastAsia="zh-CN"/>
        </w:rPr>
        <w:t>+</w:t>
      </w:r>
      <w:r>
        <w:rPr>
          <w:color w:val="auto"/>
          <w:highlight w:val="none"/>
          <w:lang w:val="en-US" w:eastAsia="zh-CN"/>
        </w:rPr>
        <w:fldChar w:fldCharType="begin"/>
      </w:r>
      <w:r>
        <w:rPr>
          <w:color w:val="auto"/>
          <w:highlight w:val="none"/>
          <w:lang w:val="en-US" w:eastAsia="zh-CN"/>
        </w:rPr>
        <w:instrText xml:space="preserve"> = 3 \* GB3 \* MERGEFORMAT </w:instrText>
      </w:r>
      <w:r>
        <w:rPr>
          <w:color w:val="auto"/>
          <w:highlight w:val="none"/>
          <w:lang w:val="en-US" w:eastAsia="zh-CN"/>
        </w:rPr>
        <w:fldChar w:fldCharType="separate"/>
      </w:r>
      <w:r>
        <w:rPr>
          <w:rFonts w:hint="eastAsia"/>
          <w:color w:val="auto"/>
          <w:highlight w:val="none"/>
          <w:lang w:val="en-US" w:eastAsia="zh-CN"/>
        </w:rPr>
        <w:t>③</w:t>
      </w:r>
      <w:r>
        <w:rPr>
          <w:color w:val="auto"/>
          <w:highlight w:val="none"/>
          <w:lang w:val="en-US" w:eastAsia="zh-CN"/>
        </w:rPr>
        <w:fldChar w:fldCharType="end"/>
      </w:r>
      <w:r>
        <w:rPr>
          <w:color w:val="auto"/>
          <w:highlight w:val="none"/>
          <w:lang w:val="en-US" w:eastAsia="zh-CN"/>
        </w:rPr>
        <w:t>+</w:t>
      </w:r>
      <w:r>
        <w:rPr>
          <w:color w:val="auto"/>
          <w:highlight w:val="none"/>
          <w:lang w:val="en-US" w:eastAsia="zh-CN"/>
        </w:rPr>
        <w:fldChar w:fldCharType="begin"/>
      </w:r>
      <w:r>
        <w:rPr>
          <w:color w:val="auto"/>
          <w:highlight w:val="none"/>
          <w:lang w:val="en-US" w:eastAsia="zh-CN"/>
        </w:rPr>
        <w:instrText xml:space="preserve"> = 4 \* GB3 \* MERGEFORMAT </w:instrText>
      </w:r>
      <w:r>
        <w:rPr>
          <w:color w:val="auto"/>
          <w:highlight w:val="none"/>
          <w:lang w:val="en-US" w:eastAsia="zh-CN"/>
        </w:rPr>
        <w:fldChar w:fldCharType="separate"/>
      </w:r>
      <w:r>
        <w:rPr>
          <w:rFonts w:hint="eastAsia"/>
          <w:color w:val="auto"/>
          <w:highlight w:val="none"/>
          <w:lang w:val="en-US" w:eastAsia="zh-CN"/>
        </w:rPr>
        <w:t>④</w:t>
      </w:r>
      <w:r>
        <w:rPr>
          <w:color w:val="auto"/>
          <w:highlight w:val="none"/>
          <w:lang w:val="en-US" w:eastAsia="zh-CN"/>
        </w:rPr>
        <w:fldChar w:fldCharType="end"/>
      </w:r>
      <w:r>
        <w:rPr>
          <w:color w:val="auto"/>
          <w:highlight w:val="none"/>
          <w:lang w:val="en-US" w:eastAsia="zh-CN"/>
        </w:rPr>
        <w:t>-</w:t>
      </w:r>
      <w:r>
        <w:rPr>
          <w:color w:val="auto"/>
          <w:highlight w:val="none"/>
          <w:lang w:val="en-US" w:eastAsia="zh-CN"/>
        </w:rPr>
        <w:fldChar w:fldCharType="begin"/>
      </w:r>
      <w:r>
        <w:rPr>
          <w:color w:val="auto"/>
          <w:highlight w:val="none"/>
          <w:lang w:val="en-US" w:eastAsia="zh-CN"/>
        </w:rPr>
        <w:instrText xml:space="preserve"> = 5 \* GB3 \* MERGEFORMAT </w:instrText>
      </w:r>
      <w:r>
        <w:rPr>
          <w:color w:val="auto"/>
          <w:highlight w:val="none"/>
          <w:lang w:val="en-US" w:eastAsia="zh-CN"/>
        </w:rPr>
        <w:fldChar w:fldCharType="separate"/>
      </w:r>
      <w:r>
        <w:rPr>
          <w:rFonts w:hint="eastAsia"/>
          <w:color w:val="auto"/>
          <w:highlight w:val="none"/>
          <w:lang w:val="en-US" w:eastAsia="zh-CN"/>
        </w:rPr>
        <w:t>⑤</w:t>
      </w:r>
      <w:r>
        <w:rPr>
          <w:color w:val="auto"/>
          <w:highlight w:val="none"/>
          <w:lang w:val="en-US" w:eastAsia="zh-CN"/>
        </w:rPr>
        <w:fldChar w:fldCharType="end"/>
      </w:r>
      <w:r>
        <w:rPr>
          <w:color w:val="auto"/>
          <w:highlight w:val="none"/>
          <w:lang w:val="en-US" w:eastAsia="zh-CN"/>
        </w:rPr>
        <w:t>；</w:t>
      </w:r>
      <w:r>
        <w:rPr>
          <w:color w:val="auto"/>
          <w:highlight w:val="none"/>
          <w:lang w:val="en-US" w:eastAsia="zh-CN"/>
        </w:rPr>
        <w:fldChar w:fldCharType="begin"/>
      </w:r>
      <w:r>
        <w:rPr>
          <w:color w:val="auto"/>
          <w:highlight w:val="none"/>
          <w:lang w:val="en-US" w:eastAsia="zh-CN"/>
        </w:rPr>
        <w:instrText xml:space="preserve"> = 7 \* GB3 \* MERGEFORMAT </w:instrText>
      </w:r>
      <w:r>
        <w:rPr>
          <w:color w:val="auto"/>
          <w:highlight w:val="none"/>
          <w:lang w:val="en-US" w:eastAsia="zh-CN"/>
        </w:rPr>
        <w:fldChar w:fldCharType="separate"/>
      </w:r>
      <w:r>
        <w:rPr>
          <w:rFonts w:hint="eastAsia"/>
          <w:color w:val="auto"/>
          <w:highlight w:val="none"/>
          <w:lang w:val="en-US" w:eastAsia="zh-CN"/>
        </w:rPr>
        <w:t>⑦</w:t>
      </w:r>
      <w:r>
        <w:rPr>
          <w:color w:val="auto"/>
          <w:highlight w:val="none"/>
          <w:lang w:val="en-US" w:eastAsia="zh-CN"/>
        </w:rPr>
        <w:fldChar w:fldCharType="end"/>
      </w:r>
      <w:r>
        <w:rPr>
          <w:color w:val="auto"/>
          <w:highlight w:val="none"/>
          <w:lang w:val="en-US" w:eastAsia="zh-CN"/>
        </w:rPr>
        <w:t>=</w:t>
      </w:r>
      <w:r>
        <w:rPr>
          <w:color w:val="auto"/>
          <w:highlight w:val="none"/>
          <w:lang w:val="en-US" w:eastAsia="zh-CN"/>
        </w:rPr>
        <w:fldChar w:fldCharType="begin"/>
      </w:r>
      <w:r>
        <w:rPr>
          <w:color w:val="auto"/>
          <w:highlight w:val="none"/>
          <w:lang w:val="en-US" w:eastAsia="zh-CN"/>
        </w:rPr>
        <w:instrText xml:space="preserve"> = 6 \* GB3 \* MERGEFORMAT </w:instrText>
      </w:r>
      <w:r>
        <w:rPr>
          <w:color w:val="auto"/>
          <w:highlight w:val="none"/>
          <w:lang w:val="en-US" w:eastAsia="zh-CN"/>
        </w:rPr>
        <w:fldChar w:fldCharType="separate"/>
      </w:r>
      <w:r>
        <w:rPr>
          <w:rFonts w:hint="eastAsia"/>
          <w:color w:val="auto"/>
          <w:highlight w:val="none"/>
          <w:lang w:val="en-US" w:eastAsia="zh-CN"/>
        </w:rPr>
        <w:t>⑥</w:t>
      </w:r>
      <w:r>
        <w:rPr>
          <w:color w:val="auto"/>
          <w:highlight w:val="none"/>
          <w:lang w:val="en-US" w:eastAsia="zh-CN"/>
        </w:rPr>
        <w:fldChar w:fldCharType="end"/>
      </w:r>
      <w:r>
        <w:rPr>
          <w:color w:val="auto"/>
          <w:highlight w:val="none"/>
          <w:lang w:val="en-US" w:eastAsia="zh-CN"/>
        </w:rPr>
        <w:t>-</w:t>
      </w:r>
      <w:r>
        <w:rPr>
          <w:color w:val="auto"/>
          <w:highlight w:val="none"/>
          <w:lang w:val="en-US" w:eastAsia="zh-CN"/>
        </w:rPr>
        <w:fldChar w:fldCharType="begin"/>
      </w:r>
      <w:r>
        <w:rPr>
          <w:color w:val="auto"/>
          <w:highlight w:val="none"/>
          <w:lang w:val="en-US" w:eastAsia="zh-CN"/>
        </w:rPr>
        <w:instrText xml:space="preserve"> = 1 \* GB3 \* MERGEFORMAT </w:instrText>
      </w:r>
      <w:r>
        <w:rPr>
          <w:color w:val="auto"/>
          <w:highlight w:val="none"/>
          <w:lang w:val="en-US" w:eastAsia="zh-CN"/>
        </w:rPr>
        <w:fldChar w:fldCharType="separate"/>
      </w:r>
      <w:r>
        <w:rPr>
          <w:rFonts w:hint="eastAsia"/>
          <w:color w:val="auto"/>
          <w:highlight w:val="none"/>
          <w:lang w:val="en-US" w:eastAsia="zh-CN"/>
        </w:rPr>
        <w:t>①</w:t>
      </w:r>
      <w:r>
        <w:rPr>
          <w:color w:val="auto"/>
          <w:highlight w:val="none"/>
          <w:lang w:val="en-US" w:eastAsia="zh-CN"/>
        </w:rPr>
        <w:fldChar w:fldCharType="end"/>
      </w:r>
    </w:p>
    <w:p w14:paraId="1B7CA134">
      <w:pPr>
        <w:pStyle w:val="43"/>
        <w:jc w:val="both"/>
        <w:rPr>
          <w:rFonts w:hint="eastAsia"/>
          <w:color w:val="auto"/>
          <w:highlight w:val="none"/>
          <w:lang w:eastAsia="zh-CN"/>
        </w:rPr>
      </w:pPr>
    </w:p>
    <w:sectPr>
      <w:footerReference r:id="rId8" w:type="default"/>
      <w:pgSz w:w="16838" w:h="11905" w:orient="landscape"/>
      <w:pgMar w:top="720" w:right="720" w:bottom="720" w:left="720" w:header="283" w:footer="113" w:gutter="0"/>
      <w:pgBorders>
        <w:top w:val="none" w:sz="0" w:space="0"/>
        <w:left w:val="none" w:sz="0" w:space="0"/>
        <w:bottom w:val="none" w:sz="0" w:space="0"/>
        <w:right w:val="none" w:sz="0" w:space="0"/>
      </w:pgBorders>
      <w:pgNumType w:fmt="decimal"/>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49191C5-235B-4C58-BBB6-D94A03CFE3E6}"/>
  </w:font>
  <w:font w:name="黑体">
    <w:panose1 w:val="02010609060101010101"/>
    <w:charset w:val="86"/>
    <w:family w:val="auto"/>
    <w:pitch w:val="default"/>
    <w:sig w:usb0="800002BF" w:usb1="38CF7CFA" w:usb2="00000016" w:usb3="00000000" w:csb0="00040001" w:csb1="00000000"/>
    <w:embedRegular r:id="rId2" w:fontKey="{17F6A42C-7203-417A-8E88-6B41EF9F92E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embedRegular r:id="rId3" w:fontKey="{2EE845EB-9CEE-43C4-A224-52DCCBAA6DDF}"/>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4" w:fontKey="{083B267C-29DF-4949-BE78-E3B2A3754465}"/>
  </w:font>
  <w:font w:name="方正仿宋_GB2312">
    <w:panose1 w:val="02000000000000000000"/>
    <w:charset w:val="86"/>
    <w:family w:val="auto"/>
    <w:pitch w:val="default"/>
    <w:sig w:usb0="A00002BF" w:usb1="184F6CFA" w:usb2="00000012" w:usb3="00000000" w:csb0="00040001" w:csb1="00000000"/>
    <w:embedRegular r:id="rId5" w:fontKey="{B298FC17-F20A-4F56-8EC4-C2E139634FA2}"/>
  </w:font>
  <w:font w:name="方正小标宋_GBK">
    <w:panose1 w:val="02000000000000000000"/>
    <w:charset w:val="86"/>
    <w:family w:val="auto"/>
    <w:pitch w:val="default"/>
    <w:sig w:usb0="A00002BF" w:usb1="38CF7CFA" w:usb2="00082016" w:usb3="00000000" w:csb0="00040001" w:csb1="00000000"/>
    <w:embedRegular r:id="rId6" w:fontKey="{3645FF2F-75A9-4B4A-832E-F798EFF06ADC}"/>
  </w:font>
  <w:font w:name="Helvetica">
    <w:altName w:val="Arial"/>
    <w:panose1 w:val="020B0604020202020204"/>
    <w:charset w:val="00"/>
    <w:family w:val="auto"/>
    <w:pitch w:val="default"/>
    <w:sig w:usb0="00000000" w:usb1="00000000" w:usb2="00000000" w:usb3="00000000" w:csb0="00000000" w:csb1="00000000"/>
    <w:embedRegular r:id="rId7" w:fontKey="{EDE5B869-C056-467D-8576-BDF475CDE089}"/>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7573E">
    <w:pPr>
      <w:tabs>
        <w:tab w:val="center" w:pos="4153"/>
        <w:tab w:val="right"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91FAD">
    <w:pPr>
      <w:tabs>
        <w:tab w:val="center" w:pos="4153"/>
        <w:tab w:val="right" w:pos="8306"/>
      </w:tabs>
    </w:pPr>
    <w:r>
      <w:rPr>
        <w:sz w:val="2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72A025">
                          <w:pPr>
                            <w:tabs>
                              <w:tab w:val="center" w:pos="4153"/>
                              <w:tab w:val="right" w:pos="8306"/>
                            </w:tabs>
                          </w:pPr>
                          <w:r>
                            <w:t>—</w:t>
                          </w:r>
                          <w:r>
                            <w:fldChar w:fldCharType="begin"/>
                          </w:r>
                          <w:r>
                            <w:instrText xml:space="preserve"> PAGE  \* MERGEFORMAT </w:instrText>
                          </w:r>
                          <w:r>
                            <w:fldChar w:fldCharType="separate"/>
                          </w:r>
                          <w:r>
                            <w:t>2</w:t>
                          </w:r>
                          <w:r>
                            <w:fldChar w:fldCharType="end"/>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272A025">
                    <w:pPr>
                      <w:tabs>
                        <w:tab w:val="center" w:pos="4153"/>
                        <w:tab w:val="right" w:pos="8306"/>
                      </w:tabs>
                    </w:pPr>
                    <w:r>
                      <w:t>—</w:t>
                    </w:r>
                    <w:r>
                      <w:fldChar w:fldCharType="begin"/>
                    </w:r>
                    <w:r>
                      <w:instrText xml:space="preserve"> PAGE  \* MERGEFORMAT </w:instrText>
                    </w:r>
                    <w:r>
                      <w:fldChar w:fldCharType="separate"/>
                    </w:r>
                    <w:r>
                      <w:t>2</w:t>
                    </w:r>
                    <w:r>
                      <w:fldChar w:fldCharType="end"/>
                    </w:r>
                    <w: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44325D">
    <w:pPr>
      <w:tabs>
        <w:tab w:val="center" w:pos="4153"/>
        <w:tab w:val="right" w:pos="8306"/>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84BFFB">
    <w:pPr>
      <w:pBdr>
        <w:bottom w:val="none" w:color="auto" w:sz="0" w:space="0"/>
      </w:pBdr>
      <w:tabs>
        <w:tab w:val="center" w:pos="4153"/>
        <w:tab w:val="right"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84367B"/>
    <w:multiLevelType w:val="singleLevel"/>
    <w:tmpl w:val="A384367B"/>
    <w:lvl w:ilvl="0" w:tentative="0">
      <w:start w:val="1"/>
      <w:numFmt w:val="decimal"/>
      <w:suff w:val="space"/>
      <w:lvlText w:val="(%1)"/>
      <w:lvlJc w:val="left"/>
      <w:pPr>
        <w:ind w:left="425" w:hanging="425"/>
      </w:pPr>
      <w:rPr>
        <w:rFonts w:hint="default"/>
      </w:rPr>
    </w:lvl>
  </w:abstractNum>
  <w:abstractNum w:abstractNumId="1">
    <w:nsid w:val="AD4E4903"/>
    <w:multiLevelType w:val="singleLevel"/>
    <w:tmpl w:val="AD4E4903"/>
    <w:lvl w:ilvl="0" w:tentative="0">
      <w:start w:val="1"/>
      <w:numFmt w:val="decimal"/>
      <w:suff w:val="space"/>
      <w:lvlText w:val="(%1)"/>
      <w:lvlJc w:val="left"/>
      <w:pPr>
        <w:ind w:left="425" w:leftChars="0" w:hanging="425" w:firstLineChars="0"/>
      </w:pPr>
      <w:rPr>
        <w:rFonts w:hint="default"/>
      </w:rPr>
    </w:lvl>
  </w:abstractNum>
  <w:abstractNum w:abstractNumId="2">
    <w:nsid w:val="B0B381D5"/>
    <w:multiLevelType w:val="singleLevel"/>
    <w:tmpl w:val="B0B381D5"/>
    <w:lvl w:ilvl="0" w:tentative="0">
      <w:start w:val="1"/>
      <w:numFmt w:val="decimal"/>
      <w:suff w:val="nothing"/>
      <w:lvlText w:val="%1）"/>
      <w:lvlJc w:val="left"/>
    </w:lvl>
  </w:abstractNum>
  <w:abstractNum w:abstractNumId="3">
    <w:nsid w:val="B341F49D"/>
    <w:multiLevelType w:val="multilevel"/>
    <w:tmpl w:val="B341F49D"/>
    <w:lvl w:ilvl="0" w:tentative="0">
      <w:start w:val="1"/>
      <w:numFmt w:val="chineseCounting"/>
      <w:pStyle w:val="2"/>
      <w:suff w:val="nothing"/>
      <w:lvlText w:val="%1、"/>
      <w:lvlJc w:val="left"/>
      <w:pPr>
        <w:tabs>
          <w:tab w:val="left" w:pos="0"/>
        </w:tabs>
        <w:ind w:left="432" w:hanging="432"/>
      </w:pPr>
      <w:rPr>
        <w:rFonts w:hint="eastAsia"/>
      </w:rPr>
    </w:lvl>
    <w:lvl w:ilvl="1" w:tentative="0">
      <w:start w:val="1"/>
      <w:numFmt w:val="decimal"/>
      <w:pStyle w:val="3"/>
      <w:isLgl/>
      <w:suff w:val="space"/>
      <w:lvlText w:val="%1.%2"/>
      <w:lvlJc w:val="left"/>
      <w:pPr>
        <w:ind w:left="620" w:leftChars="0" w:hanging="380" w:firstLineChars="0"/>
      </w:pPr>
      <w:rPr>
        <w:rFonts w:hint="eastAsia"/>
      </w:rPr>
    </w:lvl>
    <w:lvl w:ilvl="2" w:tentative="0">
      <w:start w:val="1"/>
      <w:numFmt w:val="decimal"/>
      <w:pStyle w:val="4"/>
      <w:isLgl/>
      <w:suff w:val="space"/>
      <w:lvlText w:val="%1.%2.%3."/>
      <w:lvlJc w:val="left"/>
      <w:pPr>
        <w:ind w:left="720" w:hanging="720"/>
      </w:pPr>
      <w:rPr>
        <w:rFonts w:hint="eastAsia"/>
      </w:rPr>
    </w:lvl>
    <w:lvl w:ilvl="3" w:tentative="0">
      <w:start w:val="1"/>
      <w:numFmt w:val="decimal"/>
      <w:pStyle w:val="5"/>
      <w:isLgl/>
      <w:lvlText w:val="%1.%2.%3.%4."/>
      <w:lvlJc w:val="left"/>
      <w:pPr>
        <w:ind w:left="864" w:hanging="864"/>
      </w:pPr>
      <w:rPr>
        <w:rFonts w:hint="eastAsia"/>
      </w:rPr>
    </w:lvl>
    <w:lvl w:ilvl="4" w:tentative="0">
      <w:start w:val="1"/>
      <w:numFmt w:val="decimal"/>
      <w:pStyle w:val="6"/>
      <w:isLgl/>
      <w:lvlText w:val="%1.%2.%3.%4.%5."/>
      <w:lvlJc w:val="left"/>
      <w:pPr>
        <w:ind w:left="1008" w:hanging="1008"/>
      </w:pPr>
      <w:rPr>
        <w:rFonts w:hint="eastAsia"/>
      </w:rPr>
    </w:lvl>
    <w:lvl w:ilvl="5" w:tentative="0">
      <w:start w:val="1"/>
      <w:numFmt w:val="decimal"/>
      <w:pStyle w:val="7"/>
      <w:isLgl/>
      <w:lvlText w:val="%1.%2.%3.%4.%5.%6."/>
      <w:lvlJc w:val="left"/>
      <w:pPr>
        <w:ind w:left="1151" w:hanging="1151"/>
      </w:pPr>
      <w:rPr>
        <w:rFonts w:hint="eastAsia"/>
      </w:rPr>
    </w:lvl>
    <w:lvl w:ilvl="6" w:tentative="0">
      <w:start w:val="1"/>
      <w:numFmt w:val="decimal"/>
      <w:pStyle w:val="8"/>
      <w:isLgl/>
      <w:lvlText w:val="%1.%2.%3.%4.%5.%6.%7."/>
      <w:lvlJc w:val="left"/>
      <w:pPr>
        <w:ind w:left="1296" w:hanging="1296"/>
      </w:pPr>
      <w:rPr>
        <w:rFonts w:hint="eastAsia"/>
      </w:rPr>
    </w:lvl>
    <w:lvl w:ilvl="7" w:tentative="0">
      <w:start w:val="1"/>
      <w:numFmt w:val="decimal"/>
      <w:pStyle w:val="9"/>
      <w:isLgl/>
      <w:lvlText w:val="%1.%2.%3.%4.%5.%6.%7.%8."/>
      <w:lvlJc w:val="left"/>
      <w:pPr>
        <w:ind w:left="1440" w:hanging="1440"/>
      </w:pPr>
      <w:rPr>
        <w:rFonts w:hint="eastAsia"/>
      </w:rPr>
    </w:lvl>
    <w:lvl w:ilvl="8" w:tentative="0">
      <w:start w:val="1"/>
      <w:numFmt w:val="decimal"/>
      <w:pStyle w:val="10"/>
      <w:isLgl/>
      <w:lvlText w:val="%1.%2.%3.%4.%5.%6.%7.%8.%9."/>
      <w:lvlJc w:val="left"/>
      <w:pPr>
        <w:ind w:left="1583" w:hanging="1583"/>
      </w:pPr>
      <w:rPr>
        <w:rFonts w:hint="eastAsia"/>
      </w:rPr>
    </w:lvl>
  </w:abstractNum>
  <w:abstractNum w:abstractNumId="4">
    <w:nsid w:val="D85E6B4D"/>
    <w:multiLevelType w:val="singleLevel"/>
    <w:tmpl w:val="D85E6B4D"/>
    <w:lvl w:ilvl="0" w:tentative="0">
      <w:start w:val="1"/>
      <w:numFmt w:val="decimal"/>
      <w:suff w:val="nothing"/>
      <w:lvlText w:val="（%1）"/>
      <w:lvlJc w:val="left"/>
    </w:lvl>
  </w:abstractNum>
  <w:abstractNum w:abstractNumId="5">
    <w:nsid w:val="045C902A"/>
    <w:multiLevelType w:val="singleLevel"/>
    <w:tmpl w:val="045C902A"/>
    <w:lvl w:ilvl="0" w:tentative="0">
      <w:start w:val="1"/>
      <w:numFmt w:val="decimal"/>
      <w:suff w:val="nothing"/>
      <w:lvlText w:val="附图%1"/>
      <w:lvlJc w:val="left"/>
      <w:pPr>
        <w:tabs>
          <w:tab w:val="left" w:pos="0"/>
        </w:tabs>
      </w:pPr>
      <w:rPr>
        <w:rFonts w:hint="default" w:eastAsia="宋体" w:cs="Times New Roman"/>
        <w:b/>
        <w:bCs/>
        <w:sz w:val="24"/>
        <w:szCs w:val="24"/>
      </w:rPr>
    </w:lvl>
  </w:abstractNum>
  <w:abstractNum w:abstractNumId="6">
    <w:nsid w:val="12F43B1C"/>
    <w:multiLevelType w:val="singleLevel"/>
    <w:tmpl w:val="12F43B1C"/>
    <w:lvl w:ilvl="0" w:tentative="0">
      <w:start w:val="1"/>
      <w:numFmt w:val="decimal"/>
      <w:pStyle w:val="42"/>
      <w:suff w:val="nothing"/>
      <w:lvlText w:val="附件%1"/>
      <w:lvlJc w:val="left"/>
      <w:pPr>
        <w:tabs>
          <w:tab w:val="left" w:pos="0"/>
        </w:tabs>
        <w:ind w:left="0" w:leftChars="0" w:firstLine="0" w:firstLineChars="0"/>
      </w:pPr>
      <w:rPr>
        <w:rFonts w:hint="default" w:ascii="Times New Roman" w:hAnsi="Times New Roman" w:eastAsia="宋体" w:cs="Times New Roman"/>
        <w:b/>
        <w:bCs/>
        <w:sz w:val="24"/>
        <w:szCs w:val="24"/>
      </w:rPr>
    </w:lvl>
  </w:abstractNum>
  <w:abstractNum w:abstractNumId="7">
    <w:nsid w:val="2DD09587"/>
    <w:multiLevelType w:val="singleLevel"/>
    <w:tmpl w:val="2DD09587"/>
    <w:lvl w:ilvl="0" w:tentative="0">
      <w:start w:val="1"/>
      <w:numFmt w:val="decimal"/>
      <w:suff w:val="space"/>
      <w:lvlText w:val="%1."/>
      <w:lvlJc w:val="left"/>
      <w:rPr>
        <w:rFonts w:hint="default"/>
        <w:b w:val="0"/>
        <w:bCs w:val="0"/>
      </w:rPr>
    </w:lvl>
  </w:abstractNum>
  <w:abstractNum w:abstractNumId="8">
    <w:nsid w:val="3AE732AA"/>
    <w:multiLevelType w:val="singleLevel"/>
    <w:tmpl w:val="3AE732AA"/>
    <w:lvl w:ilvl="0" w:tentative="0">
      <w:start w:val="1"/>
      <w:numFmt w:val="decimal"/>
      <w:suff w:val="nothing"/>
      <w:lvlText w:val="%1）"/>
      <w:lvlJc w:val="left"/>
      <w:rPr>
        <w:rFonts w:hint="default" w:ascii="Times New Roman" w:hAnsi="Times New Roman" w:cs="Times New Roman"/>
        <w:sz w:val="24"/>
        <w:szCs w:val="24"/>
      </w:rPr>
    </w:lvl>
  </w:abstractNum>
  <w:abstractNum w:abstractNumId="9">
    <w:nsid w:val="3BBE174A"/>
    <w:multiLevelType w:val="multilevel"/>
    <w:tmpl w:val="3BBE174A"/>
    <w:lvl w:ilvl="0" w:tentative="0">
      <w:start w:val="1"/>
      <w:numFmt w:val="decimal"/>
      <w:lvlText w:val="%1."/>
      <w:lvlJc w:val="left"/>
      <w:pPr>
        <w:ind w:left="425" w:hanging="425"/>
      </w:pPr>
      <w:rPr>
        <w:rFonts w:hint="default"/>
      </w:rPr>
    </w:lvl>
    <w:lvl w:ilvl="1" w:tentative="0">
      <w:start w:val="1"/>
      <w:numFmt w:val="decimal"/>
      <w:suff w:val="space"/>
      <w:lvlText w:val="%1.%2."/>
      <w:lvlJc w:val="left"/>
      <w:pPr>
        <w:ind w:left="567" w:hanging="567"/>
      </w:pPr>
      <w:rPr>
        <w:rFonts w:hint="default"/>
        <w:b/>
        <w:bCs/>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0">
    <w:nsid w:val="40DE5261"/>
    <w:multiLevelType w:val="singleLevel"/>
    <w:tmpl w:val="40DE5261"/>
    <w:lvl w:ilvl="0" w:tentative="0">
      <w:start w:val="1"/>
      <w:numFmt w:val="decimal"/>
      <w:suff w:val="space"/>
      <w:lvlText w:val="%1."/>
      <w:lvlJc w:val="left"/>
    </w:lvl>
  </w:abstractNum>
  <w:abstractNum w:abstractNumId="11">
    <w:nsid w:val="41687D07"/>
    <w:multiLevelType w:val="singleLevel"/>
    <w:tmpl w:val="41687D07"/>
    <w:lvl w:ilvl="0" w:tentative="0">
      <w:start w:val="1"/>
      <w:numFmt w:val="decimal"/>
      <w:suff w:val="space"/>
      <w:lvlText w:val="%1."/>
      <w:lvlJc w:val="left"/>
    </w:lvl>
  </w:abstractNum>
  <w:abstractNum w:abstractNumId="12">
    <w:nsid w:val="6F5D78F3"/>
    <w:multiLevelType w:val="singleLevel"/>
    <w:tmpl w:val="6F5D78F3"/>
    <w:lvl w:ilvl="0" w:tentative="0">
      <w:start w:val="1"/>
      <w:numFmt w:val="decimal"/>
      <w:suff w:val="nothing"/>
      <w:lvlText w:val="%1、"/>
      <w:lvlJc w:val="left"/>
    </w:lvl>
  </w:abstractNum>
  <w:abstractNum w:abstractNumId="13">
    <w:nsid w:val="7D5BC00C"/>
    <w:multiLevelType w:val="singleLevel"/>
    <w:tmpl w:val="7D5BC00C"/>
    <w:lvl w:ilvl="0" w:tentative="0">
      <w:start w:val="1"/>
      <w:numFmt w:val="decimal"/>
      <w:suff w:val="nothing"/>
      <w:lvlText w:val="%1、"/>
      <w:lvlJc w:val="left"/>
    </w:lvl>
  </w:abstractNum>
  <w:num w:numId="1">
    <w:abstractNumId w:val="3"/>
  </w:num>
  <w:num w:numId="2">
    <w:abstractNumId w:val="6"/>
  </w:num>
  <w:num w:numId="3">
    <w:abstractNumId w:val="5"/>
  </w:num>
  <w:num w:numId="4">
    <w:abstractNumId w:val="9"/>
  </w:num>
  <w:num w:numId="5">
    <w:abstractNumId w:val="11"/>
  </w:num>
  <w:num w:numId="6">
    <w:abstractNumId w:val="7"/>
  </w:num>
  <w:num w:numId="7">
    <w:abstractNumId w:val="10"/>
  </w:num>
  <w:num w:numId="8">
    <w:abstractNumId w:val="4"/>
  </w:num>
  <w:num w:numId="9">
    <w:abstractNumId w:val="1"/>
  </w:num>
  <w:num w:numId="10">
    <w:abstractNumId w:val="13"/>
  </w:num>
  <w:num w:numId="11">
    <w:abstractNumId w:val="0"/>
  </w:num>
  <w:num w:numId="12">
    <w:abstractNumId w:val="12"/>
  </w:num>
  <w:num w:numId="13">
    <w:abstractNumId w:val="8"/>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TrueTypeFonts/>
  <w:saveSubsetFonts/>
  <w:bordersDoNotSurroundHeader w:val="0"/>
  <w:bordersDoNotSurroundFooter w:val="0"/>
  <w:documentProtection w:enforcement="0"/>
  <w:defaultTabStop w:val="1200"/>
  <w:drawingGridVerticalSpacing w:val="16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kNmRkZDlhNTZiNjc5YTJlOTYzMzM1N2RhYThjOGIifQ=="/>
  </w:docVars>
  <w:rsids>
    <w:rsidRoot w:val="00172A27"/>
    <w:rsid w:val="001113BD"/>
    <w:rsid w:val="0012531F"/>
    <w:rsid w:val="00181FB0"/>
    <w:rsid w:val="00243ABF"/>
    <w:rsid w:val="005248F1"/>
    <w:rsid w:val="00AA74E2"/>
    <w:rsid w:val="00B87106"/>
    <w:rsid w:val="00C10B22"/>
    <w:rsid w:val="00C66828"/>
    <w:rsid w:val="00CD05CE"/>
    <w:rsid w:val="00CD3536"/>
    <w:rsid w:val="00DD4603"/>
    <w:rsid w:val="013E77C3"/>
    <w:rsid w:val="017E2103"/>
    <w:rsid w:val="01851A83"/>
    <w:rsid w:val="01AD6ACE"/>
    <w:rsid w:val="01BD43CF"/>
    <w:rsid w:val="01E83F78"/>
    <w:rsid w:val="02076F1C"/>
    <w:rsid w:val="023655F0"/>
    <w:rsid w:val="02454971"/>
    <w:rsid w:val="02620BB9"/>
    <w:rsid w:val="0297204E"/>
    <w:rsid w:val="02A448BA"/>
    <w:rsid w:val="02A6790B"/>
    <w:rsid w:val="02A91D81"/>
    <w:rsid w:val="02AB33F8"/>
    <w:rsid w:val="02C46202"/>
    <w:rsid w:val="03123648"/>
    <w:rsid w:val="03710AF1"/>
    <w:rsid w:val="037A192A"/>
    <w:rsid w:val="039142FB"/>
    <w:rsid w:val="0392072B"/>
    <w:rsid w:val="03936A9A"/>
    <w:rsid w:val="03E16B8D"/>
    <w:rsid w:val="0436494A"/>
    <w:rsid w:val="044C17A6"/>
    <w:rsid w:val="044D26EE"/>
    <w:rsid w:val="04607E93"/>
    <w:rsid w:val="047C5DA2"/>
    <w:rsid w:val="048C02D8"/>
    <w:rsid w:val="04916DDB"/>
    <w:rsid w:val="04BE5FB8"/>
    <w:rsid w:val="04CC246F"/>
    <w:rsid w:val="050D62B4"/>
    <w:rsid w:val="055F15F8"/>
    <w:rsid w:val="056F36B5"/>
    <w:rsid w:val="057F1926"/>
    <w:rsid w:val="05C4654C"/>
    <w:rsid w:val="05C66BB1"/>
    <w:rsid w:val="05C90E5D"/>
    <w:rsid w:val="05CB6236"/>
    <w:rsid w:val="05CC0260"/>
    <w:rsid w:val="06402517"/>
    <w:rsid w:val="06B72F36"/>
    <w:rsid w:val="06D50364"/>
    <w:rsid w:val="06EA2824"/>
    <w:rsid w:val="07220722"/>
    <w:rsid w:val="076E56D5"/>
    <w:rsid w:val="07752427"/>
    <w:rsid w:val="07936BF3"/>
    <w:rsid w:val="07B94814"/>
    <w:rsid w:val="07E5108C"/>
    <w:rsid w:val="084127BF"/>
    <w:rsid w:val="087B41C0"/>
    <w:rsid w:val="08BF5A07"/>
    <w:rsid w:val="08D16391"/>
    <w:rsid w:val="08D331DB"/>
    <w:rsid w:val="08F004A1"/>
    <w:rsid w:val="08F46813"/>
    <w:rsid w:val="090D12BC"/>
    <w:rsid w:val="09246016"/>
    <w:rsid w:val="095B0B58"/>
    <w:rsid w:val="09616967"/>
    <w:rsid w:val="098C1C6B"/>
    <w:rsid w:val="09AC4ECD"/>
    <w:rsid w:val="09CD27F9"/>
    <w:rsid w:val="09FB358A"/>
    <w:rsid w:val="0A0106F5"/>
    <w:rsid w:val="0A1E68C3"/>
    <w:rsid w:val="0A202297"/>
    <w:rsid w:val="0A240626"/>
    <w:rsid w:val="0A5061AA"/>
    <w:rsid w:val="0A685386"/>
    <w:rsid w:val="0A752A18"/>
    <w:rsid w:val="0A835EA9"/>
    <w:rsid w:val="0AAD5C44"/>
    <w:rsid w:val="0B043FF8"/>
    <w:rsid w:val="0B08509F"/>
    <w:rsid w:val="0B64464A"/>
    <w:rsid w:val="0B896BF3"/>
    <w:rsid w:val="0BA96C72"/>
    <w:rsid w:val="0BAE737B"/>
    <w:rsid w:val="0BC0204E"/>
    <w:rsid w:val="0BCB720C"/>
    <w:rsid w:val="0BD85FC1"/>
    <w:rsid w:val="0BE51F34"/>
    <w:rsid w:val="0BF26CDA"/>
    <w:rsid w:val="0C5E5739"/>
    <w:rsid w:val="0C67711A"/>
    <w:rsid w:val="0C937D2A"/>
    <w:rsid w:val="0CE23AB3"/>
    <w:rsid w:val="0D1B63E2"/>
    <w:rsid w:val="0D2C1053"/>
    <w:rsid w:val="0D34161D"/>
    <w:rsid w:val="0D374B59"/>
    <w:rsid w:val="0D676AC1"/>
    <w:rsid w:val="0D8708B7"/>
    <w:rsid w:val="0D9F625A"/>
    <w:rsid w:val="0DD513AF"/>
    <w:rsid w:val="0DE45BE8"/>
    <w:rsid w:val="0E0C2779"/>
    <w:rsid w:val="0E0C2E47"/>
    <w:rsid w:val="0E405392"/>
    <w:rsid w:val="0E593154"/>
    <w:rsid w:val="0E5D662D"/>
    <w:rsid w:val="0E777553"/>
    <w:rsid w:val="0E7B4151"/>
    <w:rsid w:val="0E8038A4"/>
    <w:rsid w:val="0ED01D4F"/>
    <w:rsid w:val="0EFE4A54"/>
    <w:rsid w:val="0F3837A3"/>
    <w:rsid w:val="0F601C4C"/>
    <w:rsid w:val="0F6E21BA"/>
    <w:rsid w:val="0F75728A"/>
    <w:rsid w:val="0F8752F0"/>
    <w:rsid w:val="0FAA26A1"/>
    <w:rsid w:val="0FD34F69"/>
    <w:rsid w:val="0FE41458"/>
    <w:rsid w:val="0FE53CCE"/>
    <w:rsid w:val="0FEA6AE3"/>
    <w:rsid w:val="100B5798"/>
    <w:rsid w:val="101535B5"/>
    <w:rsid w:val="10420DA0"/>
    <w:rsid w:val="1087681D"/>
    <w:rsid w:val="10B43BA3"/>
    <w:rsid w:val="10CC001B"/>
    <w:rsid w:val="111B78F5"/>
    <w:rsid w:val="11251DF9"/>
    <w:rsid w:val="11416307"/>
    <w:rsid w:val="114B681F"/>
    <w:rsid w:val="11931263"/>
    <w:rsid w:val="11932A11"/>
    <w:rsid w:val="119F5C70"/>
    <w:rsid w:val="11A44AD4"/>
    <w:rsid w:val="11C72224"/>
    <w:rsid w:val="11C83F8E"/>
    <w:rsid w:val="11DD66EE"/>
    <w:rsid w:val="120859C2"/>
    <w:rsid w:val="121B64E1"/>
    <w:rsid w:val="1231496C"/>
    <w:rsid w:val="123373AC"/>
    <w:rsid w:val="12535865"/>
    <w:rsid w:val="126179A4"/>
    <w:rsid w:val="127319CB"/>
    <w:rsid w:val="12950AE1"/>
    <w:rsid w:val="129737DD"/>
    <w:rsid w:val="12BA0DBB"/>
    <w:rsid w:val="12BD4A6E"/>
    <w:rsid w:val="12DE0D9E"/>
    <w:rsid w:val="1304784E"/>
    <w:rsid w:val="13110465"/>
    <w:rsid w:val="131F7B26"/>
    <w:rsid w:val="13290955"/>
    <w:rsid w:val="139D0ABC"/>
    <w:rsid w:val="13E72483"/>
    <w:rsid w:val="13FC2B54"/>
    <w:rsid w:val="140E413A"/>
    <w:rsid w:val="14272975"/>
    <w:rsid w:val="143C7918"/>
    <w:rsid w:val="146927B7"/>
    <w:rsid w:val="14865B4E"/>
    <w:rsid w:val="14A9432E"/>
    <w:rsid w:val="14BA0E4B"/>
    <w:rsid w:val="14C73D39"/>
    <w:rsid w:val="14F75FA0"/>
    <w:rsid w:val="14F96B98"/>
    <w:rsid w:val="150233CD"/>
    <w:rsid w:val="15431252"/>
    <w:rsid w:val="1548486C"/>
    <w:rsid w:val="159B0B26"/>
    <w:rsid w:val="15A76FFD"/>
    <w:rsid w:val="16063F0A"/>
    <w:rsid w:val="160B67B0"/>
    <w:rsid w:val="160D55B3"/>
    <w:rsid w:val="162D6A7B"/>
    <w:rsid w:val="16351E52"/>
    <w:rsid w:val="163E5033"/>
    <w:rsid w:val="164163B6"/>
    <w:rsid w:val="164473DA"/>
    <w:rsid w:val="164E7F5A"/>
    <w:rsid w:val="1651127E"/>
    <w:rsid w:val="16790270"/>
    <w:rsid w:val="167A617B"/>
    <w:rsid w:val="168E1021"/>
    <w:rsid w:val="16B84A69"/>
    <w:rsid w:val="16E82A20"/>
    <w:rsid w:val="16EB0837"/>
    <w:rsid w:val="16F2083F"/>
    <w:rsid w:val="1748684E"/>
    <w:rsid w:val="175F6213"/>
    <w:rsid w:val="17797B1C"/>
    <w:rsid w:val="1793171C"/>
    <w:rsid w:val="17936E30"/>
    <w:rsid w:val="17D902C3"/>
    <w:rsid w:val="17EF3C3D"/>
    <w:rsid w:val="18073704"/>
    <w:rsid w:val="180A090C"/>
    <w:rsid w:val="180C6BE2"/>
    <w:rsid w:val="18125A3A"/>
    <w:rsid w:val="182E5AF1"/>
    <w:rsid w:val="1846735F"/>
    <w:rsid w:val="18754ED1"/>
    <w:rsid w:val="187F540D"/>
    <w:rsid w:val="18843022"/>
    <w:rsid w:val="18A220AE"/>
    <w:rsid w:val="18B04FBB"/>
    <w:rsid w:val="18B50076"/>
    <w:rsid w:val="18CF4C7C"/>
    <w:rsid w:val="18E11EC0"/>
    <w:rsid w:val="18ED58E6"/>
    <w:rsid w:val="19061883"/>
    <w:rsid w:val="19630350"/>
    <w:rsid w:val="19683FC4"/>
    <w:rsid w:val="19850ACB"/>
    <w:rsid w:val="19A0026B"/>
    <w:rsid w:val="19D05965"/>
    <w:rsid w:val="19DA6113"/>
    <w:rsid w:val="1A52175E"/>
    <w:rsid w:val="1A7D3FC4"/>
    <w:rsid w:val="1A8562FD"/>
    <w:rsid w:val="1A9C3882"/>
    <w:rsid w:val="1AAE6FDE"/>
    <w:rsid w:val="1AB96F8B"/>
    <w:rsid w:val="1AD76987"/>
    <w:rsid w:val="1B000E42"/>
    <w:rsid w:val="1B0D53AC"/>
    <w:rsid w:val="1B170223"/>
    <w:rsid w:val="1B3418D0"/>
    <w:rsid w:val="1B474840"/>
    <w:rsid w:val="1B483C7F"/>
    <w:rsid w:val="1B713D79"/>
    <w:rsid w:val="1B8E43A7"/>
    <w:rsid w:val="1BA13832"/>
    <w:rsid w:val="1BA86E23"/>
    <w:rsid w:val="1BBA0BEC"/>
    <w:rsid w:val="1C3E219E"/>
    <w:rsid w:val="1C425E21"/>
    <w:rsid w:val="1C706994"/>
    <w:rsid w:val="1C862A19"/>
    <w:rsid w:val="1C8A55DB"/>
    <w:rsid w:val="1CA1623E"/>
    <w:rsid w:val="1CCE5874"/>
    <w:rsid w:val="1CE5722B"/>
    <w:rsid w:val="1D182FE8"/>
    <w:rsid w:val="1D231173"/>
    <w:rsid w:val="1D233D9F"/>
    <w:rsid w:val="1D416F8A"/>
    <w:rsid w:val="1D5218C3"/>
    <w:rsid w:val="1D6849A1"/>
    <w:rsid w:val="1D7751AE"/>
    <w:rsid w:val="1DA30EAE"/>
    <w:rsid w:val="1DAD576B"/>
    <w:rsid w:val="1DAF58DD"/>
    <w:rsid w:val="1DFD71F5"/>
    <w:rsid w:val="1E05632C"/>
    <w:rsid w:val="1E4040D7"/>
    <w:rsid w:val="1E6618EC"/>
    <w:rsid w:val="1E6F1C79"/>
    <w:rsid w:val="1E9165C7"/>
    <w:rsid w:val="1E9A25BA"/>
    <w:rsid w:val="1EA42110"/>
    <w:rsid w:val="1EB61E87"/>
    <w:rsid w:val="1EB74A13"/>
    <w:rsid w:val="1ECD33DD"/>
    <w:rsid w:val="1F264A2D"/>
    <w:rsid w:val="1F314D8C"/>
    <w:rsid w:val="1F3C5FFF"/>
    <w:rsid w:val="1F752D3A"/>
    <w:rsid w:val="1F8F0DDD"/>
    <w:rsid w:val="1FF93EAB"/>
    <w:rsid w:val="20346193"/>
    <w:rsid w:val="204B68BF"/>
    <w:rsid w:val="206E21D4"/>
    <w:rsid w:val="207B7CFB"/>
    <w:rsid w:val="209F220D"/>
    <w:rsid w:val="20B00A53"/>
    <w:rsid w:val="20BF4BBB"/>
    <w:rsid w:val="20C96609"/>
    <w:rsid w:val="20D9065C"/>
    <w:rsid w:val="20F31BAC"/>
    <w:rsid w:val="210A6E3D"/>
    <w:rsid w:val="213F7C35"/>
    <w:rsid w:val="2145440B"/>
    <w:rsid w:val="214E3DC8"/>
    <w:rsid w:val="217D6208"/>
    <w:rsid w:val="21855B15"/>
    <w:rsid w:val="218E37E9"/>
    <w:rsid w:val="219408BD"/>
    <w:rsid w:val="21BC08B9"/>
    <w:rsid w:val="21CA7851"/>
    <w:rsid w:val="21CB7FDA"/>
    <w:rsid w:val="21FF6F70"/>
    <w:rsid w:val="220D77DF"/>
    <w:rsid w:val="22430C6B"/>
    <w:rsid w:val="22494459"/>
    <w:rsid w:val="224F10BB"/>
    <w:rsid w:val="225A0462"/>
    <w:rsid w:val="225C0394"/>
    <w:rsid w:val="23031D3B"/>
    <w:rsid w:val="2306260B"/>
    <w:rsid w:val="230812D9"/>
    <w:rsid w:val="233320AB"/>
    <w:rsid w:val="237D2742"/>
    <w:rsid w:val="2391082F"/>
    <w:rsid w:val="239C66C1"/>
    <w:rsid w:val="23B46628"/>
    <w:rsid w:val="23D179D2"/>
    <w:rsid w:val="23E17772"/>
    <w:rsid w:val="23EB2BCA"/>
    <w:rsid w:val="24065E3E"/>
    <w:rsid w:val="240C3075"/>
    <w:rsid w:val="240E6B08"/>
    <w:rsid w:val="241E0112"/>
    <w:rsid w:val="24B9513A"/>
    <w:rsid w:val="24C83F01"/>
    <w:rsid w:val="24D61965"/>
    <w:rsid w:val="24F73F73"/>
    <w:rsid w:val="251E3B13"/>
    <w:rsid w:val="25387C26"/>
    <w:rsid w:val="253A3873"/>
    <w:rsid w:val="254259F1"/>
    <w:rsid w:val="25583A24"/>
    <w:rsid w:val="256940E0"/>
    <w:rsid w:val="25825937"/>
    <w:rsid w:val="25A667F4"/>
    <w:rsid w:val="25B17ED8"/>
    <w:rsid w:val="25DE0593"/>
    <w:rsid w:val="260F621B"/>
    <w:rsid w:val="262349F0"/>
    <w:rsid w:val="263B1F50"/>
    <w:rsid w:val="26454C28"/>
    <w:rsid w:val="26867B60"/>
    <w:rsid w:val="26986F44"/>
    <w:rsid w:val="26C04E8B"/>
    <w:rsid w:val="26CF59AB"/>
    <w:rsid w:val="26F37DC4"/>
    <w:rsid w:val="27641BC9"/>
    <w:rsid w:val="276428EB"/>
    <w:rsid w:val="278177F2"/>
    <w:rsid w:val="27913C9C"/>
    <w:rsid w:val="27957DF9"/>
    <w:rsid w:val="27983FEE"/>
    <w:rsid w:val="27A401A2"/>
    <w:rsid w:val="27AB5384"/>
    <w:rsid w:val="27EB644C"/>
    <w:rsid w:val="280160C7"/>
    <w:rsid w:val="2807212A"/>
    <w:rsid w:val="28120F38"/>
    <w:rsid w:val="283A6E54"/>
    <w:rsid w:val="283C7103"/>
    <w:rsid w:val="286B6DAC"/>
    <w:rsid w:val="286D1F56"/>
    <w:rsid w:val="288A7A6F"/>
    <w:rsid w:val="28A4132E"/>
    <w:rsid w:val="28BE5CD7"/>
    <w:rsid w:val="28C44789"/>
    <w:rsid w:val="28CB66CC"/>
    <w:rsid w:val="29336DAB"/>
    <w:rsid w:val="293F50AA"/>
    <w:rsid w:val="29447FC3"/>
    <w:rsid w:val="295E3FE1"/>
    <w:rsid w:val="2964687E"/>
    <w:rsid w:val="29830482"/>
    <w:rsid w:val="2984172C"/>
    <w:rsid w:val="29895B8A"/>
    <w:rsid w:val="29C00FD6"/>
    <w:rsid w:val="29C448FD"/>
    <w:rsid w:val="29C608C2"/>
    <w:rsid w:val="2A077917"/>
    <w:rsid w:val="2A0F0B2C"/>
    <w:rsid w:val="2A28264A"/>
    <w:rsid w:val="2A2F45CD"/>
    <w:rsid w:val="2A42536F"/>
    <w:rsid w:val="2A4A0F51"/>
    <w:rsid w:val="2A61571E"/>
    <w:rsid w:val="2A656E6E"/>
    <w:rsid w:val="2A7110B3"/>
    <w:rsid w:val="2AE27D3F"/>
    <w:rsid w:val="2B1B4286"/>
    <w:rsid w:val="2B1E2A5D"/>
    <w:rsid w:val="2B252522"/>
    <w:rsid w:val="2B280931"/>
    <w:rsid w:val="2B4773AA"/>
    <w:rsid w:val="2B575539"/>
    <w:rsid w:val="2B5C25DD"/>
    <w:rsid w:val="2B5E4572"/>
    <w:rsid w:val="2B825D0D"/>
    <w:rsid w:val="2BB63AE7"/>
    <w:rsid w:val="2BE710A1"/>
    <w:rsid w:val="2C201D36"/>
    <w:rsid w:val="2C347894"/>
    <w:rsid w:val="2CB216AE"/>
    <w:rsid w:val="2CB74F17"/>
    <w:rsid w:val="2CC20710"/>
    <w:rsid w:val="2CE5525C"/>
    <w:rsid w:val="2CF211C2"/>
    <w:rsid w:val="2D0D0C9C"/>
    <w:rsid w:val="2D5D7A67"/>
    <w:rsid w:val="2D614E83"/>
    <w:rsid w:val="2D6A01DB"/>
    <w:rsid w:val="2DB92430"/>
    <w:rsid w:val="2DFC65A4"/>
    <w:rsid w:val="2DFD11E7"/>
    <w:rsid w:val="2DFD4E05"/>
    <w:rsid w:val="2E1729F2"/>
    <w:rsid w:val="2E30419D"/>
    <w:rsid w:val="2E311397"/>
    <w:rsid w:val="2E3431B5"/>
    <w:rsid w:val="2E781C5C"/>
    <w:rsid w:val="2E941F80"/>
    <w:rsid w:val="2E9B3D17"/>
    <w:rsid w:val="2EA71F57"/>
    <w:rsid w:val="2EBA45F5"/>
    <w:rsid w:val="2EBC4DF8"/>
    <w:rsid w:val="2EC736EA"/>
    <w:rsid w:val="2ED678F3"/>
    <w:rsid w:val="2EE037AC"/>
    <w:rsid w:val="2EE30E16"/>
    <w:rsid w:val="2EEF06B3"/>
    <w:rsid w:val="2EFD61FF"/>
    <w:rsid w:val="2F1228D8"/>
    <w:rsid w:val="2F373BD0"/>
    <w:rsid w:val="2F6F186F"/>
    <w:rsid w:val="2F702358"/>
    <w:rsid w:val="2F713035"/>
    <w:rsid w:val="2FBB6ACC"/>
    <w:rsid w:val="2FE97BF0"/>
    <w:rsid w:val="2FF67745"/>
    <w:rsid w:val="300375DC"/>
    <w:rsid w:val="30290DCE"/>
    <w:rsid w:val="30350859"/>
    <w:rsid w:val="303A6DC6"/>
    <w:rsid w:val="303C4A9A"/>
    <w:rsid w:val="30444D13"/>
    <w:rsid w:val="305B1448"/>
    <w:rsid w:val="308C0468"/>
    <w:rsid w:val="30932699"/>
    <w:rsid w:val="30B7106E"/>
    <w:rsid w:val="30CA7927"/>
    <w:rsid w:val="30D937F8"/>
    <w:rsid w:val="30FB0757"/>
    <w:rsid w:val="30FB79CF"/>
    <w:rsid w:val="30FE295F"/>
    <w:rsid w:val="31264419"/>
    <w:rsid w:val="3136638A"/>
    <w:rsid w:val="31506ACE"/>
    <w:rsid w:val="317401C5"/>
    <w:rsid w:val="31AA0580"/>
    <w:rsid w:val="31C93FB0"/>
    <w:rsid w:val="31DD5420"/>
    <w:rsid w:val="31FD7870"/>
    <w:rsid w:val="32094F70"/>
    <w:rsid w:val="320C360F"/>
    <w:rsid w:val="325068C4"/>
    <w:rsid w:val="32781B1A"/>
    <w:rsid w:val="329A50BF"/>
    <w:rsid w:val="32B531E7"/>
    <w:rsid w:val="32D63637"/>
    <w:rsid w:val="331817B5"/>
    <w:rsid w:val="33550147"/>
    <w:rsid w:val="335A5881"/>
    <w:rsid w:val="33687B5B"/>
    <w:rsid w:val="337405C1"/>
    <w:rsid w:val="33930C04"/>
    <w:rsid w:val="33C0289B"/>
    <w:rsid w:val="33CE75DD"/>
    <w:rsid w:val="340F42A1"/>
    <w:rsid w:val="342F6967"/>
    <w:rsid w:val="344164C5"/>
    <w:rsid w:val="348C3D57"/>
    <w:rsid w:val="349F4C0E"/>
    <w:rsid w:val="34BD356D"/>
    <w:rsid w:val="34BD5BAE"/>
    <w:rsid w:val="34CB5A03"/>
    <w:rsid w:val="34D4009E"/>
    <w:rsid w:val="34F11CC9"/>
    <w:rsid w:val="350E769E"/>
    <w:rsid w:val="35196A61"/>
    <w:rsid w:val="35236EAC"/>
    <w:rsid w:val="35561179"/>
    <w:rsid w:val="35634A50"/>
    <w:rsid w:val="35686E4D"/>
    <w:rsid w:val="357C30C5"/>
    <w:rsid w:val="357C5329"/>
    <w:rsid w:val="359A18CA"/>
    <w:rsid w:val="359D2545"/>
    <w:rsid w:val="35BE6F9D"/>
    <w:rsid w:val="35E62361"/>
    <w:rsid w:val="361E1B63"/>
    <w:rsid w:val="36302B76"/>
    <w:rsid w:val="36391D81"/>
    <w:rsid w:val="363C648D"/>
    <w:rsid w:val="364534C3"/>
    <w:rsid w:val="36472BEB"/>
    <w:rsid w:val="367517BB"/>
    <w:rsid w:val="36985DB9"/>
    <w:rsid w:val="36986377"/>
    <w:rsid w:val="371E0C7C"/>
    <w:rsid w:val="37613B3D"/>
    <w:rsid w:val="37623CD1"/>
    <w:rsid w:val="376F753B"/>
    <w:rsid w:val="37774F0E"/>
    <w:rsid w:val="37883ECF"/>
    <w:rsid w:val="37912EB7"/>
    <w:rsid w:val="379B110E"/>
    <w:rsid w:val="37A962A4"/>
    <w:rsid w:val="37CE392A"/>
    <w:rsid w:val="37FC516A"/>
    <w:rsid w:val="38207E14"/>
    <w:rsid w:val="382E36E1"/>
    <w:rsid w:val="385E065D"/>
    <w:rsid w:val="38741F0E"/>
    <w:rsid w:val="38966D72"/>
    <w:rsid w:val="39384FD2"/>
    <w:rsid w:val="394B7113"/>
    <w:rsid w:val="39847293"/>
    <w:rsid w:val="39AE6463"/>
    <w:rsid w:val="39BB59A5"/>
    <w:rsid w:val="39D220C0"/>
    <w:rsid w:val="39E906DA"/>
    <w:rsid w:val="3A1135BA"/>
    <w:rsid w:val="3A356A47"/>
    <w:rsid w:val="3A953A05"/>
    <w:rsid w:val="3AAF3668"/>
    <w:rsid w:val="3AB10C61"/>
    <w:rsid w:val="3ABB2CAA"/>
    <w:rsid w:val="3AD90663"/>
    <w:rsid w:val="3B177353"/>
    <w:rsid w:val="3B5D1B2D"/>
    <w:rsid w:val="3B677938"/>
    <w:rsid w:val="3B7641EF"/>
    <w:rsid w:val="3B7710CA"/>
    <w:rsid w:val="3B83694E"/>
    <w:rsid w:val="3BA378B6"/>
    <w:rsid w:val="3BE02D55"/>
    <w:rsid w:val="3BE51D20"/>
    <w:rsid w:val="3C0F0211"/>
    <w:rsid w:val="3C480A39"/>
    <w:rsid w:val="3C4A79F5"/>
    <w:rsid w:val="3CAC5F4A"/>
    <w:rsid w:val="3D1B245D"/>
    <w:rsid w:val="3D1C04A4"/>
    <w:rsid w:val="3D1E069A"/>
    <w:rsid w:val="3D206FF9"/>
    <w:rsid w:val="3D436353"/>
    <w:rsid w:val="3D825FEF"/>
    <w:rsid w:val="3D9C3FEF"/>
    <w:rsid w:val="3DA14683"/>
    <w:rsid w:val="3DAB431A"/>
    <w:rsid w:val="3DB70C25"/>
    <w:rsid w:val="3DBB58ED"/>
    <w:rsid w:val="3DC22F21"/>
    <w:rsid w:val="3E201B59"/>
    <w:rsid w:val="3E3321C4"/>
    <w:rsid w:val="3E4576B9"/>
    <w:rsid w:val="3E531B7F"/>
    <w:rsid w:val="3E6C5B08"/>
    <w:rsid w:val="3E78391C"/>
    <w:rsid w:val="3EA60E7C"/>
    <w:rsid w:val="3EAD7F28"/>
    <w:rsid w:val="3EB412B6"/>
    <w:rsid w:val="3EC30B66"/>
    <w:rsid w:val="3ECC1CD1"/>
    <w:rsid w:val="3ECE40A2"/>
    <w:rsid w:val="3EDC0CD0"/>
    <w:rsid w:val="3F0A537A"/>
    <w:rsid w:val="3F2C1487"/>
    <w:rsid w:val="3F2E2CC4"/>
    <w:rsid w:val="3F3F7AD5"/>
    <w:rsid w:val="3F4E3145"/>
    <w:rsid w:val="3F9C5FD6"/>
    <w:rsid w:val="3FD275D1"/>
    <w:rsid w:val="3FF057F2"/>
    <w:rsid w:val="3FFE58BD"/>
    <w:rsid w:val="40175864"/>
    <w:rsid w:val="401D5B4E"/>
    <w:rsid w:val="408760CC"/>
    <w:rsid w:val="4094672D"/>
    <w:rsid w:val="40A60302"/>
    <w:rsid w:val="40AF6822"/>
    <w:rsid w:val="40C56C9F"/>
    <w:rsid w:val="40CB5A21"/>
    <w:rsid w:val="40D46A6C"/>
    <w:rsid w:val="40E92683"/>
    <w:rsid w:val="41233D36"/>
    <w:rsid w:val="41346158"/>
    <w:rsid w:val="414D154E"/>
    <w:rsid w:val="416A56A6"/>
    <w:rsid w:val="41894625"/>
    <w:rsid w:val="4206612A"/>
    <w:rsid w:val="423820EB"/>
    <w:rsid w:val="428432CD"/>
    <w:rsid w:val="42B41088"/>
    <w:rsid w:val="42B9276B"/>
    <w:rsid w:val="42C655C7"/>
    <w:rsid w:val="42E87780"/>
    <w:rsid w:val="4312743F"/>
    <w:rsid w:val="43227DD1"/>
    <w:rsid w:val="433B130E"/>
    <w:rsid w:val="436807F7"/>
    <w:rsid w:val="43724AB9"/>
    <w:rsid w:val="43B87C02"/>
    <w:rsid w:val="43C811E7"/>
    <w:rsid w:val="43E4195A"/>
    <w:rsid w:val="43E73EDC"/>
    <w:rsid w:val="441179F3"/>
    <w:rsid w:val="442376E0"/>
    <w:rsid w:val="44564BBE"/>
    <w:rsid w:val="44607519"/>
    <w:rsid w:val="44614003"/>
    <w:rsid w:val="4468384C"/>
    <w:rsid w:val="4499028E"/>
    <w:rsid w:val="44B92F58"/>
    <w:rsid w:val="44BC3004"/>
    <w:rsid w:val="44BD5813"/>
    <w:rsid w:val="44D07152"/>
    <w:rsid w:val="44D94F0A"/>
    <w:rsid w:val="44F07668"/>
    <w:rsid w:val="45154B66"/>
    <w:rsid w:val="453D18DC"/>
    <w:rsid w:val="45715413"/>
    <w:rsid w:val="45733345"/>
    <w:rsid w:val="45846985"/>
    <w:rsid w:val="45C66684"/>
    <w:rsid w:val="45D873C2"/>
    <w:rsid w:val="45E603B3"/>
    <w:rsid w:val="45EE32F2"/>
    <w:rsid w:val="45F94ECC"/>
    <w:rsid w:val="45FC3C16"/>
    <w:rsid w:val="461A30ED"/>
    <w:rsid w:val="46410013"/>
    <w:rsid w:val="466940FA"/>
    <w:rsid w:val="467E4117"/>
    <w:rsid w:val="46A42343"/>
    <w:rsid w:val="46B876E2"/>
    <w:rsid w:val="46E535CB"/>
    <w:rsid w:val="471F2BF8"/>
    <w:rsid w:val="474D764E"/>
    <w:rsid w:val="478240A5"/>
    <w:rsid w:val="478F50C2"/>
    <w:rsid w:val="479254A7"/>
    <w:rsid w:val="47DC1534"/>
    <w:rsid w:val="480111B7"/>
    <w:rsid w:val="48074F23"/>
    <w:rsid w:val="4807737A"/>
    <w:rsid w:val="481813D6"/>
    <w:rsid w:val="48205C0E"/>
    <w:rsid w:val="4832149E"/>
    <w:rsid w:val="48390072"/>
    <w:rsid w:val="484F7869"/>
    <w:rsid w:val="485E088D"/>
    <w:rsid w:val="48711FC6"/>
    <w:rsid w:val="48A01CB2"/>
    <w:rsid w:val="48B13348"/>
    <w:rsid w:val="48DB6098"/>
    <w:rsid w:val="48FD6044"/>
    <w:rsid w:val="490F7C8C"/>
    <w:rsid w:val="491F31AB"/>
    <w:rsid w:val="49287D05"/>
    <w:rsid w:val="492E435B"/>
    <w:rsid w:val="495D128C"/>
    <w:rsid w:val="495E5115"/>
    <w:rsid w:val="49AE4D9E"/>
    <w:rsid w:val="49B10171"/>
    <w:rsid w:val="49D91E86"/>
    <w:rsid w:val="49EB2E3E"/>
    <w:rsid w:val="4A05293F"/>
    <w:rsid w:val="4A4060F4"/>
    <w:rsid w:val="4A5358A9"/>
    <w:rsid w:val="4A595A98"/>
    <w:rsid w:val="4A643210"/>
    <w:rsid w:val="4A721CE3"/>
    <w:rsid w:val="4AB40D35"/>
    <w:rsid w:val="4AEC5995"/>
    <w:rsid w:val="4B320132"/>
    <w:rsid w:val="4B3A53D0"/>
    <w:rsid w:val="4B3D6954"/>
    <w:rsid w:val="4B7A4995"/>
    <w:rsid w:val="4B817C8A"/>
    <w:rsid w:val="4B887218"/>
    <w:rsid w:val="4B893ACB"/>
    <w:rsid w:val="4B9430EC"/>
    <w:rsid w:val="4BC714B0"/>
    <w:rsid w:val="4BD90BEE"/>
    <w:rsid w:val="4BDE6536"/>
    <w:rsid w:val="4BF24879"/>
    <w:rsid w:val="4C0849EF"/>
    <w:rsid w:val="4C0A1CAF"/>
    <w:rsid w:val="4C0E3D0C"/>
    <w:rsid w:val="4C253F20"/>
    <w:rsid w:val="4C2D5C59"/>
    <w:rsid w:val="4C4210F4"/>
    <w:rsid w:val="4C566F45"/>
    <w:rsid w:val="4C6B1581"/>
    <w:rsid w:val="4C7D05F6"/>
    <w:rsid w:val="4C856040"/>
    <w:rsid w:val="4C9F13C2"/>
    <w:rsid w:val="4CA325C2"/>
    <w:rsid w:val="4CB94878"/>
    <w:rsid w:val="4CDD69B4"/>
    <w:rsid w:val="4D0D7D44"/>
    <w:rsid w:val="4D134A12"/>
    <w:rsid w:val="4D5452C9"/>
    <w:rsid w:val="4D990842"/>
    <w:rsid w:val="4DA712BB"/>
    <w:rsid w:val="4DB00AA6"/>
    <w:rsid w:val="4DD76D6F"/>
    <w:rsid w:val="4E08517B"/>
    <w:rsid w:val="4E0B7C06"/>
    <w:rsid w:val="4E5D56B4"/>
    <w:rsid w:val="4E685A25"/>
    <w:rsid w:val="4EA15408"/>
    <w:rsid w:val="4EBB5E8C"/>
    <w:rsid w:val="4ECD418D"/>
    <w:rsid w:val="4ECE44E0"/>
    <w:rsid w:val="4ED10C0C"/>
    <w:rsid w:val="4ED908C5"/>
    <w:rsid w:val="4EE0126B"/>
    <w:rsid w:val="4EE7682A"/>
    <w:rsid w:val="4EE82DB0"/>
    <w:rsid w:val="4F010DB9"/>
    <w:rsid w:val="4F07324B"/>
    <w:rsid w:val="4F121540"/>
    <w:rsid w:val="4F2730B0"/>
    <w:rsid w:val="4F4514B9"/>
    <w:rsid w:val="4FBC5165"/>
    <w:rsid w:val="4FBC6673"/>
    <w:rsid w:val="4FE27FF5"/>
    <w:rsid w:val="50136B1A"/>
    <w:rsid w:val="5023625D"/>
    <w:rsid w:val="504A7E9C"/>
    <w:rsid w:val="50544866"/>
    <w:rsid w:val="50D10901"/>
    <w:rsid w:val="51023ECF"/>
    <w:rsid w:val="510F0B9E"/>
    <w:rsid w:val="512665D4"/>
    <w:rsid w:val="51363DAD"/>
    <w:rsid w:val="51475FBA"/>
    <w:rsid w:val="51874F00"/>
    <w:rsid w:val="51B65558"/>
    <w:rsid w:val="51F37EF0"/>
    <w:rsid w:val="5218590E"/>
    <w:rsid w:val="523E57B5"/>
    <w:rsid w:val="52497B10"/>
    <w:rsid w:val="52603366"/>
    <w:rsid w:val="52614E59"/>
    <w:rsid w:val="52917428"/>
    <w:rsid w:val="52922179"/>
    <w:rsid w:val="52A64F62"/>
    <w:rsid w:val="52C553E8"/>
    <w:rsid w:val="52D12510"/>
    <w:rsid w:val="52F44E24"/>
    <w:rsid w:val="53000B16"/>
    <w:rsid w:val="53074A47"/>
    <w:rsid w:val="533D6ED9"/>
    <w:rsid w:val="535A2065"/>
    <w:rsid w:val="5364330B"/>
    <w:rsid w:val="536546E1"/>
    <w:rsid w:val="537D4289"/>
    <w:rsid w:val="53896F0F"/>
    <w:rsid w:val="53CD3DC9"/>
    <w:rsid w:val="53D55AC8"/>
    <w:rsid w:val="53EC37F8"/>
    <w:rsid w:val="54173C20"/>
    <w:rsid w:val="54456251"/>
    <w:rsid w:val="549B5123"/>
    <w:rsid w:val="549D3EDA"/>
    <w:rsid w:val="54A37489"/>
    <w:rsid w:val="54BE3276"/>
    <w:rsid w:val="54CD636F"/>
    <w:rsid w:val="54D230A7"/>
    <w:rsid w:val="54D97871"/>
    <w:rsid w:val="54F41827"/>
    <w:rsid w:val="55085F54"/>
    <w:rsid w:val="552E67FE"/>
    <w:rsid w:val="55905B63"/>
    <w:rsid w:val="55C91F37"/>
    <w:rsid w:val="55D87746"/>
    <w:rsid w:val="56162114"/>
    <w:rsid w:val="56243C73"/>
    <w:rsid w:val="56500F9C"/>
    <w:rsid w:val="56581F4A"/>
    <w:rsid w:val="565D6AA3"/>
    <w:rsid w:val="569E2635"/>
    <w:rsid w:val="56E638B9"/>
    <w:rsid w:val="56EF4397"/>
    <w:rsid w:val="56F07F1B"/>
    <w:rsid w:val="57271542"/>
    <w:rsid w:val="572F6536"/>
    <w:rsid w:val="576B1CEC"/>
    <w:rsid w:val="57C806E0"/>
    <w:rsid w:val="57DF5A44"/>
    <w:rsid w:val="58072DBF"/>
    <w:rsid w:val="580813C9"/>
    <w:rsid w:val="58124EC1"/>
    <w:rsid w:val="5814328A"/>
    <w:rsid w:val="58215286"/>
    <w:rsid w:val="583358A1"/>
    <w:rsid w:val="583D1B3A"/>
    <w:rsid w:val="5843079C"/>
    <w:rsid w:val="58843DCD"/>
    <w:rsid w:val="58C12AF6"/>
    <w:rsid w:val="58DC73F6"/>
    <w:rsid w:val="59A67821"/>
    <w:rsid w:val="59BA53AA"/>
    <w:rsid w:val="59CE3372"/>
    <w:rsid w:val="59D604EA"/>
    <w:rsid w:val="59DF6CB7"/>
    <w:rsid w:val="59E92304"/>
    <w:rsid w:val="59F052CB"/>
    <w:rsid w:val="59F12E2C"/>
    <w:rsid w:val="59F40CA9"/>
    <w:rsid w:val="5A03022A"/>
    <w:rsid w:val="5A185964"/>
    <w:rsid w:val="5A623725"/>
    <w:rsid w:val="5A842328"/>
    <w:rsid w:val="5A902992"/>
    <w:rsid w:val="5AA951FB"/>
    <w:rsid w:val="5AAC4C26"/>
    <w:rsid w:val="5AAE70AA"/>
    <w:rsid w:val="5AC661A1"/>
    <w:rsid w:val="5B0A0E01"/>
    <w:rsid w:val="5B247C65"/>
    <w:rsid w:val="5B265085"/>
    <w:rsid w:val="5B2734F8"/>
    <w:rsid w:val="5B7276DE"/>
    <w:rsid w:val="5B7B192C"/>
    <w:rsid w:val="5BAC183B"/>
    <w:rsid w:val="5BAE7BDD"/>
    <w:rsid w:val="5BB469F2"/>
    <w:rsid w:val="5BBF21BB"/>
    <w:rsid w:val="5BE865EB"/>
    <w:rsid w:val="5BF4371C"/>
    <w:rsid w:val="5C133668"/>
    <w:rsid w:val="5C3F6B34"/>
    <w:rsid w:val="5C576978"/>
    <w:rsid w:val="5C6E5BE7"/>
    <w:rsid w:val="5C8212DD"/>
    <w:rsid w:val="5C8A6FAF"/>
    <w:rsid w:val="5CD06A08"/>
    <w:rsid w:val="5CE44548"/>
    <w:rsid w:val="5CEA3A89"/>
    <w:rsid w:val="5D2053D0"/>
    <w:rsid w:val="5D3715D8"/>
    <w:rsid w:val="5D4C5837"/>
    <w:rsid w:val="5D526440"/>
    <w:rsid w:val="5D857E5B"/>
    <w:rsid w:val="5DA13666"/>
    <w:rsid w:val="5DE300F0"/>
    <w:rsid w:val="5E227AB4"/>
    <w:rsid w:val="5E2D7688"/>
    <w:rsid w:val="5E7D1AF4"/>
    <w:rsid w:val="5E97465C"/>
    <w:rsid w:val="5ED05841"/>
    <w:rsid w:val="5EF746DD"/>
    <w:rsid w:val="5F235FF8"/>
    <w:rsid w:val="5F265E0D"/>
    <w:rsid w:val="5F447B38"/>
    <w:rsid w:val="5F656A70"/>
    <w:rsid w:val="5F972F55"/>
    <w:rsid w:val="5FB76A00"/>
    <w:rsid w:val="5FC45415"/>
    <w:rsid w:val="60132125"/>
    <w:rsid w:val="601B6F8F"/>
    <w:rsid w:val="60300E07"/>
    <w:rsid w:val="60305BBF"/>
    <w:rsid w:val="603900B6"/>
    <w:rsid w:val="60452CD4"/>
    <w:rsid w:val="605F7D0B"/>
    <w:rsid w:val="609031F0"/>
    <w:rsid w:val="60971748"/>
    <w:rsid w:val="60A9459B"/>
    <w:rsid w:val="60AC0902"/>
    <w:rsid w:val="60AF724E"/>
    <w:rsid w:val="60C738B3"/>
    <w:rsid w:val="60EA72C2"/>
    <w:rsid w:val="60F66899"/>
    <w:rsid w:val="6132072D"/>
    <w:rsid w:val="614D1968"/>
    <w:rsid w:val="616E1341"/>
    <w:rsid w:val="617E4F31"/>
    <w:rsid w:val="617F39BA"/>
    <w:rsid w:val="6191216D"/>
    <w:rsid w:val="61FF6426"/>
    <w:rsid w:val="62182854"/>
    <w:rsid w:val="627E3805"/>
    <w:rsid w:val="629278A4"/>
    <w:rsid w:val="629A6DC2"/>
    <w:rsid w:val="629E79A6"/>
    <w:rsid w:val="62C35E0C"/>
    <w:rsid w:val="62FA37AD"/>
    <w:rsid w:val="634C2AB2"/>
    <w:rsid w:val="637919F5"/>
    <w:rsid w:val="63814A0F"/>
    <w:rsid w:val="63A37A15"/>
    <w:rsid w:val="63B84AF5"/>
    <w:rsid w:val="63BA261B"/>
    <w:rsid w:val="63D27965"/>
    <w:rsid w:val="63D3713E"/>
    <w:rsid w:val="63EA71A6"/>
    <w:rsid w:val="6427228D"/>
    <w:rsid w:val="6429154F"/>
    <w:rsid w:val="64482014"/>
    <w:rsid w:val="645133F4"/>
    <w:rsid w:val="64644E3F"/>
    <w:rsid w:val="64645192"/>
    <w:rsid w:val="64A745F9"/>
    <w:rsid w:val="64AC5DA7"/>
    <w:rsid w:val="64B41760"/>
    <w:rsid w:val="64BE25DF"/>
    <w:rsid w:val="64D126C0"/>
    <w:rsid w:val="64D2735F"/>
    <w:rsid w:val="64EC58CB"/>
    <w:rsid w:val="64EE6A20"/>
    <w:rsid w:val="64F44B24"/>
    <w:rsid w:val="65232C07"/>
    <w:rsid w:val="6542134F"/>
    <w:rsid w:val="654C587B"/>
    <w:rsid w:val="65531B6B"/>
    <w:rsid w:val="655F4C8C"/>
    <w:rsid w:val="65690359"/>
    <w:rsid w:val="656C64A8"/>
    <w:rsid w:val="6593323C"/>
    <w:rsid w:val="65A70610"/>
    <w:rsid w:val="65B17A4E"/>
    <w:rsid w:val="66095007"/>
    <w:rsid w:val="6665383E"/>
    <w:rsid w:val="66783C17"/>
    <w:rsid w:val="66BB7997"/>
    <w:rsid w:val="66CB62AD"/>
    <w:rsid w:val="66D6449E"/>
    <w:rsid w:val="6700576E"/>
    <w:rsid w:val="670112A2"/>
    <w:rsid w:val="67017E51"/>
    <w:rsid w:val="672D03CC"/>
    <w:rsid w:val="673104A4"/>
    <w:rsid w:val="673C4834"/>
    <w:rsid w:val="674F3FE4"/>
    <w:rsid w:val="67547D52"/>
    <w:rsid w:val="67673E31"/>
    <w:rsid w:val="67830B73"/>
    <w:rsid w:val="67AD2490"/>
    <w:rsid w:val="67C85E43"/>
    <w:rsid w:val="68240041"/>
    <w:rsid w:val="682B1E24"/>
    <w:rsid w:val="683218D8"/>
    <w:rsid w:val="6868580A"/>
    <w:rsid w:val="6897117D"/>
    <w:rsid w:val="68A067D3"/>
    <w:rsid w:val="68A52293"/>
    <w:rsid w:val="68C82FB8"/>
    <w:rsid w:val="68FF519A"/>
    <w:rsid w:val="693863B9"/>
    <w:rsid w:val="695F613F"/>
    <w:rsid w:val="698C4A5A"/>
    <w:rsid w:val="69BD1863"/>
    <w:rsid w:val="69C641B4"/>
    <w:rsid w:val="69CD0E9B"/>
    <w:rsid w:val="69DE2989"/>
    <w:rsid w:val="69F148BD"/>
    <w:rsid w:val="69F952F7"/>
    <w:rsid w:val="6A117856"/>
    <w:rsid w:val="6A17089E"/>
    <w:rsid w:val="6A2A463F"/>
    <w:rsid w:val="6A3D61C1"/>
    <w:rsid w:val="6A637797"/>
    <w:rsid w:val="6A697E7E"/>
    <w:rsid w:val="6A701C86"/>
    <w:rsid w:val="6A720342"/>
    <w:rsid w:val="6A7E1356"/>
    <w:rsid w:val="6A80573A"/>
    <w:rsid w:val="6AA05DE8"/>
    <w:rsid w:val="6AC029A6"/>
    <w:rsid w:val="6B362FDC"/>
    <w:rsid w:val="6B4B7F47"/>
    <w:rsid w:val="6B56531F"/>
    <w:rsid w:val="6B5E5F82"/>
    <w:rsid w:val="6B7B306B"/>
    <w:rsid w:val="6B8E4C7C"/>
    <w:rsid w:val="6BBE46EC"/>
    <w:rsid w:val="6BD702F7"/>
    <w:rsid w:val="6C135DF1"/>
    <w:rsid w:val="6C24541E"/>
    <w:rsid w:val="6C475311"/>
    <w:rsid w:val="6C5F5ECA"/>
    <w:rsid w:val="6C892AA3"/>
    <w:rsid w:val="6CA364AD"/>
    <w:rsid w:val="6CAA7BDE"/>
    <w:rsid w:val="6CD009DE"/>
    <w:rsid w:val="6CDF1345"/>
    <w:rsid w:val="6CFB410E"/>
    <w:rsid w:val="6D013069"/>
    <w:rsid w:val="6D502C59"/>
    <w:rsid w:val="6D5658D0"/>
    <w:rsid w:val="6D7722D8"/>
    <w:rsid w:val="6D77332B"/>
    <w:rsid w:val="6D7D7FE4"/>
    <w:rsid w:val="6D8C27DA"/>
    <w:rsid w:val="6DB77BCC"/>
    <w:rsid w:val="6DDD793E"/>
    <w:rsid w:val="6DFA7B62"/>
    <w:rsid w:val="6E090B82"/>
    <w:rsid w:val="6E175675"/>
    <w:rsid w:val="6E1D0376"/>
    <w:rsid w:val="6E2558DD"/>
    <w:rsid w:val="6E3336F6"/>
    <w:rsid w:val="6E4F28ED"/>
    <w:rsid w:val="6E4F7938"/>
    <w:rsid w:val="6E510280"/>
    <w:rsid w:val="6E52683F"/>
    <w:rsid w:val="6E5544B3"/>
    <w:rsid w:val="6E7E2087"/>
    <w:rsid w:val="6E9817AB"/>
    <w:rsid w:val="6EB379BB"/>
    <w:rsid w:val="6EBE5B7B"/>
    <w:rsid w:val="6EDA6DB9"/>
    <w:rsid w:val="6EE251B7"/>
    <w:rsid w:val="6F13029F"/>
    <w:rsid w:val="6F3E6A6C"/>
    <w:rsid w:val="6F603A78"/>
    <w:rsid w:val="6F61746A"/>
    <w:rsid w:val="6FA13BC5"/>
    <w:rsid w:val="6FAB550E"/>
    <w:rsid w:val="6FB55214"/>
    <w:rsid w:val="6FEB1E08"/>
    <w:rsid w:val="70096AAF"/>
    <w:rsid w:val="70293BA6"/>
    <w:rsid w:val="70433BF4"/>
    <w:rsid w:val="706F62CF"/>
    <w:rsid w:val="708E10B8"/>
    <w:rsid w:val="7091053D"/>
    <w:rsid w:val="70A3646E"/>
    <w:rsid w:val="71292EF3"/>
    <w:rsid w:val="712C51F9"/>
    <w:rsid w:val="713447F3"/>
    <w:rsid w:val="713B031A"/>
    <w:rsid w:val="715F7294"/>
    <w:rsid w:val="717103E7"/>
    <w:rsid w:val="71796BF8"/>
    <w:rsid w:val="71982DFA"/>
    <w:rsid w:val="71AA3CCF"/>
    <w:rsid w:val="71BE1ED9"/>
    <w:rsid w:val="71BF337A"/>
    <w:rsid w:val="71CC00E9"/>
    <w:rsid w:val="71DD0E59"/>
    <w:rsid w:val="720802A1"/>
    <w:rsid w:val="722476AD"/>
    <w:rsid w:val="72275320"/>
    <w:rsid w:val="72556331"/>
    <w:rsid w:val="725B070B"/>
    <w:rsid w:val="72B148D3"/>
    <w:rsid w:val="72DD0A4B"/>
    <w:rsid w:val="73045661"/>
    <w:rsid w:val="73052B03"/>
    <w:rsid w:val="730A1B38"/>
    <w:rsid w:val="736B6396"/>
    <w:rsid w:val="737F4571"/>
    <w:rsid w:val="73934371"/>
    <w:rsid w:val="73A148F7"/>
    <w:rsid w:val="73A750C7"/>
    <w:rsid w:val="73B328BF"/>
    <w:rsid w:val="73B928EF"/>
    <w:rsid w:val="73E177AA"/>
    <w:rsid w:val="73EF0CD8"/>
    <w:rsid w:val="7413442C"/>
    <w:rsid w:val="742425F0"/>
    <w:rsid w:val="74355BBC"/>
    <w:rsid w:val="744C72C0"/>
    <w:rsid w:val="745836FE"/>
    <w:rsid w:val="746F188F"/>
    <w:rsid w:val="74813C77"/>
    <w:rsid w:val="74AF5AA0"/>
    <w:rsid w:val="74DE4FB2"/>
    <w:rsid w:val="74F327E9"/>
    <w:rsid w:val="751A54BB"/>
    <w:rsid w:val="751D0C5C"/>
    <w:rsid w:val="751D1514"/>
    <w:rsid w:val="7550406E"/>
    <w:rsid w:val="758A5521"/>
    <w:rsid w:val="7595589D"/>
    <w:rsid w:val="75A057C0"/>
    <w:rsid w:val="75E759FA"/>
    <w:rsid w:val="75F37588"/>
    <w:rsid w:val="766D0E9A"/>
    <w:rsid w:val="767A43A1"/>
    <w:rsid w:val="7682521B"/>
    <w:rsid w:val="769431A0"/>
    <w:rsid w:val="76B44DAC"/>
    <w:rsid w:val="76F05C44"/>
    <w:rsid w:val="76F14794"/>
    <w:rsid w:val="770164D0"/>
    <w:rsid w:val="77066657"/>
    <w:rsid w:val="774263D8"/>
    <w:rsid w:val="775E21A8"/>
    <w:rsid w:val="777D5430"/>
    <w:rsid w:val="77900483"/>
    <w:rsid w:val="77960875"/>
    <w:rsid w:val="77BE32A6"/>
    <w:rsid w:val="77D36990"/>
    <w:rsid w:val="77F5546E"/>
    <w:rsid w:val="780436BA"/>
    <w:rsid w:val="78046CDA"/>
    <w:rsid w:val="78300436"/>
    <w:rsid w:val="783F500A"/>
    <w:rsid w:val="784604CA"/>
    <w:rsid w:val="7849283F"/>
    <w:rsid w:val="784B7055"/>
    <w:rsid w:val="78816BFF"/>
    <w:rsid w:val="788D56EB"/>
    <w:rsid w:val="78B418D7"/>
    <w:rsid w:val="78F00C72"/>
    <w:rsid w:val="791B4E4B"/>
    <w:rsid w:val="79280B8E"/>
    <w:rsid w:val="792C3B64"/>
    <w:rsid w:val="794B66E5"/>
    <w:rsid w:val="794E76B6"/>
    <w:rsid w:val="79674B9C"/>
    <w:rsid w:val="79834547"/>
    <w:rsid w:val="79951709"/>
    <w:rsid w:val="79CD489C"/>
    <w:rsid w:val="7A3428EF"/>
    <w:rsid w:val="7A575506"/>
    <w:rsid w:val="7A670FD3"/>
    <w:rsid w:val="7A735A85"/>
    <w:rsid w:val="7A773C99"/>
    <w:rsid w:val="7A907898"/>
    <w:rsid w:val="7A9B1BF0"/>
    <w:rsid w:val="7AB14320"/>
    <w:rsid w:val="7AD54FD2"/>
    <w:rsid w:val="7AF707E3"/>
    <w:rsid w:val="7B08681B"/>
    <w:rsid w:val="7B185926"/>
    <w:rsid w:val="7B1D2AA6"/>
    <w:rsid w:val="7B2D3902"/>
    <w:rsid w:val="7B343C00"/>
    <w:rsid w:val="7B613E3B"/>
    <w:rsid w:val="7BB87DB7"/>
    <w:rsid w:val="7BC7248A"/>
    <w:rsid w:val="7BDB2640"/>
    <w:rsid w:val="7BF01093"/>
    <w:rsid w:val="7BFB487C"/>
    <w:rsid w:val="7BFD3595"/>
    <w:rsid w:val="7C08581E"/>
    <w:rsid w:val="7C0B79BA"/>
    <w:rsid w:val="7C274BD1"/>
    <w:rsid w:val="7C3B12D4"/>
    <w:rsid w:val="7C434EEC"/>
    <w:rsid w:val="7C8C3864"/>
    <w:rsid w:val="7C947593"/>
    <w:rsid w:val="7CBA0E3A"/>
    <w:rsid w:val="7D381B95"/>
    <w:rsid w:val="7D76724B"/>
    <w:rsid w:val="7D825C8A"/>
    <w:rsid w:val="7DEA076A"/>
    <w:rsid w:val="7E196EF9"/>
    <w:rsid w:val="7E207DE9"/>
    <w:rsid w:val="7E4B38AE"/>
    <w:rsid w:val="7E537973"/>
    <w:rsid w:val="7E573431"/>
    <w:rsid w:val="7E674B7E"/>
    <w:rsid w:val="7E9B63F4"/>
    <w:rsid w:val="7EB53AF4"/>
    <w:rsid w:val="7EC07E3A"/>
    <w:rsid w:val="7EC75AE6"/>
    <w:rsid w:val="7ED71E7C"/>
    <w:rsid w:val="7EFA3AC0"/>
    <w:rsid w:val="7F0A0B9F"/>
    <w:rsid w:val="7F413799"/>
    <w:rsid w:val="7F6125A9"/>
    <w:rsid w:val="7F6E7D32"/>
    <w:rsid w:val="7F7F2C3F"/>
    <w:rsid w:val="7F991708"/>
    <w:rsid w:val="7FA446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6"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pageBreakBefore w:val="0"/>
      <w:widowControl w:val="0"/>
      <w:kinsoku/>
      <w:wordWrap/>
      <w:overflowPunct/>
      <w:topLinePunct w:val="0"/>
      <w:autoSpaceDE/>
      <w:autoSpaceDN/>
      <w:bidi w:val="0"/>
      <w:adjustRightInd/>
      <w:snapToGrid/>
      <w:spacing w:line="360" w:lineRule="auto"/>
      <w:ind w:firstLine="1040" w:firstLineChars="200"/>
      <w:jc w:val="both"/>
      <w:textAlignment w:val="auto"/>
    </w:pPr>
    <w:rPr>
      <w:rFonts w:ascii="Times New Roman" w:hAnsi="Times New Roman" w:eastAsia="宋体" w:cs="宋体"/>
      <w:kern w:val="2"/>
      <w:sz w:val="24"/>
      <w:szCs w:val="24"/>
      <w:lang w:val="en-US" w:eastAsia="zh-CN" w:bidi="ar-SA"/>
    </w:rPr>
  </w:style>
  <w:style w:type="paragraph" w:styleId="2">
    <w:name w:val="heading 1"/>
    <w:basedOn w:val="1"/>
    <w:next w:val="1"/>
    <w:autoRedefine/>
    <w:qFormat/>
    <w:uiPriority w:val="0"/>
    <w:pPr>
      <w:numPr>
        <w:ilvl w:val="0"/>
        <w:numId w:val="1"/>
      </w:numPr>
      <w:spacing w:after="165" w:afterLines="50"/>
      <w:ind w:left="432" w:hanging="432" w:firstLineChars="0"/>
      <w:jc w:val="center"/>
      <w:outlineLvl w:val="0"/>
    </w:pPr>
    <w:rPr>
      <w:rFonts w:ascii="黑体" w:hAnsi="黑体" w:eastAsia="黑体" w:cs="黑体"/>
      <w:sz w:val="30"/>
      <w:szCs w:val="30"/>
    </w:rPr>
  </w:style>
  <w:style w:type="paragraph" w:styleId="3">
    <w:name w:val="heading 2"/>
    <w:basedOn w:val="1"/>
    <w:next w:val="1"/>
    <w:autoRedefine/>
    <w:unhideWhenUsed/>
    <w:qFormat/>
    <w:uiPriority w:val="0"/>
    <w:pPr>
      <w:numPr>
        <w:ilvl w:val="1"/>
        <w:numId w:val="1"/>
      </w:numPr>
      <w:ind w:left="418" w:hanging="380" w:firstLineChars="0"/>
      <w:outlineLvl w:val="1"/>
    </w:pPr>
    <w:rPr>
      <w:sz w:val="24"/>
    </w:rPr>
  </w:style>
  <w:style w:type="paragraph" w:styleId="4">
    <w:name w:val="heading 3"/>
    <w:basedOn w:val="1"/>
    <w:next w:val="1"/>
    <w:autoRedefine/>
    <w:unhideWhenUsed/>
    <w:qFormat/>
    <w:uiPriority w:val="0"/>
    <w:pPr>
      <w:keepNext/>
      <w:keepLines/>
      <w:numPr>
        <w:ilvl w:val="2"/>
        <w:numId w:val="1"/>
      </w:numPr>
      <w:tabs>
        <w:tab w:val="left" w:pos="420"/>
      </w:tabs>
      <w:spacing w:before="50" w:beforeLines="50" w:beforeAutospacing="0" w:after="50" w:afterLines="50" w:afterAutospacing="0" w:line="360" w:lineRule="auto"/>
      <w:ind w:left="720" w:hanging="720" w:firstLineChars="0"/>
      <w:jc w:val="left"/>
      <w:outlineLvl w:val="2"/>
    </w:pPr>
    <w:rPr>
      <w:rFonts w:eastAsia="黑体"/>
      <w:sz w:val="30"/>
    </w:rPr>
  </w:style>
  <w:style w:type="paragraph" w:styleId="5">
    <w:name w:val="heading 4"/>
    <w:basedOn w:val="1"/>
    <w:next w:val="1"/>
    <w:autoRedefine/>
    <w:unhideWhenUsed/>
    <w:qFormat/>
    <w:uiPriority w:val="0"/>
    <w:pPr>
      <w:keepNext/>
      <w:keepLines/>
      <w:numPr>
        <w:ilvl w:val="3"/>
        <w:numId w:val="1"/>
      </w:numPr>
      <w:spacing w:before="280" w:beforeLines="0" w:beforeAutospacing="0" w:after="290" w:afterLines="0" w:afterAutospacing="0" w:line="372" w:lineRule="auto"/>
      <w:ind w:left="864" w:hanging="864" w:firstLineChars="0"/>
      <w:outlineLvl w:val="3"/>
    </w:pPr>
    <w:rPr>
      <w:rFonts w:ascii="Arial" w:hAnsi="Arial" w:eastAsia="黑体"/>
      <w:b/>
      <w:sz w:val="28"/>
    </w:rPr>
  </w:style>
  <w:style w:type="paragraph" w:styleId="6">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7">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51" w:hanging="1151" w:firstLineChars="0"/>
      <w:outlineLvl w:val="5"/>
    </w:pPr>
    <w:rPr>
      <w:rFonts w:ascii="Arial" w:hAnsi="Arial" w:eastAsia="黑体"/>
      <w:b/>
      <w:sz w:val="24"/>
    </w:rPr>
  </w:style>
  <w:style w:type="paragraph" w:styleId="8">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9">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0">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35">
    <w:name w:val="Default Paragraph Font"/>
    <w:autoRedefine/>
    <w:semiHidden/>
    <w:qFormat/>
    <w:uiPriority w:val="0"/>
  </w:style>
  <w:style w:type="table" w:default="1" w:styleId="33">
    <w:name w:val="Normal Table"/>
    <w:autoRedefine/>
    <w:semiHidden/>
    <w:qFormat/>
    <w:uiPriority w:val="0"/>
    <w:tblPr>
      <w:tblCellMar>
        <w:top w:w="0" w:type="dxa"/>
        <w:left w:w="108" w:type="dxa"/>
        <w:bottom w:w="0" w:type="dxa"/>
        <w:right w:w="108" w:type="dxa"/>
      </w:tblCellMar>
    </w:tblPr>
  </w:style>
  <w:style w:type="paragraph" w:styleId="11">
    <w:name w:val="Normal Indent"/>
    <w:basedOn w:val="1"/>
    <w:qFormat/>
    <w:uiPriority w:val="7"/>
    <w:pPr>
      <w:ind w:firstLine="420"/>
    </w:pPr>
    <w:rPr>
      <w:kern w:val="1"/>
    </w:rPr>
  </w:style>
  <w:style w:type="paragraph" w:styleId="12">
    <w:name w:val="caption"/>
    <w:basedOn w:val="1"/>
    <w:next w:val="1"/>
    <w:link w:val="45"/>
    <w:autoRedefine/>
    <w:unhideWhenUsed/>
    <w:qFormat/>
    <w:uiPriority w:val="0"/>
    <w:pPr>
      <w:keepNext w:val="0"/>
      <w:keepLines w:val="0"/>
      <w:pageBreakBefore w:val="0"/>
      <w:widowControl/>
      <w:kinsoku/>
      <w:wordWrap/>
      <w:overflowPunct/>
      <w:topLinePunct w:val="0"/>
      <w:autoSpaceDE/>
      <w:autoSpaceDN/>
      <w:bidi w:val="0"/>
      <w:adjustRightInd/>
      <w:snapToGrid/>
      <w:spacing w:line="240" w:lineRule="auto"/>
      <w:jc w:val="center"/>
      <w:textAlignment w:val="auto"/>
    </w:pPr>
    <w:rPr>
      <w:rFonts w:ascii="Times New Roman" w:hAnsi="Times New Roman" w:eastAsia="宋体" w:cs="Times New Roman"/>
      <w:b/>
      <w:bCs/>
      <w:color w:val="auto"/>
      <w:kern w:val="2"/>
      <w:sz w:val="21"/>
      <w:szCs w:val="24"/>
      <w:highlight w:val="none"/>
      <w:lang w:val="en-US" w:eastAsia="zh-CN" w:bidi="ar"/>
    </w:rPr>
  </w:style>
  <w:style w:type="paragraph" w:styleId="13">
    <w:name w:val="annotation text"/>
    <w:basedOn w:val="1"/>
    <w:semiHidden/>
    <w:qFormat/>
    <w:uiPriority w:val="0"/>
    <w:pPr>
      <w:jc w:val="left"/>
    </w:pPr>
    <w:rPr>
      <w:kern w:val="0"/>
      <w:sz w:val="24"/>
      <w:szCs w:val="20"/>
    </w:rPr>
  </w:style>
  <w:style w:type="paragraph" w:styleId="14">
    <w:name w:val="Body Text"/>
    <w:basedOn w:val="1"/>
    <w:next w:val="15"/>
    <w:qFormat/>
    <w:uiPriority w:val="1"/>
    <w:rPr>
      <w:sz w:val="24"/>
      <w:szCs w:val="24"/>
    </w:rPr>
  </w:style>
  <w:style w:type="paragraph" w:styleId="15">
    <w:name w:val="Plain Text"/>
    <w:basedOn w:val="1"/>
    <w:qFormat/>
    <w:uiPriority w:val="6"/>
    <w:pPr>
      <w:jc w:val="center"/>
    </w:pPr>
    <w:rPr>
      <w:rFonts w:cs="Courier New"/>
      <w:kern w:val="1"/>
      <w:szCs w:val="20"/>
    </w:rPr>
  </w:style>
  <w:style w:type="paragraph" w:styleId="16">
    <w:name w:val="Body Text Indent"/>
    <w:basedOn w:val="1"/>
    <w:qFormat/>
    <w:uiPriority w:val="0"/>
    <w:pPr>
      <w:spacing w:after="120"/>
      <w:ind w:left="420" w:leftChars="200"/>
    </w:pPr>
    <w:rPr>
      <w:kern w:val="0"/>
      <w:sz w:val="24"/>
      <w:szCs w:val="20"/>
    </w:rPr>
  </w:style>
  <w:style w:type="paragraph" w:styleId="17">
    <w:name w:val="Block Text"/>
    <w:basedOn w:val="1"/>
    <w:next w:val="18"/>
    <w:qFormat/>
    <w:uiPriority w:val="0"/>
    <w:pPr>
      <w:keepNext w:val="0"/>
      <w:keepLines w:val="0"/>
      <w:widowControl w:val="0"/>
      <w:suppressLineNumbers w:val="0"/>
      <w:snapToGrid w:val="0"/>
      <w:spacing w:before="0" w:beforeAutospacing="0" w:after="0" w:afterAutospacing="0" w:line="420" w:lineRule="exact"/>
      <w:ind w:left="101" w:leftChars="48" w:right="149" w:rightChars="71" w:firstLine="426" w:firstLineChars="202"/>
      <w:jc w:val="both"/>
    </w:pPr>
    <w:rPr>
      <w:rFonts w:hint="default" w:ascii="Times New Roman" w:hAnsi="Times New Roman" w:eastAsia="宋体" w:cs="Times New Roman"/>
      <w:kern w:val="2"/>
      <w:sz w:val="21"/>
      <w:szCs w:val="24"/>
      <w:lang w:val="en-US" w:eastAsia="zh-CN" w:bidi="ar"/>
    </w:rPr>
  </w:style>
  <w:style w:type="paragraph" w:styleId="18">
    <w:name w:val="List Paragraph"/>
    <w:basedOn w:val="1"/>
    <w:next w:val="19"/>
    <w:qFormat/>
    <w:uiPriority w:val="1"/>
    <w:pPr>
      <w:ind w:firstLine="420" w:firstLineChars="200"/>
    </w:pPr>
  </w:style>
  <w:style w:type="paragraph" w:customStyle="1" w:styleId="19">
    <w:name w:val="居中正文"/>
    <w:basedOn w:val="20"/>
    <w:next w:val="16"/>
    <w:qFormat/>
    <w:uiPriority w:val="0"/>
    <w:pPr>
      <w:widowControl w:val="0"/>
      <w:spacing w:before="120" w:line="360" w:lineRule="auto"/>
      <w:jc w:val="center"/>
    </w:pPr>
    <w:rPr>
      <w:sz w:val="24"/>
      <w:lang w:val="en-US"/>
    </w:rPr>
  </w:style>
  <w:style w:type="paragraph" w:styleId="20">
    <w:name w:val="Body Text First Indent"/>
    <w:basedOn w:val="14"/>
    <w:unhideWhenUsed/>
    <w:qFormat/>
    <w:uiPriority w:val="0"/>
    <w:pPr>
      <w:spacing w:before="50" w:beforeLines="50" w:afterLines="50"/>
      <w:ind w:firstLine="420" w:firstLineChars="100"/>
    </w:pPr>
    <w:rPr>
      <w:b/>
      <w:sz w:val="24"/>
    </w:rPr>
  </w:style>
  <w:style w:type="paragraph" w:styleId="21">
    <w:name w:val="footer"/>
    <w:basedOn w:val="1"/>
    <w:qFormat/>
    <w:uiPriority w:val="0"/>
    <w:pPr>
      <w:tabs>
        <w:tab w:val="center" w:pos="4153"/>
        <w:tab w:val="right" w:pos="8306"/>
      </w:tabs>
      <w:snapToGrid w:val="0"/>
      <w:ind w:firstLine="0" w:firstLineChars="0"/>
      <w:jc w:val="left"/>
    </w:pPr>
    <w:rPr>
      <w:rFonts w:ascii="Times New Roman" w:hAnsi="Times New Roman" w:eastAsia="宋体"/>
      <w:sz w:val="21"/>
    </w:rPr>
  </w:style>
  <w:style w:type="paragraph" w:styleId="2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0" w:firstLineChars="0"/>
      <w:jc w:val="both"/>
      <w:outlineLvl w:val="9"/>
    </w:pPr>
    <w:rPr>
      <w:rFonts w:ascii="Times New Roman" w:hAnsi="Times New Roman" w:eastAsia="宋体"/>
      <w:sz w:val="21"/>
    </w:rPr>
  </w:style>
  <w:style w:type="paragraph" w:styleId="23">
    <w:name w:val="toc 1"/>
    <w:basedOn w:val="1"/>
    <w:next w:val="1"/>
    <w:qFormat/>
    <w:uiPriority w:val="0"/>
  </w:style>
  <w:style w:type="paragraph" w:styleId="24">
    <w:name w:val="Subtitle"/>
    <w:basedOn w:val="1"/>
    <w:next w:val="1"/>
    <w:autoRedefine/>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25">
    <w:name w:val="List"/>
    <w:basedOn w:val="1"/>
    <w:qFormat/>
    <w:uiPriority w:val="0"/>
    <w:pPr>
      <w:spacing w:line="360" w:lineRule="exact"/>
      <w:jc w:val="center"/>
    </w:pPr>
    <w:rPr>
      <w:rFonts w:ascii="宋体" w:hAnsi="宋体"/>
    </w:rPr>
  </w:style>
  <w:style w:type="paragraph" w:styleId="26">
    <w:name w:val="toc 2"/>
    <w:basedOn w:val="1"/>
    <w:next w:val="1"/>
    <w:qFormat/>
    <w:uiPriority w:val="0"/>
    <w:pPr>
      <w:ind w:left="420" w:leftChars="200"/>
    </w:pPr>
  </w:style>
  <w:style w:type="paragraph" w:styleId="2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8">
    <w:name w:val="Body Text First Indent 2"/>
    <w:basedOn w:val="16"/>
    <w:next w:val="29"/>
    <w:qFormat/>
    <w:uiPriority w:val="0"/>
    <w:pPr>
      <w:keepNext w:val="0"/>
      <w:keepLines w:val="0"/>
      <w:widowControl w:val="0"/>
      <w:suppressLineNumbers w:val="0"/>
      <w:spacing w:before="0" w:beforeAutospacing="0" w:after="120" w:afterAutospacing="0"/>
      <w:ind w:left="420" w:leftChars="200" w:right="0" w:firstLine="420" w:firstLineChars="200"/>
      <w:jc w:val="both"/>
    </w:pPr>
    <w:rPr>
      <w:sz w:val="21"/>
      <w:szCs w:val="24"/>
    </w:rPr>
  </w:style>
  <w:style w:type="paragraph" w:customStyle="1" w:styleId="29">
    <w:name w:val="Default"/>
    <w:basedOn w:val="30"/>
    <w:next w:val="31"/>
    <w:qFormat/>
    <w:uiPriority w:val="6"/>
    <w:rPr>
      <w:rFonts w:ascii="楷体" w:hAnsi="楷体" w:eastAsia="楷体" w:cs="楷体"/>
      <w:color w:val="000000"/>
      <w:sz w:val="24"/>
      <w:szCs w:val="24"/>
    </w:rPr>
  </w:style>
  <w:style w:type="paragraph" w:customStyle="1" w:styleId="30">
    <w:name w:val="纯文本1"/>
    <w:basedOn w:val="1"/>
    <w:qFormat/>
    <w:uiPriority w:val="0"/>
    <w:pPr>
      <w:adjustRightInd w:val="0"/>
      <w:textAlignment w:val="baseline"/>
    </w:pPr>
    <w:rPr>
      <w:rFonts w:hAnsi="Courier New" w:eastAsia="仿宋_GB2312" w:cs="Times New Roman"/>
      <w:sz w:val="28"/>
      <w:szCs w:val="21"/>
    </w:rPr>
  </w:style>
  <w:style w:type="paragraph" w:customStyle="1" w:styleId="31">
    <w:name w:val="表格文字"/>
    <w:basedOn w:val="32"/>
    <w:next w:val="1"/>
    <w:qFormat/>
    <w:uiPriority w:val="0"/>
    <w:pPr>
      <w:tabs>
        <w:tab w:val="left" w:pos="0"/>
        <w:tab w:val="left" w:pos="1841"/>
      </w:tabs>
      <w:spacing w:line="480" w:lineRule="exact"/>
      <w:jc w:val="center"/>
    </w:pPr>
    <w:rPr>
      <w:kern w:val="1"/>
      <w:sz w:val="24"/>
      <w:szCs w:val="20"/>
    </w:rPr>
  </w:style>
  <w:style w:type="paragraph" w:customStyle="1" w:styleId="32">
    <w:name w:val="表格标题"/>
    <w:basedOn w:val="15"/>
    <w:next w:val="1"/>
    <w:qFormat/>
    <w:uiPriority w:val="0"/>
    <w:pPr>
      <w:tabs>
        <w:tab w:val="left" w:pos="0"/>
        <w:tab w:val="left" w:pos="1841"/>
      </w:tabs>
      <w:spacing w:beforeLines="50" w:afterLines="50" w:line="360" w:lineRule="auto"/>
      <w:ind w:firstLine="200" w:firstLineChars="200"/>
      <w:jc w:val="left"/>
    </w:pPr>
    <w:rPr>
      <w:rFonts w:ascii="Arial" w:hAnsi="Arial" w:eastAsia="黑体"/>
      <w:b/>
      <w:color w:val="000000"/>
      <w:kern w:val="2"/>
      <w:szCs w:val="22"/>
    </w:rPr>
  </w:style>
  <w:style w:type="table" w:styleId="34">
    <w:name w:val="Table Grid"/>
    <w:basedOn w:val="3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Hyperlink"/>
    <w:basedOn w:val="35"/>
    <w:qFormat/>
    <w:uiPriority w:val="0"/>
    <w:rPr>
      <w:color w:val="0000FF"/>
      <w:u w:val="single"/>
    </w:rPr>
  </w:style>
  <w:style w:type="character" w:styleId="37">
    <w:name w:val="annotation reference"/>
    <w:basedOn w:val="35"/>
    <w:semiHidden/>
    <w:qFormat/>
    <w:uiPriority w:val="0"/>
    <w:rPr>
      <w:sz w:val="21"/>
    </w:rPr>
  </w:style>
  <w:style w:type="paragraph" w:customStyle="1" w:styleId="38">
    <w:name w:val="表头"/>
    <w:basedOn w:val="25"/>
    <w:next w:val="1"/>
    <w:qFormat/>
    <w:uiPriority w:val="0"/>
    <w:pPr>
      <w:spacing w:before="80" w:after="80"/>
      <w:textAlignment w:val="baseline"/>
    </w:pPr>
    <w:rPr>
      <w:rFonts w:ascii="仿宋_GB2312" w:eastAsia="仿宋_GB2312"/>
      <w:kern w:val="0"/>
      <w:szCs w:val="20"/>
    </w:rPr>
  </w:style>
  <w:style w:type="paragraph" w:customStyle="1" w:styleId="39">
    <w:name w:val="封面"/>
    <w:basedOn w:val="1"/>
    <w:autoRedefine/>
    <w:qFormat/>
    <w:uiPriority w:val="0"/>
    <w:rPr>
      <w:rFonts w:ascii="Times New Roman" w:hAnsi="Times New Roman"/>
    </w:rPr>
  </w:style>
  <w:style w:type="paragraph" w:customStyle="1" w:styleId="40">
    <w:name w:val="样式 正文文本缩进 + 行距: 1.5 倍行距"/>
    <w:basedOn w:val="41"/>
    <w:qFormat/>
    <w:uiPriority w:val="0"/>
    <w:pPr>
      <w:spacing w:after="120" w:line="360" w:lineRule="auto"/>
      <w:ind w:left="90" w:leftChars="32" w:firstLine="560" w:firstLineChars="200"/>
    </w:pPr>
    <w:rPr>
      <w:rFonts w:cs="宋体"/>
    </w:rPr>
  </w:style>
  <w:style w:type="paragraph" w:customStyle="1" w:styleId="41">
    <w:name w:val="Body Text Indent"/>
    <w:basedOn w:val="1"/>
    <w:next w:val="40"/>
    <w:qFormat/>
    <w:uiPriority w:val="0"/>
    <w:pPr>
      <w:spacing w:after="120" w:afterLines="0"/>
      <w:ind w:left="420" w:leftChars="200"/>
    </w:pPr>
    <w:rPr>
      <w:rFonts w:ascii="Times New Roman" w:hAnsi="Times New Roman" w:eastAsia="宋体"/>
      <w:sz w:val="24"/>
    </w:rPr>
  </w:style>
  <w:style w:type="paragraph" w:customStyle="1" w:styleId="42">
    <w:name w:val="附件"/>
    <w:basedOn w:val="3"/>
    <w:next w:val="43"/>
    <w:autoRedefine/>
    <w:qFormat/>
    <w:uiPriority w:val="0"/>
    <w:pPr>
      <w:numPr>
        <w:ilvl w:val="0"/>
        <w:numId w:val="2"/>
      </w:numPr>
      <w:tabs>
        <w:tab w:val="left" w:pos="397"/>
        <w:tab w:val="left" w:pos="420"/>
        <w:tab w:val="clear" w:pos="0"/>
      </w:tabs>
      <w:spacing w:beforeLines="0" w:afterLines="0" w:line="240" w:lineRule="auto"/>
      <w:ind w:firstLine="0" w:firstLineChars="0"/>
    </w:pPr>
    <w:rPr>
      <w:rFonts w:ascii="Times New Roman" w:hAnsi="Times New Roman" w:eastAsia="宋体"/>
      <w:b/>
      <w:bCs/>
    </w:rPr>
  </w:style>
  <w:style w:type="paragraph" w:customStyle="1" w:styleId="43">
    <w:name w:val="题注文字"/>
    <w:basedOn w:val="1"/>
    <w:link w:val="46"/>
    <w:autoRedefine/>
    <w:qFormat/>
    <w:uiPriority w:val="0"/>
    <w:pPr>
      <w:widowControl/>
      <w:spacing w:before="0" w:after="0" w:line="240" w:lineRule="auto"/>
      <w:ind w:firstLine="0" w:firstLineChars="0"/>
      <w:jc w:val="center"/>
    </w:pPr>
    <w:rPr>
      <w:rFonts w:ascii="Times New Roman" w:hAnsi="Times New Roman" w:eastAsia="宋体"/>
      <w:sz w:val="21"/>
      <w:szCs w:val="21"/>
      <w:lang w:bidi="ar"/>
    </w:rPr>
  </w:style>
  <w:style w:type="paragraph" w:customStyle="1" w:styleId="44">
    <w:name w:val="附图"/>
    <w:basedOn w:val="3"/>
    <w:qFormat/>
    <w:uiPriority w:val="0"/>
    <w:pPr>
      <w:numPr>
        <w:numId w:val="3"/>
      </w:numPr>
      <w:tabs>
        <w:tab w:val="left" w:pos="0"/>
      </w:tabs>
      <w:spacing w:beforeLines="0" w:afterLines="0" w:line="240" w:lineRule="auto"/>
      <w:ind w:firstLine="0" w:firstLineChars="0"/>
      <w:jc w:val="center"/>
    </w:pPr>
    <w:rPr>
      <w:rFonts w:ascii="Times New Roman" w:hAnsi="Times New Roman" w:eastAsia="宋体"/>
      <w:b/>
      <w:bCs/>
    </w:rPr>
  </w:style>
  <w:style w:type="character" w:customStyle="1" w:styleId="45">
    <w:name w:val="题注 Char"/>
    <w:link w:val="12"/>
    <w:qFormat/>
    <w:uiPriority w:val="0"/>
    <w:rPr>
      <w:rFonts w:ascii="Times New Roman" w:hAnsi="Times New Roman" w:eastAsia="宋体" w:cs="Times New Roman"/>
      <w:b/>
      <w:bCs/>
      <w:color w:val="auto"/>
      <w:kern w:val="2"/>
      <w:sz w:val="21"/>
      <w:szCs w:val="24"/>
      <w:highlight w:val="none"/>
      <w:lang w:val="en-US" w:eastAsia="zh-CN" w:bidi="ar"/>
    </w:rPr>
  </w:style>
  <w:style w:type="character" w:customStyle="1" w:styleId="46">
    <w:name w:val="题注文字 Char"/>
    <w:link w:val="43"/>
    <w:qFormat/>
    <w:uiPriority w:val="0"/>
    <w:rPr>
      <w:rFonts w:ascii="Times New Roman" w:hAnsi="Times New Roman" w:eastAsia="宋体" w:cs="宋体"/>
      <w:kern w:val="28"/>
      <w:sz w:val="21"/>
      <w:szCs w:val="21"/>
      <w:lang w:val="en-US" w:eastAsia="zh-CN" w:bidi="ar"/>
    </w:rPr>
  </w:style>
  <w:style w:type="table" w:customStyle="1" w:styleId="47">
    <w:name w:val="Table Normal"/>
    <w:unhideWhenUsed/>
    <w:qFormat/>
    <w:uiPriority w:val="0"/>
    <w:tblPr>
      <w:tblCellMar>
        <w:top w:w="0" w:type="dxa"/>
        <w:left w:w="0" w:type="dxa"/>
        <w:bottom w:w="0" w:type="dxa"/>
        <w:right w:w="0" w:type="dxa"/>
      </w:tblCellMar>
    </w:tblPr>
  </w:style>
  <w:style w:type="character" w:customStyle="1" w:styleId="48">
    <w:name w:val="font11"/>
    <w:basedOn w:val="35"/>
    <w:qFormat/>
    <w:uiPriority w:val="0"/>
    <w:rPr>
      <w:rFonts w:ascii="宋体" w:hAnsi="宋体" w:eastAsia="宋体" w:cs="宋体"/>
      <w:color w:val="000000"/>
      <w:sz w:val="30"/>
      <w:szCs w:val="30"/>
      <w:u w:val="none"/>
    </w:rPr>
  </w:style>
  <w:style w:type="character" w:customStyle="1" w:styleId="49">
    <w:name w:val="font41"/>
    <w:basedOn w:val="35"/>
    <w:qFormat/>
    <w:uiPriority w:val="0"/>
    <w:rPr>
      <w:rFonts w:ascii="宋体" w:hAnsi="宋体" w:eastAsia="宋体" w:cs="宋体"/>
      <w:color w:val="000000"/>
      <w:sz w:val="32"/>
      <w:szCs w:val="32"/>
      <w:u w:val="none"/>
    </w:rPr>
  </w:style>
  <w:style w:type="paragraph" w:customStyle="1" w:styleId="50">
    <w:name w:val="Table Paragraph"/>
    <w:basedOn w:val="1"/>
    <w:qFormat/>
    <w:uiPriority w:val="1"/>
    <w:rPr>
      <w:rFonts w:ascii="仿宋" w:hAnsi="仿宋" w:eastAsia="仿宋" w:cs="仿宋"/>
      <w:lang w:val="zh-CN" w:eastAsia="zh-CN" w:bidi="zh-CN"/>
    </w:rPr>
  </w:style>
  <w:style w:type="paragraph" w:customStyle="1" w:styleId="51">
    <w:name w:val="中文报告书样式"/>
    <w:basedOn w:val="1"/>
    <w:qFormat/>
    <w:uiPriority w:val="0"/>
    <w:pPr>
      <w:adjustRightInd w:val="0"/>
      <w:spacing w:line="480" w:lineRule="atLeast"/>
      <w:ind w:firstLine="482"/>
      <w:textAlignment w:val="baseline"/>
    </w:pPr>
    <w:rPr>
      <w:kern w:val="24"/>
      <w:sz w:val="24"/>
    </w:rPr>
  </w:style>
  <w:style w:type="paragraph" w:customStyle="1" w:styleId="52">
    <w:name w:val="Table Text"/>
    <w:basedOn w:val="1"/>
    <w:semiHidden/>
    <w:qFormat/>
    <w:uiPriority w:val="0"/>
    <w:rPr>
      <w:rFonts w:ascii="宋体" w:hAnsi="宋体" w:eastAsia="宋体" w:cs="宋体"/>
      <w:sz w:val="16"/>
      <w:szCs w:val="16"/>
      <w:lang w:val="en-US" w:eastAsia="en-US" w:bidi="ar-SA"/>
    </w:rPr>
  </w:style>
  <w:style w:type="character" w:customStyle="1" w:styleId="53">
    <w:name w:val="font21"/>
    <w:basedOn w:val="35"/>
    <w:qFormat/>
    <w:uiPriority w:val="0"/>
    <w:rPr>
      <w:rFonts w:hint="default" w:ascii="Times New Roman" w:hAnsi="Times New Roman" w:cs="Times New Roman"/>
      <w:color w:val="000000"/>
      <w:sz w:val="21"/>
      <w:szCs w:val="21"/>
      <w:u w:val="none"/>
    </w:rPr>
  </w:style>
  <w:style w:type="character" w:customStyle="1" w:styleId="54">
    <w:name w:val="font31"/>
    <w:basedOn w:val="35"/>
    <w:qFormat/>
    <w:uiPriority w:val="0"/>
    <w:rPr>
      <w:rFonts w:hint="default" w:ascii="Times New Roman" w:hAnsi="Times New Roman" w:cs="Times New Roman"/>
      <w:color w:val="000000"/>
      <w:sz w:val="21"/>
      <w:szCs w:val="21"/>
      <w:u w:val="none"/>
      <w:vertAlign w:val="superscript"/>
    </w:rPr>
  </w:style>
  <w:style w:type="character" w:customStyle="1" w:styleId="55">
    <w:name w:val="font51"/>
    <w:basedOn w:val="35"/>
    <w:qFormat/>
    <w:uiPriority w:val="0"/>
    <w:rPr>
      <w:rFonts w:ascii="宋体" w:hAnsi="宋体" w:eastAsia="宋体" w:cs="宋体"/>
      <w:color w:val="000000"/>
      <w:sz w:val="14"/>
      <w:szCs w:val="14"/>
      <w:u w:val="none"/>
    </w:rPr>
  </w:style>
  <w:style w:type="paragraph" w:customStyle="1" w:styleId="56">
    <w:name w:val="cnn"/>
    <w:basedOn w:val="1"/>
    <w:qFormat/>
    <w:uiPriority w:val="0"/>
    <w:pPr>
      <w:spacing w:line="500" w:lineRule="exact"/>
      <w:ind w:firstLine="200" w:firstLineChars="200"/>
    </w:pPr>
    <w:rPr>
      <w:sz w:val="28"/>
      <w:szCs w:val="20"/>
    </w:rPr>
  </w:style>
  <w:style w:type="paragraph" w:customStyle="1" w:styleId="57">
    <w:name w:val="HtmlNormal"/>
    <w:basedOn w:val="1"/>
    <w:qFormat/>
    <w:uiPriority w:val="0"/>
    <w:pPr>
      <w:spacing w:before="100" w:beforeAutospacing="1" w:after="100" w:afterAutospacing="1"/>
      <w:jc w:val="left"/>
    </w:pPr>
    <w:rPr>
      <w:rFonts w:ascii="宋体" w:hAnsi="宋体"/>
      <w:kern w:val="0"/>
      <w:sz w:val="24"/>
      <w:szCs w:val="24"/>
    </w:rPr>
  </w:style>
  <w:style w:type="character" w:customStyle="1" w:styleId="58">
    <w:name w:val="NormalCharacter"/>
    <w:qFormat/>
    <w:uiPriority w:val="0"/>
  </w:style>
  <w:style w:type="paragraph" w:customStyle="1" w:styleId="59">
    <w:name w:val="表题"/>
    <w:basedOn w:val="1"/>
    <w:qFormat/>
    <w:uiPriority w:val="0"/>
    <w:pPr>
      <w:spacing w:before="20" w:beforeLines="20" w:after="20" w:afterLines="20"/>
      <w:jc w:val="center"/>
    </w:pPr>
    <w:rPr>
      <w:rFonts w:ascii="Times New Roman" w:hAnsi="Times New Roman" w:eastAsia="宋体"/>
      <w:b/>
      <w:sz w:val="24"/>
      <w:szCs w:val="21"/>
    </w:rPr>
  </w:style>
  <w:style w:type="paragraph" w:customStyle="1" w:styleId="60">
    <w:name w:val="表格2"/>
    <w:basedOn w:val="1"/>
    <w:qFormat/>
    <w:uiPriority w:val="0"/>
    <w:pPr>
      <w:jc w:val="center"/>
    </w:pPr>
    <w:rPr>
      <w:rFonts w:hAnsi="宋体" w:cs="宋体"/>
      <w:szCs w:val="20"/>
    </w:rPr>
  </w:style>
  <w:style w:type="paragraph" w:customStyle="1" w:styleId="61">
    <w:name w:val="表格"/>
    <w:basedOn w:val="11"/>
    <w:next w:val="1"/>
    <w:qFormat/>
    <w:uiPriority w:val="0"/>
    <w:pPr>
      <w:spacing w:line="240" w:lineRule="auto"/>
      <w:ind w:firstLine="0" w:firstLineChars="0"/>
      <w:jc w:val="center"/>
    </w:pPr>
    <w:rPr>
      <w:rFonts w:cs="宋体"/>
      <w:sz w:val="21"/>
      <w:szCs w:val="21"/>
    </w:rPr>
  </w:style>
  <w:style w:type="paragraph" w:customStyle="1" w:styleId="62">
    <w:name w:val="正文1"/>
    <w:basedOn w:val="1"/>
    <w:next w:val="1"/>
    <w:qFormat/>
    <w:uiPriority w:val="0"/>
    <w:pPr>
      <w:spacing w:line="560" w:lineRule="exact"/>
      <w:ind w:firstLine="200" w:firstLineChars="200"/>
    </w:pPr>
    <w:rPr>
      <w:rFonts w:ascii="宋体" w:hAnsi="宋体"/>
      <w:sz w:val="28"/>
      <w:szCs w:val="28"/>
    </w:rPr>
  </w:style>
  <w:style w:type="paragraph" w:customStyle="1" w:styleId="63">
    <w:name w:val="a正文用"/>
    <w:basedOn w:val="64"/>
    <w:qFormat/>
    <w:uiPriority w:val="0"/>
    <w:pPr>
      <w:ind w:firstLine="200" w:firstLineChars="200"/>
    </w:pPr>
  </w:style>
  <w:style w:type="paragraph" w:customStyle="1" w:styleId="64">
    <w:name w:val="a正文"/>
    <w:basedOn w:val="17"/>
    <w:qFormat/>
    <w:uiPriority w:val="0"/>
    <w:pPr>
      <w:adjustRightInd w:val="0"/>
      <w:spacing w:line="480" w:lineRule="exact"/>
      <w:ind w:left="0" w:leftChars="0" w:right="0" w:rightChars="0" w:firstLine="0" w:firstLineChars="0"/>
      <w:textAlignment w:val="center"/>
    </w:pPr>
    <w:rPr>
      <w:sz w:val="24"/>
    </w:rPr>
  </w:style>
  <w:style w:type="character" w:customStyle="1" w:styleId="65">
    <w:name w:val="font61"/>
    <w:basedOn w:val="35"/>
    <w:qFormat/>
    <w:uiPriority w:val="0"/>
    <w:rPr>
      <w:rFonts w:hint="default" w:ascii="Times New Roman" w:hAnsi="Times New Roman" w:cs="Times New Roman"/>
      <w:color w:val="000000"/>
      <w:sz w:val="21"/>
      <w:szCs w:val="21"/>
      <w:u w:val="none"/>
      <w:vertAlign w:val="superscript"/>
    </w:rPr>
  </w:style>
  <w:style w:type="paragraph" w:customStyle="1" w:styleId="66">
    <w:name w:val="表格内容"/>
    <w:autoRedefine/>
    <w:qFormat/>
    <w:uiPriority w:val="0"/>
    <w:pPr>
      <w:spacing w:line="320" w:lineRule="exact"/>
      <w:ind w:firstLine="0" w:firstLineChars="0"/>
      <w:jc w:val="center"/>
    </w:pPr>
    <w:rPr>
      <w:rFonts w:ascii="Times New Roman" w:hAnsi="Times New Roman" w:eastAsia="宋体" w:cs="Times New Roman"/>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9.pn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jpeg"/><Relationship Id="rId17" Type="http://schemas.openxmlformats.org/officeDocument/2006/relationships/image" Target="media/image4.emf"/><Relationship Id="rId16" Type="http://schemas.openxmlformats.org/officeDocument/2006/relationships/oleObject" Target="embeddings/oleObject4.bin"/><Relationship Id="rId15" Type="http://schemas.openxmlformats.org/officeDocument/2006/relationships/image" Target="media/image3.emf"/><Relationship Id="rId14" Type="http://schemas.openxmlformats.org/officeDocument/2006/relationships/oleObject" Target="embeddings/oleObject3.bin"/><Relationship Id="rId13" Type="http://schemas.openxmlformats.org/officeDocument/2006/relationships/image" Target="media/image2.emf"/><Relationship Id="rId12" Type="http://schemas.openxmlformats.org/officeDocument/2006/relationships/oleObject" Target="embeddings/oleObject2.bin"/><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56c278dc-e0f0-4043-b1d8-122ba00e8d81</errorID>
      <errorWord>污水厂</errorWord>
      <group>L1_Word</group>
      <groupName>字词问题</groupName>
      <ability>L2_Typo</ability>
      <abilityName>字词错误</abilityName>
      <candidateList>
        <item>污水处理厂</item>
      </candidateList>
      <explain/>
      <paraID>40BE7B8A</paraID>
      <start>11</start>
      <end>14</end>
      <status>unmodified</status>
      <modifiedWord/>
      <trackRevisions>false</trackRevisions>
    </reviewItem>
    <reviewItem>
      <errorID>99707c85-5737-496b-9852-bb20b8a60cd5</errorID>
      <errorWord>结线</errorWord>
      <group>L1_Word</group>
      <groupName>字词问题</groupName>
      <ability>L2_Typo</ability>
      <abilityName>字词错误</abilityName>
      <candidateList>
        <item>接线</item>
      </candidateList>
      <explain>〈动〉用导线连接线路。</explain>
      <paraID>5409621B</paraID>
      <start>36</start>
      <end>38</end>
      <status>unmodified</status>
      <modifiedWord/>
      <trackRevisions>false</trackRevisions>
    </reviewItem>
    <reviewItem>
      <errorID>d1d93cdc-e93b-431c-9bef-5e32dbe091ab</errorID>
      <errorWord>建</errorWord>
      <group>L1_Word</group>
      <groupName>字词问题</groupName>
      <ability>L2_Typo</ability>
      <abilityName>字词错误</abilityName>
      <candidateList>
        <item>建设</item>
      </candidateList>
      <explain>〈动〉创立新事业；增加新设施：经济～｜～家园｜～现代化强国◇组织～｜思想～。</explain>
      <paraID> F20DC3A</paraID>
      <start>39</start>
      <end>40</end>
      <status>unmodified</status>
      <modifiedWord/>
      <trackRevisions>false</trackRevisions>
    </reviewItem>
    <reviewItem>
      <errorID>588eb070-6354-4c5e-af97-2fc1bd379505</errorID>
      <errorWord>严控对</errorWord>
      <group>L1_Word</group>
      <groupName>字词问题</groupName>
      <ability>L2_Typo</ability>
      <abilityName>字词错误</abilityName>
      <candidateList>
        <item>严控</item>
      </candidateList>
      <explain/>
      <paraID>369AD942</paraID>
      <start>88</start>
      <end>91</end>
      <status>unmodified</status>
      <modifiedWord/>
      <trackRevisions>false</trackRevisions>
    </reviewItem>
    <reviewItem>
      <errorID>28dfc821-eba6-41d8-8eab-0acc17b2abfd</errorID>
      <errorWord>防治</errorWord>
      <group>L1_Word</group>
      <groupName>字词问题</groupName>
      <ability>L2_Typo</ability>
      <abilityName>字词错误</abilityName>
      <candidateList>
        <item>防止</item>
      </candidateList>
      <explain>存在发音相同字词的误用。</explain>
      <paraID>2E4388D7</paraID>
      <start>98</start>
      <end>100</end>
      <status>unmodified</status>
      <modifiedWord/>
      <trackRevisions>false</trackRevisions>
    </reviewItem>
    <reviewItem>
      <errorID>b78b3477-1f1c-41d5-838e-d381a1584249</errorID>
      <errorWord>泄露</errorWord>
      <group>L1_Word</group>
      <groupName>字词问题</groupName>
      <ability>L2_Typo</ability>
      <abilityName>字词错误</abilityName>
      <candidateList>
        <item>泄漏</item>
      </candidateList>
      <explain>存在发音相同字词的误用。</explain>
      <paraID>2E4388D7</paraID>
      <start>103</start>
      <end>105</end>
      <status>unmodified</status>
      <modifiedWord/>
      <trackRevisions>false</trackRevisions>
    </reviewItem>
    <reviewItem>
      <errorID>29a21bd8-ae4f-4e39-96ce-f9731ed34ecb</errorID>
      <errorWord>正</errorWord>
      <group>L1_Word</group>
      <groupName>字词问题</groupName>
      <ability>L2_Typo</ability>
      <abilityName>字词错误</abilityName>
      <candidateList>
        <item>正在</item>
      </candidateList>
      <explain/>
      <paraID>2BE585D5</paraID>
      <start>112</start>
      <end>113</end>
      <status>unmodified</status>
      <modifiedWord/>
      <trackRevisions>false</trackRevisions>
    </reviewItem>
    <reviewItem>
      <errorID>927bbd0f-0ac3-436e-a462-c89797f159c5</errorID>
      <errorWord>基底</errorWord>
      <group>L1_Word</group>
      <groupName>字词问题</groupName>
      <ability>L2_Typo</ability>
      <abilityName>字词错误</abilityName>
      <candidateList>
        <item>基地</item>
      </candidateList>
      <explain/>
      <paraID>2B7AC60B</paraID>
      <start>2</start>
      <end>4</end>
      <status>unmodified</status>
      <modifiedWord/>
      <trackRevisions>false</trackRevisions>
    </reviewItem>
    <reviewItem>
      <errorID>83c51481-7361-4b1d-85c1-83436401ab89</errorID>
      <errorWord>药匙</errorWord>
      <group>L1_Word</group>
      <groupName>字词问题</groupName>
      <ability>L2_Typo</ability>
      <abilityName>字词错误</abilityName>
      <candidateList>
        <item>钥匙</item>
      </candidateList>
      <explain/>
      <paraID>28AD5717</paraID>
      <start>0</start>
      <end>2</end>
      <status>unmodified</status>
      <modifiedWord/>
      <trackRevisions>false</trackRevisions>
    </reviewItem>
    <reviewItem>
      <errorID>6d1f5951-4016-4de4-80ae-6fa4f5377203</errorID>
      <errorWord>涉及到</errorWord>
      <group>L1_Grammar</group>
      <groupName>语法问题</groupName>
      <ability>L2_Grammar</ability>
      <abilityName>语法错误</abilityName>
      <candidateList>
        <item>涉及</item>
      </candidateList>
      <explain>〈动〉牵涉到；关联到：案子～好几个人｜这个问题～面很广。</explain>
      <paraID>443E03C4</paraID>
      <start>67</start>
      <end>70</end>
      <status>unmodified</status>
      <modifiedWord/>
      <trackRevisions>false</trackRevisions>
    </reviewItem>
    <reviewItem>
      <errorID>6bb68eaa-cb93-449b-9e2d-d11450f462d8</errorID>
      <errorWord>饱和蒸汽</errorWord>
      <group>L1_Word</group>
      <groupName>字词问题</groupName>
      <ability>L2_Typo</ability>
      <abilityName>字词错误</abilityName>
      <candidateList>
        <item>饱和蒸气</item>
      </candidateList>
      <explain/>
      <paraID>76DDDC8D</paraID>
      <start>46</start>
      <end>50</end>
      <status>unmodified</status>
      <modifiedWord/>
      <trackRevisions>false</trackRevisions>
    </reviewItem>
    <reviewItem>
      <errorID>3f6edf80-8d82-4512-831c-f9c418923355</errorID>
      <errorWord>饱和蒸汽</errorWord>
      <group>L1_Word</group>
      <groupName>字词问题</groupName>
      <ability>L2_Typo</ability>
      <abilityName>字词错误</abilityName>
      <candidateList>
        <item>饱和蒸气</item>
      </candidateList>
      <explain/>
      <paraID>660E6D83</paraID>
      <start>43</start>
      <end>47</end>
      <status>unmodified</status>
      <modifiedWord/>
      <trackRevisions>false</trackRevisions>
    </reviewItem>
    <reviewItem>
      <errorID>33fa9fa7-d49b-448f-928e-f4eb111bb481</errorID>
      <errorWord>里</errorWord>
      <group>L1_Word</group>
      <groupName>字词问题</groupName>
      <ability>L2_Typo</ability>
      <abilityName>字词错误</abilityName>
      <candidateList>
        <item>中</item>
      </candidateList>
      <explain>存在字形相近字词的误用。</explain>
      <paraID>5D704319</paraID>
      <start>163</start>
      <end>164</end>
      <status>unmodified</status>
      <modifiedWord/>
      <trackRevisions>false</trackRevisions>
    </reviewItem>
    <reviewItem>
      <errorID>dbdddfcc-762a-445c-a945-c391606e7bf1</errorID>
      <errorWord>配置</errorWord>
      <group>L1_Word</group>
      <groupName>字词问题</groupName>
      <ability>L2_Typo</ability>
      <abilityName>字词错误</abilityName>
      <candidateList>
        <item>配制</item>
      </candidateList>
      <explain/>
      <paraID>68435E88</paraID>
      <start>95</start>
      <end>97</end>
      <status>unmodified</status>
      <modifiedWord/>
      <trackRevisions>false</trackRevisions>
    </reviewItem>
    <reviewItem>
      <errorID>edfe82f7-423b-4ce6-8938-3da12e8d7d7b</errorID>
      <errorWord>来自于</errorWord>
      <group>L1_Grammar</group>
      <groupName>语法问题</groupName>
      <ability>L2_Grammar</ability>
      <abilityName>语法错误</abilityName>
      <candidateList>
        <item>来自</item>
      </candidateList>
      <explain/>
      <paraID>68435E88</paraID>
      <start>119</start>
      <end>122</end>
      <status>unmodified</status>
      <modifiedWord/>
      <trackRevisions>false</trackRevisions>
    </reviewItem>
    <reviewItem>
      <errorID>f75262f6-497f-4d4d-89a2-23e0d4cf744f</errorID>
      <errorWord>（</errorWord>
      <group>L1_Format</group>
      <groupName>格式问题</groupName>
      <ability>L2_HalfPunc</ability>
      <abilityName>全半角检查</abilityName>
      <candidateList>
        <item>(</item>
      </candidateList>
      <explain>文本全半角错误。</explain>
      <paraID>727B8A96</paraID>
      <start>5</start>
      <end>6</end>
      <status>unmodified</status>
      <modifiedWord/>
      <trackRevisions>false</trackRevisions>
    </reviewItem>
    <reviewItem>
      <errorID>9708dd44-870c-4a7e-bb9f-772129dd6bcb</errorID>
      <errorWord>程</errorWord>
      <group>L1_Word</group>
      <groupName>字词问题</groupName>
      <ability>L2_Typo</ability>
      <abilityName>字词错误</abilityName>
      <candidateList>
        <item>程中</item>
      </candidateList>
      <explain/>
      <paraID>37872E63</paraID>
      <start>4</start>
      <end>5</end>
      <status>unmodified</status>
      <modifiedWord/>
      <trackRevisions>false</trackRevisions>
    </reviewItem>
    <reviewItem>
      <errorID>a8be27aa-2aad-4669-9968-1a7340dd0cd5</errorID>
      <errorWord>程</errorWord>
      <group>L1_Word</group>
      <groupName>字词问题</groupName>
      <ability>L2_Typo</ability>
      <abilityName>字词错误</abilityName>
      <candidateList>
        <item>程中</item>
      </candidateList>
      <explain/>
      <paraID>40B15D97</paraID>
      <start>25</start>
      <end>26</end>
      <status>unmodified</status>
      <modifiedWord/>
      <trackRevisions>false</trackRevisions>
    </reviewItem>
    <reviewItem>
      <errorID>5d554c2d-b12c-4a1f-a354-d3c0edd71cdf</errorID>
      <errorWord>（</errorWord>
      <group>L1_Format</group>
      <groupName>格式问题</groupName>
      <ability>L2_HalfPunc</ability>
      <abilityName>全半角检查</abilityName>
      <candidateList>
        <item>(</item>
      </candidateList>
      <explain>文本全半角错误。</explain>
      <paraID>63B7E9D8</paraID>
      <start>6</start>
      <end>7</end>
      <status>unmodified</status>
      <modifiedWord/>
      <trackRevisions>false</trackRevisions>
    </reviewItem>
    <reviewItem>
      <errorID>de030896-acf9-48e0-8321-9f72f6114d0c</errorID>
      <errorWord>~</errorWord>
      <group>L1_Format</group>
      <groupName>格式问题</groupName>
      <ability>L2_HalfPunc</ability>
      <abilityName>全半角检查</abilityName>
      <candidateList>
        <item>～</item>
      </candidateList>
      <explain>文本全半角错误。</explain>
      <paraID>494F00BE</paraID>
      <start>13</start>
      <end>14</end>
      <status>unmodified</status>
      <modifiedWord/>
      <trackRevisions>false</trackRevisions>
    </reviewItem>
    <reviewItem>
      <errorID>15af5f2c-2438-41f5-bc4a-e1b51a00f177</errorID>
      <errorWord>&lt;</errorWord>
      <group>L1_Format</group>
      <groupName>格式问题</groupName>
      <ability>L2_HalfPunc</ability>
      <abilityName>全半角检查</abilityName>
      <candidateList>
        <item>〈</item>
      </candidateList>
      <explain>文本全半角错误。</explain>
      <paraID>5B1C9AF8</paraID>
      <start>281</start>
      <end>282</end>
      <status>unmodified</status>
      <modifiedWord/>
      <trackRevisions>false</trackRevisions>
    </reviewItem>
    <reviewItem>
      <errorID>6d1f5cd0-9231-43b1-ae71-0e281f5760f2</errorID>
      <errorWord>&gt;</errorWord>
      <group>L1_Format</group>
      <groupName>格式问题</groupName>
      <ability>L2_HalfPunc</ability>
      <abilityName>全半角检查</abilityName>
      <candidateList>
        <item>〉</item>
      </candidateList>
      <explain>文本全半角错误。</explain>
      <paraID>5B1C9AF8</paraID>
      <start>306</start>
      <end>307</end>
      <status>unmodified</status>
      <modifiedWord/>
      <trackRevisions>false</trackRevisions>
    </reviewItem>
    <reviewItem>
      <errorID>995cac43-0c7a-4cd8-8cca-1b94ad4e90de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4EF6FB45</paraID>
      <start>108</start>
      <end>109</end>
      <status>unmodified</status>
      <modifiedWord/>
      <trackRevisions>false</trackRevisions>
    </reviewItem>
    <reviewItem>
      <errorID>886d5ae7-57fe-4d97-b3b0-a6202e65fe21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4EF6FB45</paraID>
      <start>145</start>
      <end>146</end>
      <status>unmodified</status>
      <modifiedWord/>
      <trackRevisions>false</trackRevisions>
    </reviewItem>
    <reviewItem>
      <errorID>7b2f0c1e-3f72-4464-8ac3-cf25232c10be</errorID>
      <errorWord>交有</errorWord>
      <group>L1_Word</group>
      <groupName>字词问题</groupName>
      <ability>L2_Typo</ability>
      <abilityName>字词错误</abilityName>
      <candidateList>
        <item>交由</item>
      </candidateList>
      <explain/>
      <paraID>  D86BE4</paraID>
      <start>37</start>
      <end>39</end>
      <status>unmodified</status>
      <modifiedWord/>
      <trackRevisions>false</trackRevisions>
    </reviewItem>
    <reviewItem>
      <errorID>aec46a03-65e4-4bd8-b07a-4d3cf410ce27</errorID>
      <errorWord>IV</errorWord>
      <group>L1_Knowledge</group>
      <groupName>知识性问题</groupName>
      <ability>L2_Knowledge</ability>
      <abilityName>其他知识</abilityName>
      <candidateList>
        <item>Ⅳ</item>
      </candidateList>
      <explain/>
      <paraID> B455DFA</paraID>
      <start>31</start>
      <end>33</end>
      <status>unmodified</status>
      <modifiedWord/>
      <trackRevisions>false</trackRevisions>
    </reviewItem>
    <reviewItem>
      <errorID>25264960-07ff-4b14-bf02-7a8e9ae52f78</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DF30E46</paraID>
      <start>89</start>
      <end>90</end>
      <status>unmodified</status>
      <modifiedWord/>
      <trackRevisions>false</trackRevisions>
    </reviewItem>
    <reviewItem>
      <errorID>6a2e9c2a-fb88-4fdd-86ee-39f7c0d0af96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DF30E46</paraID>
      <start>104</start>
      <end>105</end>
      <status>unmodified</status>
      <modifiedWord/>
      <trackRevisions>false</trackRevisions>
    </reviewItem>
    <reviewItem>
      <errorID>90e5a237-a237-4fed-b1d8-a787c8b62402</errorID>
      <errorWord>提高</errorWord>
      <group>L1_Grammar</group>
      <groupName>语法问题</groupName>
      <ability>L2_Grammar</ability>
      <abilityName>语法错误</abilityName>
      <candidateList>
        <item>增强</item>
      </candidateList>
      <explain>“提高～意识”搭配不当，建议修改为“增强～意识”。</explain>
      <paraID>7F43F0D1</paraID>
      <start>11</start>
      <end>13</end>
      <status>unmodified</status>
      <modifiedWord/>
      <trackRevisions>false</trackRevisions>
    </reviewItem>
    <reviewItem>
      <errorID>b83f0db2-db4f-444f-8025-f29f060c9a93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2441C82C</paraID>
      <start>0</start>
      <end>2</end>
      <status>unmodified</status>
      <modifiedWord/>
      <trackRevisions>false</trackRevisions>
    </reviewItem>
    <reviewItem>
      <errorID>af4ed510-f831-4afd-b56a-e8b4c7c54db2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62C91FCE</paraID>
      <start>0</start>
      <end>2</end>
      <status>unmodified</status>
      <modifiedWord/>
      <trackRevisions>false</trackRevisions>
    </reviewItem>
    <reviewItem>
      <errorID>160ae7bd-56db-4dd2-8800-0adfe359f996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61C2A714</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911496-4ed8-4a63-ab20-001b609e99f9}">
  <ds:schemaRefs/>
</ds:datastoreItem>
</file>

<file path=docProps/app.xml><?xml version="1.0" encoding="utf-8"?>
<Properties xmlns="http://schemas.openxmlformats.org/officeDocument/2006/extended-properties" xmlns:vt="http://schemas.openxmlformats.org/officeDocument/2006/docPropsVTypes">
  <Template>Normal.dotm</Template>
  <Pages>66</Pages>
  <Words>19352</Words>
  <Characters>21429</Characters>
  <Lines>0</Lines>
  <Paragraphs>0</Paragraphs>
  <TotalTime>0</TotalTime>
  <ScaleCrop>false</ScaleCrop>
  <LinksUpToDate>false</LinksUpToDate>
  <CharactersWithSpaces>21462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2024-05-07T08:34:00Z</dcterms:created>
  <dc:creator>Administrator</dc:creator>
  <cp:lastModifiedBy>A personゞ</cp:lastModifiedBy>
  <cp:lastPrinted>2026-03-25T02:34:00Z</cp:lastPrinted>
  <dcterms:modified xsi:type="dcterms:W3CDTF">2026-03-30T01:42:55Z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8B3370526A09464692015F5D4DE5C521_13</vt:lpwstr>
  </property>
  <property fmtid="{D5CDD505-2E9C-101B-9397-08002B2CF9AE}" pid="4" name="KSOTemplateDocerSaveRecord">
    <vt:lpwstr>eyJoZGlkIjoiMDhmOGY4MTc5NmFlNjYzODkzMTA5Y2UyNjIzYjI5NjUiLCJ1c2VySWQiOiI0MzQyODIyNjkifQ==</vt:lpwstr>
  </property>
</Properties>
</file>