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B2D11B">
      <w:pPr>
        <w:rPr>
          <w:rFonts w:ascii="仿宋_GB2312" w:hAnsi="仿宋_GB2312" w:eastAsia="仿宋_GB2312" w:cs="仿宋_GB2312"/>
          <w:color w:val="auto"/>
          <w:sz w:val="36"/>
          <w:szCs w:val="36"/>
          <w:highlight w:val="none"/>
        </w:rPr>
      </w:pPr>
    </w:p>
    <w:p w14:paraId="0D53DECE">
      <w:pPr>
        <w:rPr>
          <w:rFonts w:ascii="仿宋_GB2312" w:hAnsi="仿宋_GB2312" w:eastAsia="仿宋_GB2312" w:cs="仿宋_GB2312"/>
          <w:color w:val="auto"/>
          <w:sz w:val="36"/>
          <w:szCs w:val="36"/>
          <w:highlight w:val="none"/>
        </w:rPr>
      </w:pPr>
    </w:p>
    <w:p w14:paraId="52D2356F">
      <w:pPr>
        <w:rPr>
          <w:rFonts w:ascii="仿宋_GB2312" w:hAnsi="仿宋_GB2312" w:eastAsia="仿宋_GB2312" w:cs="仿宋_GB2312"/>
          <w:color w:val="auto"/>
          <w:sz w:val="36"/>
          <w:szCs w:val="36"/>
          <w:highlight w:val="none"/>
        </w:rPr>
      </w:pPr>
    </w:p>
    <w:p w14:paraId="7F7CD0F0">
      <w:pPr>
        <w:rPr>
          <w:rFonts w:ascii="仿宋_GB2312" w:hAnsi="仿宋_GB2312" w:eastAsia="仿宋_GB2312" w:cs="仿宋_GB2312"/>
          <w:color w:val="auto"/>
          <w:sz w:val="36"/>
          <w:szCs w:val="36"/>
          <w:highlight w:val="none"/>
        </w:rPr>
      </w:pPr>
    </w:p>
    <w:p w14:paraId="230D337E">
      <w:pPr>
        <w:rPr>
          <w:rFonts w:hint="eastAsia" w:ascii="仿宋_GB2312" w:hAnsi="仿宋_GB2312" w:eastAsia="仿宋_GB2312" w:cs="仿宋_GB2312"/>
          <w:color w:val="auto"/>
          <w:sz w:val="36"/>
          <w:szCs w:val="36"/>
          <w:highlight w:val="none"/>
        </w:rPr>
      </w:pPr>
    </w:p>
    <w:p w14:paraId="22AF61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eastAsia" w:ascii="方正小标宋_GBK" w:eastAsia="方正小标宋_GBK"/>
          <w:bCs/>
          <w:color w:val="auto"/>
          <w:sz w:val="72"/>
          <w:szCs w:val="72"/>
          <w:highlight w:val="none"/>
        </w:rPr>
      </w:pPr>
      <w:r>
        <w:rPr>
          <w:rFonts w:hint="eastAsia" w:ascii="方正小标宋_GBK" w:eastAsia="方正小标宋_GBK"/>
          <w:bCs/>
          <w:color w:val="auto"/>
          <w:sz w:val="72"/>
          <w:szCs w:val="72"/>
          <w:highlight w:val="none"/>
        </w:rPr>
        <w:t>建设项目环境影响报告表</w:t>
      </w:r>
    </w:p>
    <w:p w14:paraId="5C306A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Style w:val="24"/>
          <w:rFonts w:hint="eastAsia"/>
          <w:color w:val="auto"/>
          <w:highlight w:val="none"/>
        </w:rPr>
      </w:pPr>
      <w:r>
        <w:rPr>
          <w:rFonts w:hint="eastAsia" w:ascii="楷体_GB2312" w:eastAsia="楷体_GB2312"/>
          <w:bCs/>
          <w:color w:val="auto"/>
          <w:sz w:val="48"/>
          <w:szCs w:val="48"/>
          <w:highlight w:val="none"/>
        </w:rPr>
        <w:t>（污染影响类）</w:t>
      </w:r>
    </w:p>
    <w:p w14:paraId="7CC026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highlight w:val="none"/>
        </w:rPr>
      </w:pPr>
    </w:p>
    <w:p w14:paraId="015B76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eastAsia="仿宋"/>
          <w:color w:val="auto"/>
          <w:sz w:val="52"/>
          <w:szCs w:val="52"/>
          <w:highlight w:val="none"/>
        </w:rPr>
      </w:pPr>
    </w:p>
    <w:p w14:paraId="76A530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eastAsia="仿宋"/>
          <w:color w:val="auto"/>
          <w:sz w:val="44"/>
          <w:szCs w:val="44"/>
          <w:highlight w:val="none"/>
        </w:rPr>
      </w:pPr>
    </w:p>
    <w:p w14:paraId="2F8047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eastAsia="仿宋"/>
          <w:color w:val="auto"/>
          <w:sz w:val="44"/>
          <w:szCs w:val="44"/>
          <w:highlight w:val="none"/>
        </w:rPr>
      </w:pPr>
    </w:p>
    <w:p w14:paraId="0F4A48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eastAsia="仿宋"/>
          <w:color w:val="auto"/>
          <w:sz w:val="44"/>
          <w:szCs w:val="44"/>
          <w:highlight w:val="none"/>
        </w:rPr>
      </w:pPr>
    </w:p>
    <w:p w14:paraId="157A87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eastAsia="仿宋"/>
          <w:color w:val="auto"/>
          <w:sz w:val="44"/>
          <w:szCs w:val="44"/>
          <w:highlight w:val="none"/>
        </w:rPr>
      </w:pPr>
    </w:p>
    <w:p w14:paraId="4061282E">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ind w:firstLine="0" w:firstLineChars="0"/>
        <w:textAlignment w:val="auto"/>
        <w:rPr>
          <w:rFonts w:hint="default" w:ascii="Times New Roman" w:hAnsi="Times New Roman" w:eastAsia="仿宋" w:cs="Times New Roman"/>
          <w:color w:val="auto"/>
          <w:spacing w:val="-17"/>
          <w:kern w:val="0"/>
          <w:sz w:val="36"/>
          <w:szCs w:val="36"/>
          <w:highlight w:val="none"/>
          <w:u w:val="single"/>
          <w:lang w:val="en-US" w:eastAsia="zh-CN"/>
        </w:rPr>
      </w:pPr>
      <w:r>
        <w:rPr>
          <w:rFonts w:hint="default" w:ascii="Times New Roman" w:hAnsi="Times New Roman" w:eastAsia="仿宋" w:cs="Times New Roman"/>
          <w:color w:val="auto"/>
          <w:sz w:val="36"/>
          <w:szCs w:val="36"/>
          <w:highlight w:val="none"/>
        </w:rPr>
        <w:t>项目名称：</w:t>
      </w:r>
      <w:r>
        <w:rPr>
          <w:rFonts w:hint="eastAsia" w:ascii="Times New Roman" w:hAnsi="Times New Roman" w:eastAsia="仿宋" w:cs="Times New Roman"/>
          <w:color w:val="auto"/>
          <w:spacing w:val="0"/>
          <w:kern w:val="0"/>
          <w:sz w:val="36"/>
          <w:szCs w:val="36"/>
          <w:highlight w:val="none"/>
          <w:u w:val="single"/>
          <w:lang w:val="en-US" w:eastAsia="zh-CN"/>
        </w:rPr>
        <w:t xml:space="preserve">  年产1000吨钕铁硼生产线项目（二期）  </w:t>
      </w:r>
    </w:p>
    <w:p w14:paraId="05E76E7A">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ind w:left="3240" w:hanging="3240" w:hangingChars="900"/>
        <w:textAlignment w:val="auto"/>
        <w:rPr>
          <w:rFonts w:hint="default" w:ascii="Times New Roman" w:hAnsi="Times New Roman" w:eastAsia="仿宋" w:cs="Times New Roman"/>
          <w:color w:val="auto"/>
          <w:sz w:val="36"/>
          <w:szCs w:val="36"/>
          <w:highlight w:val="none"/>
          <w:u w:val="single"/>
          <w:lang w:val="en-US"/>
        </w:rPr>
      </w:pPr>
      <w:r>
        <w:rPr>
          <w:rFonts w:hint="default" w:ascii="Times New Roman" w:hAnsi="Times New Roman" w:eastAsia="仿宋" w:cs="Times New Roman"/>
          <w:color w:val="auto"/>
          <w:sz w:val="36"/>
          <w:szCs w:val="36"/>
          <w:highlight w:val="none"/>
        </w:rPr>
        <w:t>建设单位（盖章）：</w:t>
      </w:r>
      <w:r>
        <w:rPr>
          <w:rFonts w:hint="eastAsia" w:ascii="Times New Roman" w:hAnsi="Times New Roman" w:eastAsia="仿宋" w:cs="Times New Roman"/>
          <w:color w:val="auto"/>
          <w:sz w:val="36"/>
          <w:szCs w:val="36"/>
          <w:highlight w:val="none"/>
          <w:u w:val="single"/>
          <w:lang w:val="en-US" w:eastAsia="zh-CN"/>
        </w:rPr>
        <w:t xml:space="preserve">   山西华晋磁材科技有限公司    </w:t>
      </w:r>
    </w:p>
    <w:p w14:paraId="7B223811">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ind w:firstLine="0" w:firstLineChars="0"/>
        <w:textAlignment w:val="auto"/>
        <w:rPr>
          <w:rFonts w:hint="default" w:ascii="Times New Roman" w:hAnsi="Times New Roman" w:eastAsia="仿宋" w:cs="Times New Roman"/>
          <w:color w:val="auto"/>
          <w:sz w:val="36"/>
          <w:szCs w:val="36"/>
          <w:highlight w:val="none"/>
          <w:u w:val="single"/>
          <w:lang w:val="en-US" w:eastAsia="zh-CN"/>
        </w:rPr>
      </w:pPr>
      <w:r>
        <w:rPr>
          <w:rFonts w:hint="default" w:ascii="Times New Roman" w:hAnsi="Times New Roman" w:eastAsia="仿宋" w:cs="Times New Roman"/>
          <w:color w:val="auto"/>
          <w:sz w:val="36"/>
          <w:szCs w:val="36"/>
          <w:highlight w:val="none"/>
        </w:rPr>
        <w:t>编制日期：</w:t>
      </w:r>
      <w:r>
        <w:rPr>
          <w:rFonts w:hint="default" w:ascii="Times New Roman" w:hAnsi="Times New Roman" w:eastAsia="仿宋" w:cs="Times New Roman"/>
          <w:color w:val="auto"/>
          <w:sz w:val="36"/>
          <w:szCs w:val="36"/>
          <w:highlight w:val="none"/>
          <w:u w:val="single"/>
        </w:rPr>
        <w:t xml:space="preserve">       </w:t>
      </w:r>
      <w:r>
        <w:rPr>
          <w:rFonts w:hint="default" w:ascii="Times New Roman" w:hAnsi="Times New Roman" w:eastAsia="仿宋" w:cs="Times New Roman"/>
          <w:color w:val="auto"/>
          <w:sz w:val="36"/>
          <w:szCs w:val="36"/>
          <w:highlight w:val="none"/>
          <w:u w:val="single"/>
          <w:lang w:val="en-US" w:eastAsia="zh-CN"/>
        </w:rPr>
        <w:t xml:space="preserve">    </w:t>
      </w:r>
      <w:r>
        <w:rPr>
          <w:rFonts w:hint="default" w:ascii="Times New Roman" w:hAnsi="Times New Roman" w:eastAsia="仿宋" w:cs="Times New Roman"/>
          <w:color w:val="auto"/>
          <w:sz w:val="36"/>
          <w:szCs w:val="36"/>
          <w:highlight w:val="none"/>
          <w:u w:val="single"/>
        </w:rPr>
        <w:t xml:space="preserve">  202</w:t>
      </w:r>
      <w:r>
        <w:rPr>
          <w:rFonts w:hint="eastAsia" w:ascii="Times New Roman" w:hAnsi="Times New Roman" w:eastAsia="仿宋" w:cs="Times New Roman"/>
          <w:color w:val="auto"/>
          <w:sz w:val="36"/>
          <w:szCs w:val="36"/>
          <w:highlight w:val="none"/>
          <w:u w:val="single"/>
          <w:lang w:val="en-US" w:eastAsia="zh-CN"/>
        </w:rPr>
        <w:t>5</w:t>
      </w:r>
      <w:r>
        <w:rPr>
          <w:rFonts w:hint="default" w:ascii="Times New Roman" w:hAnsi="Times New Roman" w:eastAsia="仿宋" w:cs="Times New Roman"/>
          <w:color w:val="auto"/>
          <w:sz w:val="36"/>
          <w:szCs w:val="36"/>
          <w:highlight w:val="none"/>
          <w:u w:val="single"/>
        </w:rPr>
        <w:t>年</w:t>
      </w:r>
      <w:r>
        <w:rPr>
          <w:rFonts w:hint="eastAsia" w:eastAsia="仿宋" w:cs="Times New Roman"/>
          <w:color w:val="auto"/>
          <w:sz w:val="36"/>
          <w:szCs w:val="36"/>
          <w:highlight w:val="none"/>
          <w:u w:val="single"/>
          <w:lang w:val="en-US" w:eastAsia="zh-CN"/>
        </w:rPr>
        <w:t>5</w:t>
      </w:r>
      <w:r>
        <w:rPr>
          <w:rFonts w:hint="default" w:ascii="Times New Roman" w:hAnsi="Times New Roman" w:eastAsia="仿宋" w:cs="Times New Roman"/>
          <w:color w:val="auto"/>
          <w:sz w:val="36"/>
          <w:szCs w:val="36"/>
          <w:highlight w:val="none"/>
          <w:u w:val="single"/>
        </w:rPr>
        <w:t xml:space="preserve">月     </w:t>
      </w:r>
      <w:r>
        <w:rPr>
          <w:rFonts w:hint="eastAsia" w:ascii="Times New Roman" w:hAnsi="Times New Roman" w:eastAsia="仿宋" w:cs="Times New Roman"/>
          <w:color w:val="auto"/>
          <w:sz w:val="36"/>
          <w:szCs w:val="36"/>
          <w:highlight w:val="none"/>
          <w:u w:val="single"/>
          <w:lang w:val="en-US" w:eastAsia="zh-CN"/>
        </w:rPr>
        <w:t xml:space="preserve"> </w:t>
      </w:r>
      <w:r>
        <w:rPr>
          <w:rFonts w:hint="default" w:ascii="Times New Roman" w:hAnsi="Times New Roman" w:eastAsia="仿宋" w:cs="Times New Roman"/>
          <w:color w:val="auto"/>
          <w:sz w:val="36"/>
          <w:szCs w:val="36"/>
          <w:highlight w:val="none"/>
          <w:u w:val="single"/>
        </w:rPr>
        <w:t xml:space="preserve"> </w:t>
      </w:r>
      <w:r>
        <w:rPr>
          <w:rFonts w:hint="default" w:ascii="Times New Roman" w:hAnsi="Times New Roman" w:eastAsia="仿宋" w:cs="Times New Roman"/>
          <w:color w:val="auto"/>
          <w:sz w:val="36"/>
          <w:szCs w:val="36"/>
          <w:highlight w:val="none"/>
          <w:u w:val="single"/>
          <w:lang w:val="en-US" w:eastAsia="zh-CN"/>
        </w:rPr>
        <w:t xml:space="preserve">   </w:t>
      </w:r>
      <w:r>
        <w:rPr>
          <w:rFonts w:hint="default" w:ascii="Times New Roman" w:hAnsi="Times New Roman" w:eastAsia="仿宋" w:cs="Times New Roman"/>
          <w:color w:val="auto"/>
          <w:sz w:val="36"/>
          <w:szCs w:val="36"/>
          <w:highlight w:val="none"/>
          <w:u w:val="single"/>
        </w:rPr>
        <w:t xml:space="preserve">     </w:t>
      </w:r>
      <w:r>
        <w:rPr>
          <w:rFonts w:hint="default" w:ascii="Times New Roman" w:hAnsi="Times New Roman" w:eastAsia="仿宋" w:cs="Times New Roman"/>
          <w:color w:val="auto"/>
          <w:sz w:val="36"/>
          <w:szCs w:val="36"/>
          <w:highlight w:val="none"/>
          <w:u w:val="single"/>
          <w:lang w:val="en-US" w:eastAsia="zh-CN"/>
        </w:rPr>
        <w:t xml:space="preserve"> </w:t>
      </w:r>
    </w:p>
    <w:p w14:paraId="620DA0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仿宋_GB2312" w:eastAsia="仿宋_GB2312"/>
          <w:color w:val="auto"/>
          <w:sz w:val="36"/>
          <w:szCs w:val="36"/>
          <w:highlight w:val="none"/>
          <w:u w:val="single"/>
        </w:rPr>
      </w:pPr>
      <w:bookmarkStart w:id="0" w:name="_Hlk57884087"/>
    </w:p>
    <w:p w14:paraId="76B15E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仿宋_GB2312" w:eastAsia="仿宋_GB2312"/>
          <w:color w:val="auto"/>
          <w:sz w:val="36"/>
          <w:szCs w:val="36"/>
          <w:highlight w:val="none"/>
        </w:rPr>
      </w:pPr>
    </w:p>
    <w:p w14:paraId="608EEE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仿宋_GB2312" w:eastAsia="仿宋_GB2312"/>
          <w:color w:val="auto"/>
          <w:sz w:val="36"/>
          <w:szCs w:val="36"/>
          <w:highlight w:val="none"/>
        </w:rPr>
      </w:pPr>
    </w:p>
    <w:p w14:paraId="1E2E8B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仿宋_GB2312" w:eastAsia="仿宋_GB2312"/>
          <w:color w:val="auto"/>
          <w:sz w:val="36"/>
          <w:szCs w:val="36"/>
          <w:highlight w:val="none"/>
          <w:lang w:val="en-US" w:eastAsia="zh-CN"/>
        </w:rPr>
      </w:pPr>
    </w:p>
    <w:p w14:paraId="201D8D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仿宋_GB2312" w:eastAsia="仿宋_GB2312"/>
          <w:color w:val="auto"/>
          <w:sz w:val="36"/>
          <w:szCs w:val="36"/>
          <w:highlight w:val="none"/>
        </w:rPr>
      </w:pPr>
    </w:p>
    <w:bookmarkEnd w:id="0"/>
    <w:p w14:paraId="0E9DCFD5">
      <w:pPr>
        <w:pStyle w:val="21"/>
        <w:ind w:left="0" w:leftChars="0" w:firstLine="0" w:firstLineChars="0"/>
        <w:jc w:val="center"/>
        <w:rPr>
          <w:rFonts w:hint="eastAsia" w:ascii="楷体_GB2312" w:eastAsia="楷体_GB2312"/>
          <w:sz w:val="36"/>
          <w:szCs w:val="36"/>
          <w:highlight w:val="none"/>
          <w:lang w:eastAsia="zh-CN"/>
        </w:rPr>
      </w:pPr>
      <w:r>
        <w:rPr>
          <w:rFonts w:hint="eastAsia" w:ascii="楷体_GB2312" w:eastAsia="楷体_GB2312"/>
          <w:color w:val="auto"/>
          <w:sz w:val="36"/>
          <w:szCs w:val="36"/>
          <w:highlight w:val="none"/>
        </w:rPr>
        <w:t>中华人民共和国生态环境部制</w:t>
      </w:r>
    </w:p>
    <w:p w14:paraId="1C3DBB6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highlight w:val="none"/>
          <w:lang w:eastAsia="zh-CN"/>
        </w:rPr>
      </w:pPr>
    </w:p>
    <w:p w14:paraId="45A215C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highlight w:val="none"/>
          <w:lang w:eastAsia="zh-CN"/>
        </w:rPr>
      </w:pPr>
    </w:p>
    <w:p w14:paraId="408E446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highlight w:val="none"/>
          <w:lang w:eastAsia="zh-CN"/>
        </w:rPr>
      </w:pPr>
    </w:p>
    <w:p w14:paraId="0E90AF6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highlight w:val="none"/>
        </w:rPr>
      </w:pPr>
    </w:p>
    <w:p w14:paraId="30CECCEB">
      <w:pPr>
        <w:adjustRightInd w:val="0"/>
        <w:snapToGrid w:val="0"/>
        <w:spacing w:line="288" w:lineRule="auto"/>
        <w:ind w:firstLine="1040"/>
        <w:rPr>
          <w:rFonts w:hint="eastAsia" w:ascii="仿宋_GB2312" w:eastAsia="仿宋_GB2312"/>
          <w:sz w:val="36"/>
          <w:szCs w:val="36"/>
          <w:highlight w:val="none"/>
          <w:lang w:eastAsia="zh-CN"/>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57AC3F19">
      <w:pPr>
        <w:pStyle w:val="19"/>
        <w:keepNext w:val="0"/>
        <w:keepLines w:val="0"/>
        <w:pageBreakBefore/>
        <w:widowControl w:val="0"/>
        <w:kinsoku/>
        <w:wordWrap/>
        <w:overflowPunct/>
        <w:topLinePunct w:val="0"/>
        <w:autoSpaceDE/>
        <w:autoSpaceDN/>
        <w:bidi w:val="0"/>
        <w:adjustRightInd/>
        <w:snapToGrid/>
        <w:jc w:val="center"/>
        <w:textAlignment w:val="auto"/>
        <w:outlineLvl w:val="0"/>
        <w:rPr>
          <w:rFonts w:hint="eastAsia" w:ascii="黑体" w:hAnsi="黑体" w:eastAsia="黑体"/>
          <w:snapToGrid w:val="0"/>
          <w:sz w:val="30"/>
          <w:szCs w:val="30"/>
          <w:highlight w:val="none"/>
        </w:rPr>
      </w:pPr>
      <w:bookmarkStart w:id="1" w:name="_Toc12316"/>
      <w:r>
        <w:rPr>
          <w:rFonts w:hint="eastAsia" w:ascii="黑体" w:hAnsi="黑体" w:eastAsia="黑体"/>
          <w:snapToGrid w:val="0"/>
          <w:sz w:val="30"/>
          <w:szCs w:val="30"/>
          <w:highlight w:val="none"/>
        </w:rPr>
        <w:t>一、建设项目基本情况</w:t>
      </w:r>
      <w:bookmarkEnd w:id="1"/>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42"/>
        <w:gridCol w:w="1615"/>
        <w:gridCol w:w="2177"/>
        <w:gridCol w:w="2736"/>
      </w:tblGrid>
      <w:tr w14:paraId="010BD6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35A8B26D">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建设项目名称</w:t>
            </w:r>
          </w:p>
        </w:tc>
        <w:tc>
          <w:tcPr>
            <w:tcW w:w="6528" w:type="dxa"/>
            <w:gridSpan w:val="3"/>
            <w:noWrap w:val="0"/>
            <w:vAlign w:val="center"/>
          </w:tcPr>
          <w:p w14:paraId="6A5CFD48">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年产1000吨钕铁硼生产线项目（二期）</w:t>
            </w:r>
          </w:p>
        </w:tc>
      </w:tr>
      <w:tr w14:paraId="6D8BBA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609BCC1B">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项目代码</w:t>
            </w:r>
          </w:p>
        </w:tc>
        <w:tc>
          <w:tcPr>
            <w:tcW w:w="6528" w:type="dxa"/>
            <w:gridSpan w:val="3"/>
            <w:noWrap w:val="0"/>
            <w:vAlign w:val="center"/>
          </w:tcPr>
          <w:p w14:paraId="15952059">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2502-140452-89-05-724804郭珍其</w:t>
            </w:r>
          </w:p>
        </w:tc>
      </w:tr>
      <w:tr w14:paraId="53E1C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2FEFFFF7">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建设单位联系人</w:t>
            </w:r>
          </w:p>
        </w:tc>
        <w:tc>
          <w:tcPr>
            <w:tcW w:w="6528" w:type="dxa"/>
            <w:gridSpan w:val="3"/>
            <w:noWrap w:val="0"/>
            <w:vAlign w:val="center"/>
          </w:tcPr>
          <w:p w14:paraId="3DB0DFB3">
            <w:pPr>
              <w:adjustRightInd w:val="0"/>
              <w:snapToGrid w:val="0"/>
              <w:jc w:val="center"/>
              <w:rPr>
                <w:rFonts w:hint="default" w:ascii="Times New Roman" w:hAnsi="Times New Roman" w:cs="Times New Roman"/>
                <w:sz w:val="24"/>
                <w:szCs w:val="24"/>
                <w:highlight w:val="none"/>
              </w:rPr>
            </w:pPr>
            <w:r>
              <w:rPr>
                <w:rFonts w:hint="eastAsia" w:ascii="Times New Roman" w:hAnsi="Times New Roman" w:eastAsia="宋体" w:cs="Times New Roman"/>
                <w:sz w:val="24"/>
                <w:szCs w:val="24"/>
                <w:highlight w:val="none"/>
                <w:lang w:val="en-US" w:eastAsia="zh-CN"/>
              </w:rPr>
              <w:t>郭珍其</w:t>
            </w:r>
          </w:p>
        </w:tc>
      </w:tr>
      <w:tr w14:paraId="26E0D8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3294606F">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建设地点</w:t>
            </w:r>
          </w:p>
        </w:tc>
        <w:tc>
          <w:tcPr>
            <w:tcW w:w="6528" w:type="dxa"/>
            <w:gridSpan w:val="3"/>
            <w:noWrap w:val="0"/>
            <w:vAlign w:val="center"/>
          </w:tcPr>
          <w:p w14:paraId="245AC4FE">
            <w:pPr>
              <w:adjustRightInd w:val="0"/>
              <w:snapToGrid w:val="0"/>
              <w:jc w:val="center"/>
              <w:rPr>
                <w:rFonts w:hint="default" w:ascii="Times New Roman" w:hAnsi="Times New Roman" w:cs="Times New Roman"/>
                <w:sz w:val="24"/>
                <w:szCs w:val="24"/>
                <w:highlight w:val="none"/>
                <w:lang w:val="en-US"/>
              </w:rPr>
            </w:pPr>
            <w:r>
              <w:rPr>
                <w:rFonts w:hint="default" w:ascii="Times New Roman" w:hAnsi="Times New Roman" w:cs="Times New Roman"/>
                <w:sz w:val="24"/>
                <w:szCs w:val="24"/>
                <w:highlight w:val="none"/>
                <w:u w:val="none"/>
                <w:lang w:val="en-US" w:eastAsia="zh-CN"/>
              </w:rPr>
              <w:t>山西</w:t>
            </w:r>
            <w:r>
              <w:rPr>
                <w:rFonts w:hint="default" w:ascii="Times New Roman" w:hAnsi="Times New Roman" w:cs="Times New Roman"/>
                <w:sz w:val="24"/>
                <w:szCs w:val="24"/>
                <w:highlight w:val="none"/>
                <w:u w:val="none"/>
              </w:rPr>
              <w:t>省</w:t>
            </w:r>
            <w:r>
              <w:rPr>
                <w:rFonts w:hint="eastAsia" w:ascii="Times New Roman" w:hAnsi="Times New Roman" w:cs="Times New Roman"/>
                <w:sz w:val="24"/>
                <w:szCs w:val="24"/>
                <w:highlight w:val="none"/>
                <w:u w:val="none"/>
                <w:lang w:val="en-US" w:eastAsia="zh-CN"/>
              </w:rPr>
              <w:t>长治</w:t>
            </w:r>
            <w:r>
              <w:rPr>
                <w:rFonts w:hint="default" w:ascii="Times New Roman" w:hAnsi="Times New Roman" w:cs="Times New Roman"/>
                <w:sz w:val="24"/>
                <w:szCs w:val="24"/>
                <w:highlight w:val="none"/>
                <w:u w:val="none"/>
              </w:rPr>
              <w:t>市</w:t>
            </w:r>
            <w:r>
              <w:rPr>
                <w:rFonts w:hint="eastAsia" w:ascii="Times New Roman" w:hAnsi="Times New Roman" w:cs="Times New Roman"/>
                <w:sz w:val="24"/>
                <w:szCs w:val="24"/>
                <w:highlight w:val="none"/>
                <w:u w:val="none"/>
                <w:lang w:val="en-US" w:eastAsia="zh-CN"/>
              </w:rPr>
              <w:t>壶关县集店镇集店村（山西晋皖电力南）</w:t>
            </w:r>
          </w:p>
        </w:tc>
      </w:tr>
      <w:tr w14:paraId="6BAE6C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4C16DB5E">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地理坐标</w:t>
            </w:r>
          </w:p>
        </w:tc>
        <w:tc>
          <w:tcPr>
            <w:tcW w:w="6528" w:type="dxa"/>
            <w:gridSpan w:val="3"/>
            <w:noWrap w:val="0"/>
            <w:vAlign w:val="center"/>
          </w:tcPr>
          <w:p w14:paraId="39F2D02F">
            <w:pPr>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u w:val="single"/>
                <w:lang w:val="en-US" w:eastAsia="zh-CN"/>
              </w:rPr>
              <w:t>113</w:t>
            </w:r>
            <w:r>
              <w:rPr>
                <w:rFonts w:hint="default" w:ascii="Times New Roman" w:hAnsi="Times New Roman" w:cs="Times New Roman"/>
                <w:sz w:val="24"/>
                <w:szCs w:val="24"/>
                <w:highlight w:val="none"/>
              </w:rPr>
              <w:t>度</w:t>
            </w:r>
            <w:r>
              <w:rPr>
                <w:rFonts w:hint="eastAsia" w:ascii="Times New Roman" w:hAnsi="Times New Roman" w:cs="Times New Roman"/>
                <w:sz w:val="24"/>
                <w:szCs w:val="24"/>
                <w:highlight w:val="none"/>
                <w:u w:val="single"/>
                <w:lang w:val="en-US" w:eastAsia="zh-CN"/>
              </w:rPr>
              <w:t>12</w:t>
            </w:r>
            <w:r>
              <w:rPr>
                <w:rFonts w:hint="default" w:ascii="Times New Roman" w:hAnsi="Times New Roman" w:cs="Times New Roman"/>
                <w:sz w:val="24"/>
                <w:szCs w:val="24"/>
                <w:highlight w:val="none"/>
              </w:rPr>
              <w:t>分</w:t>
            </w:r>
            <w:r>
              <w:rPr>
                <w:rFonts w:hint="eastAsia" w:ascii="Times New Roman" w:hAnsi="Times New Roman" w:cs="Times New Roman"/>
                <w:sz w:val="24"/>
                <w:szCs w:val="24"/>
                <w:highlight w:val="none"/>
                <w:u w:val="single"/>
                <w:lang w:val="en-US" w:eastAsia="zh-CN"/>
              </w:rPr>
              <w:t>28.402</w:t>
            </w:r>
            <w:r>
              <w:rPr>
                <w:rFonts w:hint="default" w:ascii="Times New Roman" w:hAnsi="Times New Roman" w:cs="Times New Roman"/>
                <w:sz w:val="24"/>
                <w:szCs w:val="24"/>
                <w:highlight w:val="none"/>
              </w:rPr>
              <w:t>秒，</w:t>
            </w:r>
            <w:r>
              <w:rPr>
                <w:rFonts w:hint="eastAsia" w:ascii="Times New Roman" w:hAnsi="Times New Roman" w:cs="Times New Roman"/>
                <w:sz w:val="24"/>
                <w:szCs w:val="24"/>
                <w:highlight w:val="none"/>
                <w:u w:val="single"/>
                <w:lang w:val="en-US" w:eastAsia="zh-CN"/>
              </w:rPr>
              <w:t>36</w:t>
            </w:r>
            <w:r>
              <w:rPr>
                <w:rFonts w:hint="default" w:ascii="Times New Roman" w:hAnsi="Times New Roman" w:cs="Times New Roman"/>
                <w:sz w:val="24"/>
                <w:szCs w:val="24"/>
                <w:highlight w:val="none"/>
              </w:rPr>
              <w:t>度</w:t>
            </w:r>
            <w:r>
              <w:rPr>
                <w:rFonts w:hint="eastAsia" w:ascii="Times New Roman" w:hAnsi="Times New Roman" w:cs="Times New Roman"/>
                <w:sz w:val="24"/>
                <w:szCs w:val="24"/>
                <w:highlight w:val="none"/>
                <w:u w:val="single"/>
                <w:lang w:val="en-US" w:eastAsia="zh-CN"/>
              </w:rPr>
              <w:t>8</w:t>
            </w:r>
            <w:r>
              <w:rPr>
                <w:rFonts w:hint="default" w:ascii="Times New Roman" w:hAnsi="Times New Roman" w:cs="Times New Roman"/>
                <w:sz w:val="24"/>
                <w:szCs w:val="24"/>
                <w:highlight w:val="none"/>
              </w:rPr>
              <w:t>分</w:t>
            </w:r>
            <w:r>
              <w:rPr>
                <w:rFonts w:hint="eastAsia" w:ascii="Times New Roman" w:hAnsi="Times New Roman" w:cs="Times New Roman"/>
                <w:sz w:val="24"/>
                <w:szCs w:val="24"/>
                <w:highlight w:val="none"/>
                <w:u w:val="single"/>
                <w:lang w:val="en-US" w:eastAsia="zh-CN"/>
              </w:rPr>
              <w:t>35.303</w:t>
            </w:r>
            <w:r>
              <w:rPr>
                <w:rFonts w:hint="default" w:ascii="Times New Roman" w:hAnsi="Times New Roman" w:cs="Times New Roman"/>
                <w:sz w:val="24"/>
                <w:szCs w:val="24"/>
                <w:highlight w:val="none"/>
              </w:rPr>
              <w:t>秒）</w:t>
            </w:r>
          </w:p>
        </w:tc>
      </w:tr>
      <w:tr w14:paraId="5973F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0B8551B1">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国民经济</w:t>
            </w:r>
          </w:p>
          <w:p w14:paraId="03BF9B8B">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行业类别</w:t>
            </w:r>
          </w:p>
        </w:tc>
        <w:tc>
          <w:tcPr>
            <w:tcW w:w="1615" w:type="dxa"/>
            <w:noWrap w:val="0"/>
            <w:vAlign w:val="center"/>
          </w:tcPr>
          <w:p w14:paraId="5EB4A764">
            <w:pPr>
              <w:adjustRightInd w:val="0"/>
              <w:snapToGrid w:val="0"/>
              <w:rPr>
                <w:rFonts w:hint="default"/>
                <w:sz w:val="24"/>
                <w:szCs w:val="24"/>
                <w:highlight w:val="none"/>
                <w:lang w:val="en-US" w:eastAsia="zh-CN"/>
              </w:rPr>
            </w:pPr>
            <w:r>
              <w:rPr>
                <w:rFonts w:hint="eastAsia"/>
                <w:sz w:val="24"/>
                <w:szCs w:val="24"/>
                <w:highlight w:val="none"/>
                <w:lang w:val="en-US" w:eastAsia="zh-CN"/>
              </w:rPr>
              <w:t>C3985电子专用材料制造</w:t>
            </w:r>
          </w:p>
        </w:tc>
        <w:tc>
          <w:tcPr>
            <w:tcW w:w="2177" w:type="dxa"/>
            <w:noWrap w:val="0"/>
            <w:vAlign w:val="center"/>
          </w:tcPr>
          <w:p w14:paraId="2C14F047">
            <w:pPr>
              <w:adjustRightInd w:val="0"/>
              <w:snapToGrid w:val="0"/>
              <w:jc w:val="center"/>
              <w:rPr>
                <w:rFonts w:hint="default" w:ascii="Times New Roman" w:hAnsi="Times New Roman" w:cs="Times New Roman"/>
                <w:sz w:val="24"/>
                <w:szCs w:val="24"/>
                <w:highlight w:val="none"/>
              </w:rPr>
            </w:pPr>
            <w:bookmarkStart w:id="2" w:name="_Hlk49843745"/>
            <w:r>
              <w:rPr>
                <w:rFonts w:hint="default" w:ascii="Times New Roman" w:hAnsi="Times New Roman" w:cs="Times New Roman"/>
                <w:sz w:val="24"/>
                <w:szCs w:val="24"/>
                <w:highlight w:val="none"/>
              </w:rPr>
              <w:t>建设项目</w:t>
            </w:r>
          </w:p>
          <w:p w14:paraId="0E543F58">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行业类别</w:t>
            </w:r>
            <w:bookmarkEnd w:id="2"/>
          </w:p>
        </w:tc>
        <w:tc>
          <w:tcPr>
            <w:tcW w:w="2736" w:type="dxa"/>
            <w:noWrap w:val="0"/>
            <w:vAlign w:val="center"/>
          </w:tcPr>
          <w:p w14:paraId="726867AD">
            <w:pPr>
              <w:adjustRightInd w:val="0"/>
              <w:snapToGrid w:val="0"/>
              <w:rPr>
                <w:rFonts w:hint="default" w:ascii="Times New Roman" w:hAnsi="Times New Roman" w:cs="Times New Roman"/>
                <w:sz w:val="24"/>
                <w:szCs w:val="24"/>
                <w:highlight w:val="none"/>
                <w:lang w:val="en-US"/>
              </w:rPr>
            </w:pPr>
            <w:r>
              <w:rPr>
                <w:rFonts w:hint="eastAsia" w:ascii="Times New Roman" w:hAnsi="Times New Roman" w:cs="Times New Roman"/>
                <w:color w:val="auto"/>
                <w:sz w:val="24"/>
                <w:szCs w:val="24"/>
                <w:highlight w:val="none"/>
                <w:lang w:val="en-US" w:eastAsia="zh-CN"/>
              </w:rPr>
              <w:t>三十六</w:t>
            </w:r>
            <w:r>
              <w:rPr>
                <w:rFonts w:hint="default" w:ascii="Times New Roman" w:hAnsi="Times New Roman"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计算机、通信和其他电子设备制造业 81电子元件及电子专用材料制造398</w:t>
            </w:r>
          </w:p>
        </w:tc>
      </w:tr>
      <w:tr w14:paraId="60DBD6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54C835E1">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建设性质</w:t>
            </w:r>
          </w:p>
        </w:tc>
        <w:tc>
          <w:tcPr>
            <w:tcW w:w="1615" w:type="dxa"/>
            <w:noWrap w:val="0"/>
            <w:vAlign w:val="center"/>
          </w:tcPr>
          <w:p w14:paraId="5F342841">
            <w:pPr>
              <w:jc w:val="left"/>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52"/>
            </w:r>
            <w:r>
              <w:rPr>
                <w:rFonts w:hint="default" w:ascii="Times New Roman" w:hAnsi="Times New Roman" w:cs="Times New Roman"/>
                <w:sz w:val="24"/>
                <w:szCs w:val="24"/>
                <w:highlight w:val="none"/>
              </w:rPr>
              <w:t>新建（迁建）</w:t>
            </w:r>
          </w:p>
          <w:p w14:paraId="6D7DC31C">
            <w:pPr>
              <w:jc w:val="left"/>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A3"/>
            </w:r>
            <w:r>
              <w:rPr>
                <w:rFonts w:hint="default" w:ascii="Times New Roman" w:hAnsi="Times New Roman" w:cs="Times New Roman"/>
                <w:sz w:val="24"/>
                <w:szCs w:val="24"/>
                <w:highlight w:val="none"/>
              </w:rPr>
              <w:t>改建</w:t>
            </w:r>
          </w:p>
          <w:p w14:paraId="75671CAC">
            <w:pPr>
              <w:jc w:val="left"/>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A3"/>
            </w:r>
            <w:r>
              <w:rPr>
                <w:rFonts w:hint="default" w:ascii="Times New Roman" w:hAnsi="Times New Roman" w:cs="Times New Roman"/>
                <w:sz w:val="24"/>
                <w:szCs w:val="24"/>
                <w:highlight w:val="none"/>
              </w:rPr>
              <w:t>扩建</w:t>
            </w:r>
          </w:p>
          <w:p w14:paraId="5088BD4D">
            <w:pPr>
              <w:jc w:val="left"/>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A3"/>
            </w:r>
            <w:r>
              <w:rPr>
                <w:rFonts w:hint="default" w:ascii="Times New Roman" w:hAnsi="Times New Roman" w:cs="Times New Roman"/>
                <w:sz w:val="24"/>
                <w:szCs w:val="24"/>
                <w:highlight w:val="none"/>
              </w:rPr>
              <w:t>技术改造</w:t>
            </w:r>
          </w:p>
        </w:tc>
        <w:tc>
          <w:tcPr>
            <w:tcW w:w="2177" w:type="dxa"/>
            <w:noWrap w:val="0"/>
            <w:vAlign w:val="center"/>
          </w:tcPr>
          <w:p w14:paraId="5355E118">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建设项目</w:t>
            </w:r>
          </w:p>
          <w:p w14:paraId="1811FE34">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申报情形</w:t>
            </w:r>
          </w:p>
        </w:tc>
        <w:tc>
          <w:tcPr>
            <w:tcW w:w="2736" w:type="dxa"/>
            <w:noWrap w:val="0"/>
            <w:vAlign w:val="center"/>
          </w:tcPr>
          <w:p w14:paraId="3D1AA674">
            <w:pPr>
              <w:jc w:val="left"/>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52"/>
            </w:r>
            <w:r>
              <w:rPr>
                <w:rFonts w:hint="default" w:ascii="Times New Roman" w:hAnsi="Times New Roman" w:cs="Times New Roman"/>
                <w:sz w:val="24"/>
                <w:szCs w:val="24"/>
                <w:highlight w:val="none"/>
              </w:rPr>
              <w:t>首次申报项目</w:t>
            </w:r>
          </w:p>
          <w:p w14:paraId="69F3CE93">
            <w:pPr>
              <w:jc w:val="left"/>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A3"/>
            </w:r>
            <w:r>
              <w:rPr>
                <w:rFonts w:hint="default" w:ascii="Times New Roman" w:hAnsi="Times New Roman" w:cs="Times New Roman"/>
                <w:sz w:val="24"/>
                <w:szCs w:val="24"/>
                <w:highlight w:val="none"/>
              </w:rPr>
              <w:t>不予批准后再次申报项目</w:t>
            </w:r>
          </w:p>
          <w:p w14:paraId="25CC4C5F">
            <w:pPr>
              <w:jc w:val="left"/>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A3"/>
            </w:r>
            <w:r>
              <w:rPr>
                <w:rFonts w:hint="default" w:ascii="Times New Roman" w:hAnsi="Times New Roman" w:cs="Times New Roman"/>
                <w:sz w:val="24"/>
                <w:szCs w:val="24"/>
                <w:highlight w:val="none"/>
              </w:rPr>
              <w:t>超五年重新审核项目</w:t>
            </w:r>
          </w:p>
          <w:p w14:paraId="75BECD87">
            <w:pPr>
              <w:jc w:val="left"/>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A3"/>
            </w:r>
            <w:r>
              <w:rPr>
                <w:rFonts w:hint="default" w:ascii="Times New Roman" w:hAnsi="Times New Roman" w:cs="Times New Roman"/>
                <w:sz w:val="24"/>
                <w:szCs w:val="24"/>
                <w:highlight w:val="none"/>
              </w:rPr>
              <w:t>重大变动重新报批项目</w:t>
            </w:r>
          </w:p>
        </w:tc>
      </w:tr>
      <w:tr w14:paraId="7D259B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7CA5111A">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项目审批（核准/</w:t>
            </w:r>
          </w:p>
          <w:p w14:paraId="77BB9BA1">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备案）部门（选填）</w:t>
            </w:r>
          </w:p>
        </w:tc>
        <w:tc>
          <w:tcPr>
            <w:tcW w:w="1615" w:type="dxa"/>
            <w:noWrap w:val="0"/>
            <w:vAlign w:val="center"/>
          </w:tcPr>
          <w:p w14:paraId="38A955EC">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壶关经济开发区管理委员会</w:t>
            </w:r>
          </w:p>
        </w:tc>
        <w:tc>
          <w:tcPr>
            <w:tcW w:w="2177" w:type="dxa"/>
            <w:noWrap w:val="0"/>
            <w:vAlign w:val="center"/>
          </w:tcPr>
          <w:p w14:paraId="05255DD5">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项目审批（核准/</w:t>
            </w:r>
          </w:p>
          <w:p w14:paraId="72E86EDC">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备案）文号（选填）</w:t>
            </w:r>
          </w:p>
        </w:tc>
        <w:tc>
          <w:tcPr>
            <w:tcW w:w="2736" w:type="dxa"/>
            <w:noWrap w:val="0"/>
            <w:vAlign w:val="center"/>
          </w:tcPr>
          <w:p w14:paraId="041BCF03">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2502-140452-89-05-724804</w:t>
            </w:r>
          </w:p>
        </w:tc>
      </w:tr>
      <w:tr w14:paraId="6EC7CB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10DF87F4">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总投资（万元）</w:t>
            </w:r>
          </w:p>
        </w:tc>
        <w:tc>
          <w:tcPr>
            <w:tcW w:w="1615" w:type="dxa"/>
            <w:noWrap w:val="0"/>
            <w:vAlign w:val="center"/>
          </w:tcPr>
          <w:p w14:paraId="5896397C">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5000</w:t>
            </w:r>
          </w:p>
        </w:tc>
        <w:tc>
          <w:tcPr>
            <w:tcW w:w="2177" w:type="dxa"/>
            <w:noWrap w:val="0"/>
            <w:tcMar>
              <w:top w:w="16" w:type="dxa"/>
              <w:left w:w="16" w:type="dxa"/>
              <w:right w:w="16" w:type="dxa"/>
            </w:tcMar>
            <w:vAlign w:val="center"/>
          </w:tcPr>
          <w:p w14:paraId="73EE4B29">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环保投资（万元）</w:t>
            </w:r>
          </w:p>
        </w:tc>
        <w:tc>
          <w:tcPr>
            <w:tcW w:w="2736" w:type="dxa"/>
            <w:noWrap w:val="0"/>
            <w:vAlign w:val="center"/>
          </w:tcPr>
          <w:p w14:paraId="464F150B">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125</w:t>
            </w:r>
          </w:p>
        </w:tc>
      </w:tr>
      <w:tr w14:paraId="6DCA0A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764F450A">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环保投资占比（%）</w:t>
            </w:r>
          </w:p>
        </w:tc>
        <w:tc>
          <w:tcPr>
            <w:tcW w:w="1615" w:type="dxa"/>
            <w:noWrap w:val="0"/>
            <w:vAlign w:val="center"/>
          </w:tcPr>
          <w:p w14:paraId="37AE8817">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2.5</w:t>
            </w:r>
          </w:p>
        </w:tc>
        <w:tc>
          <w:tcPr>
            <w:tcW w:w="2177" w:type="dxa"/>
            <w:noWrap w:val="0"/>
            <w:tcMar>
              <w:top w:w="16" w:type="dxa"/>
              <w:left w:w="16" w:type="dxa"/>
              <w:right w:w="16" w:type="dxa"/>
            </w:tcMar>
            <w:vAlign w:val="center"/>
          </w:tcPr>
          <w:p w14:paraId="2D134C52">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施工工期</w:t>
            </w:r>
          </w:p>
        </w:tc>
        <w:tc>
          <w:tcPr>
            <w:tcW w:w="2736" w:type="dxa"/>
            <w:noWrap w:val="0"/>
            <w:vAlign w:val="center"/>
          </w:tcPr>
          <w:p w14:paraId="2F6D6ABA">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cs="Times New Roman"/>
                <w:sz w:val="24"/>
                <w:szCs w:val="24"/>
                <w:highlight w:val="none"/>
                <w:lang w:val="en-US" w:eastAsia="zh-CN"/>
              </w:rPr>
              <w:t>6个月</w:t>
            </w:r>
          </w:p>
        </w:tc>
      </w:tr>
      <w:tr w14:paraId="4E604B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2342" w:type="dxa"/>
            <w:noWrap w:val="0"/>
            <w:tcMar>
              <w:top w:w="16" w:type="dxa"/>
              <w:left w:w="16" w:type="dxa"/>
              <w:right w:w="16" w:type="dxa"/>
            </w:tcMar>
            <w:vAlign w:val="center"/>
          </w:tcPr>
          <w:p w14:paraId="4D9478EB">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是否开工建设</w:t>
            </w:r>
          </w:p>
        </w:tc>
        <w:tc>
          <w:tcPr>
            <w:tcW w:w="1615" w:type="dxa"/>
            <w:noWrap w:val="0"/>
            <w:vAlign w:val="center"/>
          </w:tcPr>
          <w:p w14:paraId="2A4F196A">
            <w:pPr>
              <w:adjustRightInd w:val="0"/>
              <w:snapToGrid w:val="0"/>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52"/>
            </w:r>
            <w:r>
              <w:rPr>
                <w:rFonts w:hint="default" w:ascii="Times New Roman" w:hAnsi="Times New Roman" w:cs="Times New Roman"/>
                <w:sz w:val="24"/>
                <w:szCs w:val="24"/>
                <w:highlight w:val="none"/>
              </w:rPr>
              <w:t>否</w:t>
            </w:r>
          </w:p>
          <w:p w14:paraId="30087B18">
            <w:pPr>
              <w:adjustRightInd w:val="0"/>
              <w:snapToGrid w:val="0"/>
              <w:rPr>
                <w:rFonts w:hint="default" w:ascii="Times New Roman" w:hAnsi="Times New Roman" w:cs="Times New Roman"/>
                <w:sz w:val="24"/>
                <w:szCs w:val="24"/>
                <w:highlight w:val="none"/>
              </w:rPr>
            </w:pPr>
            <w:r>
              <w:rPr>
                <w:rFonts w:hint="default" w:ascii="Times New Roman" w:hAnsi="Times New Roman" w:eastAsia="宋体" w:cs="Times New Roman"/>
                <w:color w:val="000000"/>
                <w:spacing w:val="0"/>
                <w:kern w:val="0"/>
                <w:sz w:val="21"/>
                <w:szCs w:val="21"/>
                <w:highlight w:val="none"/>
              </w:rPr>
              <w:sym w:font="Wingdings 2" w:char="00A3"/>
            </w:r>
            <w:r>
              <w:rPr>
                <w:rFonts w:hint="default" w:ascii="Times New Roman" w:hAnsi="Times New Roman" w:cs="Times New Roman"/>
                <w:sz w:val="24"/>
                <w:szCs w:val="24"/>
                <w:highlight w:val="none"/>
              </w:rPr>
              <w:t>是：</w:t>
            </w:r>
          </w:p>
        </w:tc>
        <w:tc>
          <w:tcPr>
            <w:tcW w:w="2177" w:type="dxa"/>
            <w:noWrap w:val="0"/>
            <w:tcMar>
              <w:top w:w="16" w:type="dxa"/>
              <w:left w:w="16" w:type="dxa"/>
              <w:right w:w="16" w:type="dxa"/>
            </w:tcMar>
            <w:vAlign w:val="center"/>
          </w:tcPr>
          <w:p w14:paraId="7C34555C">
            <w:pPr>
              <w:adjustRightInd w:val="0"/>
              <w:snapToGrid w:val="0"/>
              <w:jc w:val="center"/>
              <w:rPr>
                <w:rFonts w:hint="default" w:ascii="Times New Roman" w:hAnsi="Times New Roman" w:cs="Times New Roman"/>
                <w:spacing w:val="-6"/>
                <w:sz w:val="24"/>
                <w:szCs w:val="24"/>
                <w:highlight w:val="none"/>
              </w:rPr>
            </w:pPr>
            <w:r>
              <w:rPr>
                <w:rFonts w:hint="default" w:ascii="Times New Roman" w:hAnsi="Times New Roman" w:cs="Times New Roman"/>
                <w:spacing w:val="-6"/>
                <w:sz w:val="24"/>
                <w:szCs w:val="24"/>
                <w:highlight w:val="none"/>
              </w:rPr>
              <w:t>用地（用海）</w:t>
            </w:r>
          </w:p>
          <w:p w14:paraId="53ACD4C4">
            <w:pPr>
              <w:adjustRightInd w:val="0"/>
              <w:snapToGrid w:val="0"/>
              <w:jc w:val="center"/>
              <w:rPr>
                <w:rFonts w:hint="default" w:ascii="Times New Roman" w:hAnsi="Times New Roman" w:cs="Times New Roman"/>
                <w:sz w:val="24"/>
                <w:szCs w:val="24"/>
                <w:highlight w:val="none"/>
              </w:rPr>
            </w:pPr>
            <w:r>
              <w:rPr>
                <w:rFonts w:hint="default" w:ascii="Times New Roman" w:hAnsi="Times New Roman" w:cs="Times New Roman"/>
                <w:spacing w:val="-6"/>
                <w:sz w:val="24"/>
                <w:szCs w:val="24"/>
                <w:highlight w:val="none"/>
              </w:rPr>
              <w:t>面积（m</w:t>
            </w:r>
            <w:r>
              <w:rPr>
                <w:rFonts w:hint="default" w:ascii="Times New Roman" w:hAnsi="Times New Roman" w:cs="Times New Roman"/>
                <w:spacing w:val="-6"/>
                <w:sz w:val="24"/>
                <w:szCs w:val="24"/>
                <w:highlight w:val="none"/>
                <w:vertAlign w:val="superscript"/>
              </w:rPr>
              <w:t>2</w:t>
            </w:r>
            <w:r>
              <w:rPr>
                <w:rFonts w:hint="default" w:ascii="Times New Roman" w:hAnsi="Times New Roman" w:cs="Times New Roman"/>
                <w:spacing w:val="-6"/>
                <w:sz w:val="24"/>
                <w:szCs w:val="24"/>
                <w:highlight w:val="none"/>
              </w:rPr>
              <w:t>）</w:t>
            </w:r>
          </w:p>
        </w:tc>
        <w:tc>
          <w:tcPr>
            <w:tcW w:w="2736" w:type="dxa"/>
            <w:noWrap w:val="0"/>
            <w:vAlign w:val="center"/>
          </w:tcPr>
          <w:p w14:paraId="3C14FF4F">
            <w:pPr>
              <w:adjustRightInd w:val="0"/>
              <w:snapToGrid w:val="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13000</w:t>
            </w:r>
          </w:p>
        </w:tc>
      </w:tr>
      <w:tr w14:paraId="4DD5AA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342" w:type="dxa"/>
            <w:noWrap w:val="0"/>
            <w:vAlign w:val="center"/>
          </w:tcPr>
          <w:p w14:paraId="2ACA49BE">
            <w:pPr>
              <w:autoSpaceDE w:val="0"/>
              <w:autoSpaceDN w:val="0"/>
              <w:adjustRightInd w:val="0"/>
              <w:snapToGrid w:val="0"/>
              <w:jc w:val="center"/>
              <w:rPr>
                <w:rFonts w:hint="default"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专项评价设置情况</w:t>
            </w:r>
          </w:p>
        </w:tc>
        <w:tc>
          <w:tcPr>
            <w:tcW w:w="6528" w:type="dxa"/>
            <w:gridSpan w:val="3"/>
            <w:noWrap w:val="0"/>
            <w:vAlign w:val="center"/>
          </w:tcPr>
          <w:p w14:paraId="0EC87C70">
            <w:pPr>
              <w:pStyle w:val="21"/>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sz w:val="24"/>
                <w:szCs w:val="24"/>
                <w:highlight w:val="none"/>
                <w:lang w:val="en-US" w:eastAsia="zh-CN"/>
              </w:rPr>
            </w:pPr>
            <w:r>
              <w:rPr>
                <w:rFonts w:hint="eastAsia"/>
                <w:sz w:val="24"/>
                <w:szCs w:val="24"/>
                <w:highlight w:val="none"/>
                <w:lang w:val="en-US" w:eastAsia="zh-CN"/>
              </w:rPr>
              <w:t>无</w:t>
            </w:r>
          </w:p>
        </w:tc>
      </w:tr>
    </w:tbl>
    <w:p w14:paraId="3781175D">
      <w:pPr>
        <w:rPr>
          <w:highlight w:val="none"/>
        </w:rPr>
        <w:sectPr>
          <w:footerReference r:id="rId5" w:type="default"/>
          <w:pgSz w:w="11906" w:h="16838"/>
          <w:pgMar w:top="1701" w:right="1531" w:bottom="1701" w:left="1531" w:header="851" w:footer="1417" w:gutter="0"/>
          <w:pgBorders>
            <w:top w:val="none" w:sz="0" w:space="0"/>
            <w:left w:val="none" w:sz="0" w:space="0"/>
            <w:bottom w:val="none" w:sz="0" w:space="0"/>
            <w:right w:val="none" w:sz="0" w:space="0"/>
          </w:pgBorders>
          <w:pgNumType w:fmt="decimal" w:start="1"/>
          <w:cols w:space="720" w:num="1"/>
          <w:docGrid w:linePitch="312" w:charSpace="0"/>
        </w:sectPr>
      </w:pPr>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15"/>
        <w:gridCol w:w="7355"/>
      </w:tblGrid>
      <w:tr w14:paraId="430E7C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1515" w:type="dxa"/>
            <w:noWrap w:val="0"/>
            <w:vAlign w:val="center"/>
          </w:tcPr>
          <w:p w14:paraId="0D33A8E3">
            <w:pPr>
              <w:autoSpaceDE w:val="0"/>
              <w:autoSpaceDN w:val="0"/>
              <w:adjustRightInd w:val="0"/>
              <w:snapToGrid w:val="0"/>
              <w:jc w:val="center"/>
              <w:rPr>
                <w:rFonts w:hint="default" w:ascii="Times New Roman" w:hAnsi="Times New Roman" w:cs="Times New Roman"/>
                <w:kern w:val="0"/>
                <w:szCs w:val="21"/>
                <w:highlight w:val="none"/>
              </w:rPr>
            </w:pPr>
            <w:r>
              <w:rPr>
                <w:rFonts w:hint="default" w:ascii="Times New Roman" w:hAnsi="Times New Roman" w:cs="Times New Roman"/>
                <w:szCs w:val="21"/>
                <w:highlight w:val="none"/>
              </w:rPr>
              <w:t>规划情况</w:t>
            </w:r>
          </w:p>
        </w:tc>
        <w:tc>
          <w:tcPr>
            <w:tcW w:w="7355" w:type="dxa"/>
            <w:noWrap w:val="0"/>
            <w:vAlign w:val="center"/>
          </w:tcPr>
          <w:p w14:paraId="6B4CB899">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壶关经济开发区前身为壶关常平经济开发区。2006年，山西省人民政府以晋政函</w:t>
            </w:r>
            <w:r>
              <w:rPr>
                <w:rFonts w:hint="eastAsia" w:cs="Times New Roman"/>
                <w:sz w:val="24"/>
                <w:szCs w:val="24"/>
                <w:highlight w:val="none"/>
                <w:lang w:val="en-US" w:eastAsia="zh-CN"/>
              </w:rPr>
              <w:t>〔2006〕58号</w:t>
            </w:r>
            <w:r>
              <w:rPr>
                <w:rFonts w:hint="default" w:ascii="Times New Roman" w:hAnsi="Times New Roman" w:eastAsia="宋体" w:cs="Times New Roman"/>
                <w:sz w:val="24"/>
                <w:szCs w:val="24"/>
                <w:highlight w:val="none"/>
                <w:lang w:val="en-US" w:eastAsia="zh-CN"/>
              </w:rPr>
              <w:t>文正式批准壶关经济开发区为省级开发区，同年经</w:t>
            </w:r>
            <w:r>
              <w:rPr>
                <w:rFonts w:hint="eastAsia" w:cs="Times New Roman"/>
                <w:sz w:val="24"/>
                <w:szCs w:val="24"/>
                <w:highlight w:val="none"/>
                <w:lang w:val="en-US" w:eastAsia="zh-CN"/>
              </w:rPr>
              <w:t>国家发展改革委</w:t>
            </w:r>
            <w:r>
              <w:rPr>
                <w:rFonts w:hint="default" w:ascii="Times New Roman" w:hAnsi="Times New Roman" w:eastAsia="宋体" w:cs="Times New Roman"/>
                <w:sz w:val="24"/>
                <w:szCs w:val="24"/>
                <w:highlight w:val="none"/>
                <w:lang w:val="en-US" w:eastAsia="zh-CN"/>
              </w:rPr>
              <w:t>认定纳入中国开发区公告目录，名称正式确立为壶关经济开发区。2016年，开发区管委会委托山西省城乡规划设计研究院编制完成了《壶关经济开发区扩区可行性研究报告》，2017年，山西省人民政府以晋政函</w:t>
            </w:r>
            <w:r>
              <w:rPr>
                <w:rFonts w:hint="eastAsia" w:cs="Times New Roman"/>
                <w:sz w:val="24"/>
                <w:szCs w:val="24"/>
                <w:highlight w:val="none"/>
                <w:lang w:val="en-US" w:eastAsia="zh-CN"/>
              </w:rPr>
              <w:t>〔2017〕117号</w:t>
            </w:r>
            <w:r>
              <w:rPr>
                <w:rFonts w:hint="default" w:ascii="Times New Roman" w:hAnsi="Times New Roman" w:eastAsia="宋体" w:cs="Times New Roman"/>
                <w:sz w:val="24"/>
                <w:szCs w:val="24"/>
                <w:highlight w:val="none"/>
                <w:lang w:val="en-US" w:eastAsia="zh-CN"/>
              </w:rPr>
              <w:t>文同意壶关经济开发区扩区。2019年8月壶关经济开发区管理委员会委托北京北达城乡规划设计研究院</w:t>
            </w:r>
            <w:r>
              <w:rPr>
                <w:rFonts w:hint="eastAsia" w:ascii="Times New Roman" w:hAnsi="Times New Roman" w:eastAsia="宋体" w:cs="Times New Roman"/>
                <w:sz w:val="24"/>
                <w:szCs w:val="24"/>
                <w:highlight w:val="none"/>
                <w:lang w:val="en-US" w:eastAsia="zh-CN"/>
              </w:rPr>
              <w:t>编制了</w:t>
            </w:r>
            <w:r>
              <w:rPr>
                <w:rFonts w:hint="default" w:ascii="Times New Roman" w:hAnsi="Times New Roman" w:eastAsia="宋体" w:cs="Times New Roman"/>
                <w:sz w:val="24"/>
                <w:szCs w:val="24"/>
                <w:highlight w:val="none"/>
                <w:lang w:val="en-US" w:eastAsia="zh-CN"/>
              </w:rPr>
              <w:t>《壶关经济开发区</w:t>
            </w:r>
            <w:r>
              <w:rPr>
                <w:rFonts w:hint="eastAsia" w:ascii="Times New Roman" w:hAnsi="Times New Roman" w:eastAsia="宋体" w:cs="Times New Roman"/>
                <w:sz w:val="24"/>
                <w:szCs w:val="24"/>
                <w:highlight w:val="none"/>
                <w:lang w:val="en-US" w:eastAsia="zh-CN"/>
              </w:rPr>
              <w:t>扩区</w:t>
            </w:r>
            <w:r>
              <w:rPr>
                <w:rFonts w:hint="default" w:ascii="Times New Roman" w:hAnsi="Times New Roman" w:eastAsia="宋体" w:cs="Times New Roman"/>
                <w:sz w:val="24"/>
                <w:szCs w:val="24"/>
                <w:highlight w:val="none"/>
                <w:lang w:val="en-US" w:eastAsia="zh-CN"/>
              </w:rPr>
              <w:t>总体规划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2020-2035</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w:t>
            </w:r>
          </w:p>
        </w:tc>
      </w:tr>
      <w:tr w14:paraId="68AB52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1515" w:type="dxa"/>
            <w:noWrap w:val="0"/>
            <w:vAlign w:val="center"/>
          </w:tcPr>
          <w:p w14:paraId="49318FA9">
            <w:pPr>
              <w:adjustRightInd w:val="0"/>
              <w:snapToGrid w:val="0"/>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规划环境影响</w:t>
            </w:r>
          </w:p>
          <w:p w14:paraId="6753C6BE">
            <w:pPr>
              <w:adjustRightInd w:val="0"/>
              <w:snapToGrid w:val="0"/>
              <w:jc w:val="center"/>
              <w:rPr>
                <w:rFonts w:hint="default" w:ascii="Times New Roman" w:hAnsi="Times New Roman" w:cs="Times New Roman"/>
                <w:kern w:val="0"/>
                <w:szCs w:val="21"/>
                <w:highlight w:val="none"/>
              </w:rPr>
            </w:pPr>
            <w:r>
              <w:rPr>
                <w:rFonts w:hint="default" w:ascii="Times New Roman" w:hAnsi="Times New Roman" w:cs="Times New Roman"/>
                <w:szCs w:val="21"/>
                <w:highlight w:val="none"/>
              </w:rPr>
              <w:t>评价情况</w:t>
            </w:r>
          </w:p>
        </w:tc>
        <w:tc>
          <w:tcPr>
            <w:tcW w:w="7355" w:type="dxa"/>
            <w:noWrap w:val="0"/>
            <w:vAlign w:val="center"/>
          </w:tcPr>
          <w:p w14:paraId="72AE830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规划环评：壶关经济开发区扩区总体规划（</w:t>
            </w:r>
            <w:r>
              <w:rPr>
                <w:rFonts w:hint="eastAsia" w:cs="Times New Roman"/>
                <w:sz w:val="24"/>
                <w:szCs w:val="24"/>
                <w:highlight w:val="none"/>
                <w:lang w:val="en-US" w:eastAsia="zh-CN"/>
              </w:rPr>
              <w:t>2020-2035</w:t>
            </w:r>
            <w:r>
              <w:rPr>
                <w:rFonts w:hint="eastAsia" w:ascii="Times New Roman" w:hAnsi="Times New Roman" w:eastAsia="宋体" w:cs="Times New Roman"/>
                <w:sz w:val="24"/>
                <w:szCs w:val="24"/>
                <w:highlight w:val="none"/>
                <w:lang w:val="en-US" w:eastAsia="zh-CN"/>
              </w:rPr>
              <w:t>）环境影响报告书</w:t>
            </w:r>
          </w:p>
          <w:p w14:paraId="43FEC61B">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审核机关：山西省生态环境厅</w:t>
            </w:r>
          </w:p>
          <w:p w14:paraId="7E815A8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审核文号：晋环函〔2023〕573号</w:t>
            </w:r>
          </w:p>
        </w:tc>
      </w:tr>
      <w:tr w14:paraId="1B25BD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15" w:type="dxa"/>
            <w:noWrap w:val="0"/>
            <w:vAlign w:val="center"/>
          </w:tcPr>
          <w:p w14:paraId="7FF479A3">
            <w:pPr>
              <w:autoSpaceDE w:val="0"/>
              <w:autoSpaceDN w:val="0"/>
              <w:adjustRightInd w:val="0"/>
              <w:snapToGrid w:val="0"/>
              <w:jc w:val="center"/>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规划及规划环境</w:t>
            </w:r>
          </w:p>
          <w:p w14:paraId="78F6CBDF">
            <w:pPr>
              <w:autoSpaceDE w:val="0"/>
              <w:autoSpaceDN w:val="0"/>
              <w:adjustRightInd w:val="0"/>
              <w:snapToGrid w:val="0"/>
              <w:jc w:val="center"/>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影响评价符合性分析</w:t>
            </w:r>
          </w:p>
        </w:tc>
        <w:tc>
          <w:tcPr>
            <w:tcW w:w="7355" w:type="dxa"/>
            <w:noWrap w:val="0"/>
            <w:vAlign w:val="center"/>
          </w:tcPr>
          <w:p w14:paraId="4D534B14">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cs="Times New Roman"/>
                <w:b/>
                <w:bCs/>
                <w:sz w:val="24"/>
                <w:szCs w:val="24"/>
                <w:highlight w:val="none"/>
                <w:lang w:val="en-US" w:eastAsia="zh-CN"/>
              </w:rPr>
              <w:t>1、</w:t>
            </w:r>
            <w:r>
              <w:rPr>
                <w:rFonts w:hint="eastAsia" w:ascii="Times New Roman" w:hAnsi="Times New Roman" w:eastAsia="宋体" w:cs="Times New Roman"/>
                <w:b/>
                <w:bCs/>
                <w:sz w:val="24"/>
                <w:szCs w:val="24"/>
                <w:highlight w:val="none"/>
                <w:lang w:val="en-US" w:eastAsia="zh-CN"/>
              </w:rPr>
              <w:t>项目与规划的符合性分析</w:t>
            </w:r>
          </w:p>
          <w:p w14:paraId="7AC8ACFB">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lang w:val="en-US" w:eastAsia="zh-CN"/>
              </w:rPr>
              <w:t>规划范围</w:t>
            </w:r>
          </w:p>
          <w:p w14:paraId="78D59EF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山西省壶关经济开发区规划范围</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东至长治绕城高速，南至山西壶关化工集团有限公司南侧，西至中南铁路壶关段，北至壶关与平顺县界</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面积30.49平方公里</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2020年1月由山西省自然资源厅核准壶关开发区面积调整为29.65平方公里</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w:t>
            </w:r>
          </w:p>
          <w:p w14:paraId="732FA194">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w:t>
            </w:r>
            <w:r>
              <w:rPr>
                <w:rFonts w:hint="default" w:ascii="Times New Roman" w:hAnsi="Times New Roman" w:eastAsia="宋体" w:cs="Times New Roman"/>
                <w:sz w:val="24"/>
                <w:szCs w:val="24"/>
                <w:highlight w:val="none"/>
                <w:lang w:val="en-US" w:eastAsia="zh-CN"/>
              </w:rPr>
              <w:t>规划期限</w:t>
            </w:r>
          </w:p>
          <w:p w14:paraId="49CD8A0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规划期限为</w:t>
            </w:r>
            <w:r>
              <w:rPr>
                <w:rFonts w:hint="eastAsia" w:cs="Times New Roman"/>
                <w:sz w:val="24"/>
                <w:szCs w:val="24"/>
                <w:highlight w:val="none"/>
                <w:lang w:val="en-US" w:eastAsia="zh-CN"/>
              </w:rPr>
              <w:t>2020-2035</w:t>
            </w:r>
            <w:r>
              <w:rPr>
                <w:rFonts w:hint="default" w:ascii="Times New Roman" w:hAnsi="Times New Roman" w:eastAsia="宋体" w:cs="Times New Roman"/>
                <w:sz w:val="24"/>
                <w:szCs w:val="24"/>
                <w:highlight w:val="none"/>
                <w:lang w:val="en-US" w:eastAsia="zh-CN"/>
              </w:rPr>
              <w:t>年，其中</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近期</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2020</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2025年</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远期</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2026</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2035年。</w:t>
            </w:r>
          </w:p>
          <w:p w14:paraId="236E539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（3）开发区基础设施建设情况：</w:t>
            </w:r>
          </w:p>
          <w:p w14:paraId="58997B7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给水工程规划：</w:t>
            </w:r>
          </w:p>
          <w:p w14:paraId="5D4A7B84">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①供水水源：开发区内生活用水主要由城市</w:t>
            </w:r>
            <w:r>
              <w:rPr>
                <w:rFonts w:hint="eastAsia" w:cs="Times New Roman"/>
                <w:b w:val="0"/>
                <w:bCs w:val="0"/>
                <w:sz w:val="24"/>
                <w:szCs w:val="24"/>
                <w:highlight w:val="none"/>
                <w:lang w:val="en-US" w:eastAsia="zh-CN"/>
              </w:rPr>
              <w:t>供水系统</w:t>
            </w:r>
            <w:r>
              <w:rPr>
                <w:rFonts w:hint="eastAsia" w:ascii="Times New Roman" w:hAnsi="Times New Roman" w:eastAsia="宋体" w:cs="Times New Roman"/>
                <w:b w:val="0"/>
                <w:bCs w:val="0"/>
                <w:sz w:val="24"/>
                <w:szCs w:val="24"/>
                <w:highlight w:val="none"/>
                <w:lang w:val="en-US" w:eastAsia="zh-CN"/>
              </w:rPr>
              <w:t>进行供给，引自城市给水管道系统。由壶关县第一水厂、第二水厂作为主要水源。积极开发利用中水回用水源为工业用水水源。</w:t>
            </w:r>
          </w:p>
          <w:p w14:paraId="77300895">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②给水管网规划：管网规划结合开发区主干路网布置成环状主管网。给水主干管为DN400-DN600，支管为DN200-DN300。</w:t>
            </w:r>
          </w:p>
          <w:p w14:paraId="789DDB65">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③再生水规划：开发区北侧的开发区污水处理厂配建再生水厂（两厂场址合设）。再生水回用根据不同用途，水质必须符合《城市污水再生利用分类》</w:t>
            </w:r>
            <w:r>
              <w:rPr>
                <w:rFonts w:hint="eastAsia" w:cs="Times New Roman"/>
                <w:b w:val="0"/>
                <w:bCs w:val="0"/>
                <w:sz w:val="24"/>
                <w:szCs w:val="24"/>
                <w:highlight w:val="none"/>
                <w:lang w:val="en-US" w:eastAsia="zh-CN"/>
              </w:rPr>
              <w:t>（</w:t>
            </w:r>
            <w:r>
              <w:rPr>
                <w:rFonts w:hint="eastAsia" w:ascii="Times New Roman" w:hAnsi="Times New Roman" w:eastAsia="宋体" w:cs="Times New Roman"/>
                <w:b w:val="0"/>
                <w:bCs w:val="0"/>
                <w:sz w:val="24"/>
                <w:szCs w:val="24"/>
                <w:highlight w:val="none"/>
                <w:lang w:val="en-US" w:eastAsia="zh-CN"/>
              </w:rPr>
              <w:t>GB/T18919-2002</w:t>
            </w:r>
            <w:r>
              <w:rPr>
                <w:rFonts w:hint="eastAsia" w:cs="Times New Roman"/>
                <w:b w:val="0"/>
                <w:bCs w:val="0"/>
                <w:sz w:val="24"/>
                <w:szCs w:val="24"/>
                <w:highlight w:val="none"/>
                <w:lang w:val="en-US" w:eastAsia="zh-CN"/>
              </w:rPr>
              <w:t>）</w:t>
            </w:r>
            <w:r>
              <w:rPr>
                <w:rFonts w:hint="eastAsia" w:ascii="Times New Roman" w:hAnsi="Times New Roman" w:eastAsia="宋体" w:cs="Times New Roman"/>
                <w:b w:val="0"/>
                <w:bCs w:val="0"/>
                <w:sz w:val="24"/>
                <w:szCs w:val="24"/>
                <w:highlight w:val="none"/>
                <w:lang w:val="en-US" w:eastAsia="zh-CN"/>
              </w:rPr>
              <w:t>等相关标准的要求。</w:t>
            </w:r>
          </w:p>
          <w:p w14:paraId="3C65D27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排水工程规划：</w:t>
            </w:r>
          </w:p>
          <w:p w14:paraId="29BBF72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①排水体制选择：采用雨污分流的排水体制。</w:t>
            </w:r>
          </w:p>
          <w:p w14:paraId="33DA6E7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②雨水工程规划：依地面高程使雨水分散排入石子河和南大河沟。</w:t>
            </w:r>
          </w:p>
          <w:p w14:paraId="43C7DF99">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③污水处理厂规划：规划污水厂位于开发区北部，污水统一收集后排入污水处理厂进行净化和处理。</w:t>
            </w:r>
          </w:p>
          <w:p w14:paraId="3A4B92D6">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④污水管网布局：污水管道按照南高北低、东高西低的坡向顺坡敷设，以实现最佳的排放效果。根据地形条件，结合污水收集分区，各分区污水管线应结合道路网规划与市政道路同步施工建设。各排水分区的污水收集后，经各分区污水干管送入规划的污水处理厂处理。污水管道的管径取D400-D1200。</w:t>
            </w:r>
          </w:p>
          <w:p w14:paraId="3B166F46">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电力工程规划：</w:t>
            </w:r>
          </w:p>
          <w:p w14:paraId="1788C1F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①电源规划：开发区电源引自西庄220KV变电站、集店110KV变电站和杜家河110KV变电站。</w:t>
            </w:r>
          </w:p>
          <w:p w14:paraId="6B828826">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val="0"/>
                <w:bCs w:val="0"/>
                <w:sz w:val="24"/>
                <w:szCs w:val="24"/>
                <w:highlight w:val="none"/>
                <w:lang w:val="en-US" w:eastAsia="zh-CN"/>
              </w:rPr>
              <w:t>②电网规划：开发区10千伏配电网以10千伏开闭所为供电节点，形成电缆环网结线系统。开闭所主接线采用单母线分段，以确保每个开闭所都有两个方向的电源线。为避免近电远送，交叉供电，每个开闭所应有明确的供电区域。开闭所及10千伏电缆线路结合开发区规划建设同步进行。</w:t>
            </w:r>
          </w:p>
          <w:p w14:paraId="23FC9DD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lang w:val="en-US" w:eastAsia="zh-CN"/>
              </w:rPr>
              <w:t>空间结构布局</w:t>
            </w:r>
          </w:p>
          <w:p w14:paraId="51BF2C5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根据开发区产业发展的要求，按照整体协调、</w:t>
            </w:r>
            <w:r>
              <w:rPr>
                <w:rFonts w:hint="eastAsia" w:cs="Times New Roman"/>
                <w:sz w:val="24"/>
                <w:szCs w:val="24"/>
                <w:highlight w:val="none"/>
                <w:lang w:val="en-US" w:eastAsia="zh-CN"/>
              </w:rPr>
              <w:t>有序</w:t>
            </w:r>
            <w:r>
              <w:rPr>
                <w:rFonts w:hint="default" w:ascii="Times New Roman" w:hAnsi="Times New Roman" w:eastAsia="宋体" w:cs="Times New Roman"/>
                <w:sz w:val="24"/>
                <w:szCs w:val="24"/>
                <w:highlight w:val="none"/>
                <w:lang w:val="en-US" w:eastAsia="zh-CN"/>
              </w:rPr>
              <w:t>开发的总体思路，进行具体的空间组织与落实。规划开发区形成</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一核、一轴、一廊四区</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的空间结构。</w:t>
            </w:r>
          </w:p>
          <w:p w14:paraId="2080A46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一核：</w:t>
            </w:r>
            <w:r>
              <w:rPr>
                <w:rFonts w:hint="default" w:ascii="Times New Roman" w:hAnsi="Times New Roman" w:eastAsia="宋体" w:cs="Times New Roman"/>
                <w:sz w:val="24"/>
                <w:szCs w:val="24"/>
                <w:highlight w:val="none"/>
                <w:lang w:val="en-US" w:eastAsia="zh-CN"/>
              </w:rPr>
              <w:t>综合服务核，位于长平高速连接线与西城北路交汇处，依托优越的交通地理位置和现有发展基础，规划为整个开发区提供城市综合服务的集行政办公、商业商务、企业总部、居住生活、科创研发</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旅游接待等功能于一体的综合服务核心，带动城市与产业共生发展。</w:t>
            </w:r>
          </w:p>
          <w:p w14:paraId="4B74E0CA">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一轴</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依托西城北路和北部水系形成贯穿开发区南北产城融合发展轴，该轴线是壶关县域重要的城镇发展轴，是联系县城与开发区的重要发展轴带，在开发区内部串联各大功能片区，连接生活配套、商业商务、产业片区等多个发展组团。</w:t>
            </w:r>
          </w:p>
          <w:p w14:paraId="3094338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一廊</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依托石子河形成石子河生态廊道，保障生态基流，提升河流防洪排涝能力，保护和修复水生态系统，加强滨水地区生态化治理营造水清、岸绿、安全、宜人的滨水空间</w:t>
            </w:r>
            <w:r>
              <w:rPr>
                <w:rFonts w:hint="eastAsia" w:ascii="Times New Roman" w:hAnsi="Times New Roman" w:eastAsia="宋体" w:cs="Times New Roman"/>
                <w:sz w:val="24"/>
                <w:szCs w:val="24"/>
                <w:highlight w:val="none"/>
                <w:lang w:val="en-US" w:eastAsia="zh-CN"/>
              </w:rPr>
              <w:t>。</w:t>
            </w:r>
          </w:p>
          <w:p w14:paraId="587582F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四区</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即中部综合配套服务区、南部产业集聚区、北部产业集聚区、乡村振兴及生态涵养区</w:t>
            </w:r>
            <w:r>
              <w:rPr>
                <w:rFonts w:hint="eastAsia" w:ascii="Times New Roman" w:hAnsi="Times New Roman" w:eastAsia="宋体" w:cs="Times New Roman"/>
                <w:sz w:val="24"/>
                <w:szCs w:val="24"/>
                <w:highlight w:val="none"/>
                <w:lang w:val="en-US" w:eastAsia="zh-CN"/>
              </w:rPr>
              <w:t>。</w:t>
            </w:r>
          </w:p>
          <w:p w14:paraId="58E8256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（5）</w:t>
            </w:r>
            <w:r>
              <w:rPr>
                <w:rFonts w:hint="default" w:ascii="Times New Roman" w:hAnsi="Times New Roman" w:eastAsia="宋体" w:cs="Times New Roman"/>
                <w:sz w:val="24"/>
                <w:szCs w:val="24"/>
                <w:highlight w:val="none"/>
                <w:lang w:val="en-US" w:eastAsia="zh-CN"/>
              </w:rPr>
              <w:t>主导产业体系</w:t>
            </w:r>
          </w:p>
          <w:p w14:paraId="5775F45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cs="Times New Roman"/>
                <w:sz w:val="24"/>
                <w:szCs w:val="24"/>
                <w:highlight w:val="none"/>
                <w:lang w:val="en-US" w:eastAsia="zh-CN"/>
              </w:rPr>
              <w:t>构建“</w:t>
            </w:r>
            <w:r>
              <w:rPr>
                <w:rFonts w:hint="default" w:ascii="Times New Roman" w:hAnsi="Times New Roman" w:eastAsia="宋体" w:cs="Times New Roman"/>
                <w:sz w:val="24"/>
                <w:szCs w:val="24"/>
                <w:highlight w:val="none"/>
                <w:lang w:val="en-US" w:eastAsia="zh-CN"/>
              </w:rPr>
              <w:t>12+1</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的主导产业体系，以新材料产业为引擎产业</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以先进装备制造产业和文化旅游产业为支柱产业</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以现代服务业为支撑产业</w:t>
            </w:r>
            <w:r>
              <w:rPr>
                <w:rFonts w:hint="eastAsia" w:ascii="Times New Roman" w:hAnsi="Times New Roman" w:eastAsia="宋体" w:cs="Times New Roman"/>
                <w:sz w:val="24"/>
                <w:szCs w:val="24"/>
                <w:highlight w:val="none"/>
                <w:lang w:val="en-US" w:eastAsia="zh-CN"/>
              </w:rPr>
              <w:t>。</w:t>
            </w:r>
          </w:p>
          <w:p w14:paraId="621F5AAA">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（6）</w:t>
            </w:r>
            <w:r>
              <w:rPr>
                <w:rFonts w:hint="default" w:ascii="Times New Roman" w:hAnsi="Times New Roman" w:eastAsia="宋体" w:cs="Times New Roman"/>
                <w:sz w:val="24"/>
                <w:szCs w:val="24"/>
                <w:highlight w:val="none"/>
                <w:lang w:val="en-US" w:eastAsia="zh-CN"/>
              </w:rPr>
              <w:t>产业发展路径</w:t>
            </w:r>
          </w:p>
          <w:p w14:paraId="2540B394">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新材料产业</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引导现有钢铁深加工、永磁材料产业基础向先进金属材料</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特种钢材、镁铝合金、钕铁硼永磁材料</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和新型建材</w:t>
            </w:r>
            <w:r>
              <w:rPr>
                <w:rFonts w:hint="eastAsia" w:ascii="Times New Roman" w:hAnsi="Times New Roman" w:eastAsia="宋体" w:cs="Times New Roman"/>
                <w:sz w:val="24"/>
                <w:szCs w:val="24"/>
                <w:highlight w:val="none"/>
                <w:lang w:val="en-US" w:eastAsia="zh-CN"/>
              </w:rPr>
              <w:t>（塑钢</w:t>
            </w:r>
            <w:r>
              <w:rPr>
                <w:rFonts w:hint="default" w:ascii="Times New Roman" w:hAnsi="Times New Roman" w:eastAsia="宋体" w:cs="Times New Roman"/>
                <w:sz w:val="24"/>
                <w:szCs w:val="24"/>
                <w:highlight w:val="none"/>
                <w:lang w:val="en-US" w:eastAsia="zh-CN"/>
              </w:rPr>
              <w:t>型材、管材管件、低耗能建材</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产业发展。推动钢铁深加工产业转型升级，延展产业链，优化产品结构、推进技术创新</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依托现有永磁材料产业基础，延展产业链，提升生产深度、广度，推进技术创新。</w:t>
            </w:r>
          </w:p>
          <w:p w14:paraId="6353891A">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新材料产业及配套片区</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规划结合中钢的发展需求</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在其西部的厂区周边增加工业用地，作为中钢冷轧厂及其他新材料企业用地。逐步完善片区内的村庄村容村貌整治，并增加小学、公园绿地等用地。</w:t>
            </w:r>
          </w:p>
          <w:p w14:paraId="12CA2BB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本项目位于</w:t>
            </w:r>
            <w:r>
              <w:rPr>
                <w:rFonts w:hint="default" w:ascii="Times New Roman" w:hAnsi="Times New Roman" w:eastAsia="宋体" w:cs="Times New Roman"/>
                <w:sz w:val="24"/>
                <w:szCs w:val="24"/>
                <w:highlight w:val="none"/>
                <w:lang w:val="en-US" w:eastAsia="zh-CN"/>
              </w:rPr>
              <w:t>山西省壶关经济开发区</w:t>
            </w:r>
            <w:r>
              <w:rPr>
                <w:rFonts w:hint="eastAsia" w:ascii="Times New Roman" w:hAnsi="Times New Roman" w:eastAsia="宋体" w:cs="Times New Roman"/>
                <w:sz w:val="24"/>
                <w:szCs w:val="24"/>
                <w:highlight w:val="none"/>
                <w:lang w:val="en-US" w:eastAsia="zh-CN"/>
              </w:rPr>
              <w:t>新材料产业片区，新材料产业片区发展先进金属材料（钕铁硼永磁材料），本项目建成后实现年生产1000吨钕铁硼</w:t>
            </w:r>
            <w:r>
              <w:rPr>
                <w:rFonts w:hint="default" w:ascii="Times New Roman" w:hAnsi="Times New Roman" w:eastAsia="宋体" w:cs="Times New Roman"/>
                <w:sz w:val="24"/>
                <w:szCs w:val="24"/>
                <w:highlight w:val="none"/>
                <w:lang w:val="en-US" w:eastAsia="zh-CN"/>
              </w:rPr>
              <w:t>永磁材料</w:t>
            </w:r>
            <w:r>
              <w:rPr>
                <w:rFonts w:hint="eastAsia" w:ascii="Times New Roman" w:hAnsi="Times New Roman" w:eastAsia="宋体" w:cs="Times New Roman"/>
                <w:sz w:val="24"/>
                <w:szCs w:val="24"/>
                <w:highlight w:val="none"/>
                <w:lang w:val="en-US" w:eastAsia="zh-CN"/>
              </w:rPr>
              <w:t>，符合</w:t>
            </w:r>
            <w:r>
              <w:rPr>
                <w:rFonts w:hint="eastAsia" w:cs="Times New Roman"/>
                <w:sz w:val="24"/>
                <w:szCs w:val="24"/>
                <w:highlight w:val="none"/>
                <w:lang w:val="en-US" w:eastAsia="zh-CN"/>
              </w:rPr>
              <w:t>规划产业布局，符合</w:t>
            </w:r>
            <w:r>
              <w:rPr>
                <w:rFonts w:hint="eastAsia" w:ascii="Times New Roman" w:hAnsi="Times New Roman" w:eastAsia="宋体" w:cs="Times New Roman"/>
                <w:sz w:val="24"/>
                <w:szCs w:val="24"/>
                <w:highlight w:val="none"/>
                <w:lang w:val="en-US" w:eastAsia="zh-CN"/>
              </w:rPr>
              <w:t>开发区新材料产业发展路径，</w:t>
            </w:r>
            <w:r>
              <w:rPr>
                <w:rFonts w:hint="eastAsia" w:cs="Times New Roman"/>
                <w:sz w:val="24"/>
                <w:szCs w:val="24"/>
                <w:highlight w:val="none"/>
                <w:lang w:val="en-US" w:eastAsia="zh-CN"/>
              </w:rPr>
              <w:t>项目所在区域已规划建设完善的给排水、供电等基础设施工程，项目运营可依托于开发区现有基础工程，开发区规划引导</w:t>
            </w:r>
            <w:r>
              <w:rPr>
                <w:rFonts w:hint="default" w:ascii="Times New Roman" w:hAnsi="Times New Roman" w:eastAsia="宋体" w:cs="Times New Roman"/>
                <w:sz w:val="24"/>
                <w:szCs w:val="24"/>
                <w:highlight w:val="none"/>
                <w:lang w:val="en-US" w:eastAsia="zh-CN"/>
              </w:rPr>
              <w:t>永磁材料产业发展</w:t>
            </w:r>
            <w:r>
              <w:rPr>
                <w:rFonts w:hint="eastAsia" w:cs="Times New Roman"/>
                <w:sz w:val="24"/>
                <w:szCs w:val="24"/>
                <w:highlight w:val="none"/>
                <w:lang w:val="en-US" w:eastAsia="zh-CN"/>
              </w:rPr>
              <w:t>，项目建设符合开发区规划的行业准入，依据土地利用规划，本项目占地属于M2二类工业用地，土地利用性质符合建设要求，</w:t>
            </w:r>
            <w:r>
              <w:rPr>
                <w:rFonts w:hint="eastAsia" w:ascii="Times New Roman" w:hAnsi="Times New Roman" w:eastAsia="宋体" w:cs="Times New Roman"/>
                <w:sz w:val="24"/>
                <w:szCs w:val="24"/>
                <w:highlight w:val="none"/>
                <w:lang w:val="en-US" w:eastAsia="zh-CN"/>
              </w:rPr>
              <w:t>因此项目建设符合</w:t>
            </w:r>
            <w:r>
              <w:rPr>
                <w:rFonts w:hint="default" w:ascii="Times New Roman" w:hAnsi="Times New Roman" w:eastAsia="宋体" w:cs="Times New Roman"/>
                <w:sz w:val="24"/>
                <w:szCs w:val="24"/>
                <w:highlight w:val="none"/>
                <w:lang w:val="en-US" w:eastAsia="zh-CN"/>
              </w:rPr>
              <w:t>《壶关经济开发区</w:t>
            </w:r>
            <w:r>
              <w:rPr>
                <w:rFonts w:hint="eastAsia" w:ascii="Times New Roman" w:hAnsi="Times New Roman" w:eastAsia="宋体" w:cs="Times New Roman"/>
                <w:sz w:val="24"/>
                <w:szCs w:val="24"/>
                <w:highlight w:val="none"/>
                <w:lang w:val="en-US" w:eastAsia="zh-CN"/>
              </w:rPr>
              <w:t>扩区</w:t>
            </w:r>
            <w:r>
              <w:rPr>
                <w:rFonts w:hint="default" w:ascii="Times New Roman" w:hAnsi="Times New Roman" w:eastAsia="宋体" w:cs="Times New Roman"/>
                <w:sz w:val="24"/>
                <w:szCs w:val="24"/>
                <w:highlight w:val="none"/>
                <w:lang w:val="en-US" w:eastAsia="zh-CN"/>
              </w:rPr>
              <w:t>总体规划</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2020-2035</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的要求。</w:t>
            </w:r>
          </w:p>
          <w:p w14:paraId="45AC589D">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cs="Times New Roman"/>
                <w:b/>
                <w:bCs/>
                <w:sz w:val="24"/>
                <w:szCs w:val="24"/>
                <w:highlight w:val="none"/>
                <w:lang w:val="en-US" w:eastAsia="zh-CN"/>
              </w:rPr>
              <w:t>2、</w:t>
            </w:r>
            <w:r>
              <w:rPr>
                <w:rFonts w:hint="eastAsia" w:ascii="Times New Roman" w:hAnsi="Times New Roman" w:eastAsia="宋体" w:cs="Times New Roman"/>
                <w:b/>
                <w:bCs/>
                <w:sz w:val="24"/>
                <w:szCs w:val="24"/>
                <w:highlight w:val="none"/>
                <w:lang w:val="en-US" w:eastAsia="zh-CN"/>
              </w:rPr>
              <w:t>项目与规划环评的符合性分析</w:t>
            </w:r>
          </w:p>
          <w:p w14:paraId="153AB38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本项目与《壶关经济开发区扩区总体规划（2020-2035）环境影响报告书》环境准入负面清单的符合性分析见表1。</w:t>
            </w:r>
          </w:p>
          <w:p w14:paraId="4CBAD11C">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1"/>
                <w:szCs w:val="21"/>
                <w:highlight w:val="none"/>
                <w:lang w:val="en-US" w:eastAsia="zh-CN"/>
              </w:rPr>
              <w:t>表</w:t>
            </w:r>
            <w:r>
              <w:rPr>
                <w:rFonts w:hint="default" w:ascii="Times New Roman" w:hAnsi="Times New Roman" w:eastAsia="宋体" w:cs="Times New Roman"/>
                <w:b/>
                <w:bCs/>
                <w:sz w:val="21"/>
                <w:szCs w:val="21"/>
                <w:highlight w:val="none"/>
                <w:lang w:val="en-US" w:eastAsia="zh-CN"/>
              </w:rPr>
              <w:t xml:space="preserve">1 </w:t>
            </w:r>
            <w:r>
              <w:rPr>
                <w:rFonts w:hint="eastAsia" w:ascii="Times New Roman" w:hAnsi="Times New Roman" w:eastAsia="宋体" w:cs="Times New Roman"/>
                <w:b/>
                <w:bCs/>
                <w:sz w:val="21"/>
                <w:szCs w:val="21"/>
                <w:highlight w:val="none"/>
                <w:lang w:val="en-US" w:eastAsia="zh-CN"/>
              </w:rPr>
              <w:t>本项目与规划环评环境准入负面清单的符合性分析一览表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67"/>
              <w:gridCol w:w="2902"/>
              <w:gridCol w:w="2239"/>
              <w:gridCol w:w="831"/>
            </w:tblGrid>
            <w:tr w14:paraId="76295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025" w:type="dxa"/>
                  <w:tcBorders>
                    <w:tl2br w:val="nil"/>
                    <w:tr2bl w:val="nil"/>
                  </w:tcBorders>
                  <w:noWrap w:val="0"/>
                  <w:vAlign w:val="top"/>
                </w:tcPr>
                <w:p w14:paraId="1E171BBC">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准入类别</w:t>
                  </w:r>
                </w:p>
              </w:tc>
              <w:tc>
                <w:tcPr>
                  <w:tcW w:w="2550" w:type="dxa"/>
                  <w:tcBorders>
                    <w:tl2br w:val="nil"/>
                    <w:tr2bl w:val="nil"/>
                  </w:tcBorders>
                  <w:noWrap w:val="0"/>
                  <w:vAlign w:val="top"/>
                </w:tcPr>
                <w:p w14:paraId="22BA8B27">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具体准入内容</w:t>
                  </w:r>
                </w:p>
              </w:tc>
              <w:tc>
                <w:tcPr>
                  <w:tcW w:w="1967" w:type="dxa"/>
                  <w:tcBorders>
                    <w:tl2br w:val="nil"/>
                    <w:tr2bl w:val="nil"/>
                  </w:tcBorders>
                  <w:noWrap w:val="0"/>
                  <w:vAlign w:val="top"/>
                </w:tcPr>
                <w:p w14:paraId="63FB950E">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本项目情况</w:t>
                  </w:r>
                </w:p>
              </w:tc>
              <w:tc>
                <w:tcPr>
                  <w:tcW w:w="730" w:type="dxa"/>
                  <w:tcBorders>
                    <w:tl2br w:val="nil"/>
                    <w:tr2bl w:val="nil"/>
                  </w:tcBorders>
                  <w:noWrap w:val="0"/>
                  <w:vAlign w:val="top"/>
                </w:tcPr>
                <w:p w14:paraId="2F545166">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符合性</w:t>
                  </w:r>
                </w:p>
              </w:tc>
            </w:tr>
            <w:tr w14:paraId="1C759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025" w:type="dxa"/>
                  <w:tcBorders>
                    <w:tl2br w:val="nil"/>
                    <w:tr2bl w:val="nil"/>
                  </w:tcBorders>
                  <w:noWrap w:val="0"/>
                  <w:vAlign w:val="center"/>
                </w:tcPr>
                <w:p w14:paraId="6FD36A0B">
                  <w:pPr>
                    <w:pStyle w:val="5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kern w:val="0"/>
                      <w:sz w:val="21"/>
                      <w:szCs w:val="21"/>
                      <w:highlight w:val="none"/>
                      <w:vertAlign w:val="baseline"/>
                      <w:lang w:val="en-US" w:eastAsia="zh-CN"/>
                    </w:rPr>
                  </w:pPr>
                  <w:r>
                    <w:rPr>
                      <w:rFonts w:hint="default" w:ascii="Times New Roman" w:hAnsi="Times New Roman" w:cs="Times New Roman"/>
                      <w:color w:val="auto"/>
                      <w:spacing w:val="0"/>
                      <w:kern w:val="0"/>
                      <w:sz w:val="21"/>
                      <w:szCs w:val="21"/>
                      <w:highlight w:val="none"/>
                    </w:rPr>
                    <w:t>产业/行业负面清单</w:t>
                  </w:r>
                </w:p>
              </w:tc>
              <w:tc>
                <w:tcPr>
                  <w:tcW w:w="2550" w:type="dxa"/>
                  <w:tcBorders>
                    <w:tl2br w:val="nil"/>
                    <w:tr2bl w:val="nil"/>
                  </w:tcBorders>
                  <w:noWrap w:val="0"/>
                  <w:vAlign w:val="center"/>
                </w:tcPr>
                <w:p w14:paraId="2E5C38C2">
                  <w:pPr>
                    <w:pStyle w:val="56"/>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color w:val="auto"/>
                      <w:spacing w:val="0"/>
                      <w:kern w:val="0"/>
                      <w:sz w:val="21"/>
                      <w:szCs w:val="21"/>
                      <w:highlight w:val="none"/>
                      <w:vertAlign w:val="baseline"/>
                      <w:lang w:val="en-US" w:eastAsia="zh-CN"/>
                    </w:rPr>
                  </w:pPr>
                  <w:r>
                    <w:rPr>
                      <w:rFonts w:hint="default" w:ascii="Times New Roman" w:hAnsi="Times New Roman" w:cs="Times New Roman"/>
                      <w:color w:val="auto"/>
                      <w:spacing w:val="0"/>
                      <w:kern w:val="0"/>
                      <w:sz w:val="21"/>
                      <w:szCs w:val="21"/>
                      <w:highlight w:val="none"/>
                    </w:rPr>
                    <w:t>1、属于《产业结构调整指导目录</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cs="Times New Roman"/>
                      <w:color w:val="auto"/>
                      <w:spacing w:val="0"/>
                      <w:kern w:val="0"/>
                      <w:sz w:val="21"/>
                      <w:szCs w:val="21"/>
                      <w:highlight w:val="none"/>
                    </w:rPr>
                    <w:t>2019年本</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cs="Times New Roman"/>
                      <w:color w:val="auto"/>
                      <w:spacing w:val="0"/>
                      <w:kern w:val="0"/>
                      <w:sz w:val="21"/>
                      <w:szCs w:val="21"/>
                      <w:highlight w:val="none"/>
                    </w:rPr>
                    <w:t>》中限制类和</w:t>
                  </w:r>
                  <w:r>
                    <w:rPr>
                      <w:rFonts w:hint="eastAsia" w:ascii="Times New Roman" w:hAnsi="Times New Roman" w:cs="Times New Roman"/>
                      <w:color w:val="auto"/>
                      <w:spacing w:val="0"/>
                      <w:kern w:val="0"/>
                      <w:sz w:val="21"/>
                      <w:szCs w:val="21"/>
                      <w:highlight w:val="none"/>
                      <w:lang w:eastAsia="zh-CN"/>
                    </w:rPr>
                    <w:t>淘汰类</w:t>
                  </w:r>
                  <w:r>
                    <w:rPr>
                      <w:rFonts w:hint="default" w:ascii="Times New Roman" w:hAnsi="Times New Roman" w:cs="Times New Roman"/>
                      <w:color w:val="auto"/>
                      <w:spacing w:val="0"/>
                      <w:kern w:val="0"/>
                      <w:sz w:val="21"/>
                      <w:szCs w:val="21"/>
                      <w:highlight w:val="none"/>
                    </w:rPr>
                    <w:t>建设项目；2、不符合行业</w:t>
                  </w:r>
                  <w:r>
                    <w:rPr>
                      <w:rFonts w:hint="eastAsia" w:ascii="Times New Roman" w:hAnsi="Times New Roman" w:cs="Times New Roman"/>
                      <w:color w:val="auto"/>
                      <w:spacing w:val="0"/>
                      <w:kern w:val="0"/>
                      <w:sz w:val="21"/>
                      <w:szCs w:val="21"/>
                      <w:highlight w:val="none"/>
                      <w:lang w:eastAsia="zh-CN"/>
                    </w:rPr>
                    <w:t>准入</w:t>
                  </w:r>
                  <w:r>
                    <w:rPr>
                      <w:rFonts w:hint="default" w:ascii="Times New Roman" w:hAnsi="Times New Roman" w:cs="Times New Roman"/>
                      <w:color w:val="auto"/>
                      <w:spacing w:val="0"/>
                      <w:kern w:val="0"/>
                      <w:sz w:val="21"/>
                      <w:szCs w:val="21"/>
                      <w:highlight w:val="none"/>
                    </w:rPr>
                    <w:t>条件的建设项目；3、禁止引进超过生态承载力的旅游活动。</w:t>
                  </w:r>
                </w:p>
              </w:tc>
              <w:tc>
                <w:tcPr>
                  <w:tcW w:w="1967" w:type="dxa"/>
                  <w:tcBorders>
                    <w:tl2br w:val="nil"/>
                    <w:tr2bl w:val="nil"/>
                  </w:tcBorders>
                  <w:noWrap w:val="0"/>
                  <w:vAlign w:val="center"/>
                </w:tcPr>
                <w:p w14:paraId="7BB78B22">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both"/>
                    <w:textAlignment w:val="auto"/>
                    <w:rPr>
                      <w:rFonts w:hint="eastAsia"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根据《产业结构调整指导目录（</w:t>
                  </w:r>
                  <w:r>
                    <w:rPr>
                      <w:rFonts w:hint="eastAsia" w:ascii="Times New Roman" w:hAnsi="Times New Roman" w:eastAsia="宋体" w:cs="Times New Roman"/>
                      <w:sz w:val="21"/>
                      <w:szCs w:val="21"/>
                      <w:highlight w:val="none"/>
                      <w:lang w:val="en-US" w:eastAsia="zh-CN"/>
                    </w:rPr>
                    <w:t>2024</w:t>
                  </w:r>
                  <w:r>
                    <w:rPr>
                      <w:rFonts w:hint="default" w:ascii="Times New Roman" w:hAnsi="Times New Roman" w:eastAsia="宋体" w:cs="Times New Roman"/>
                      <w:sz w:val="21"/>
                      <w:szCs w:val="21"/>
                      <w:highlight w:val="none"/>
                      <w:lang w:val="en-US" w:eastAsia="zh-CN"/>
                    </w:rPr>
                    <w:t>年本</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》，本项目</w:t>
                  </w:r>
                  <w:r>
                    <w:rPr>
                      <w:rFonts w:hint="eastAsia" w:ascii="Times New Roman" w:hAnsi="Times New Roman" w:eastAsia="宋体" w:cs="Times New Roman"/>
                      <w:sz w:val="21"/>
                      <w:szCs w:val="21"/>
                      <w:highlight w:val="none"/>
                      <w:lang w:val="en-US" w:eastAsia="zh-CN"/>
                    </w:rPr>
                    <w:t>不属于产业政策中的限制类或淘汰类</w:t>
                  </w:r>
                  <w:r>
                    <w:rPr>
                      <w:rFonts w:hint="eastAsia" w:cs="Times New Roman"/>
                      <w:sz w:val="21"/>
                      <w:szCs w:val="21"/>
                      <w:highlight w:val="none"/>
                      <w:lang w:val="en-US" w:eastAsia="zh-CN"/>
                    </w:rPr>
                    <w:t>建设项目</w:t>
                  </w:r>
                  <w:r>
                    <w:rPr>
                      <w:rFonts w:hint="eastAsia" w:ascii="Times New Roman" w:hAnsi="Times New Roman" w:eastAsia="宋体" w:cs="Times New Roman"/>
                      <w:sz w:val="21"/>
                      <w:szCs w:val="21"/>
                      <w:highlight w:val="none"/>
                      <w:lang w:val="en-US" w:eastAsia="zh-CN"/>
                    </w:rPr>
                    <w:t>。</w:t>
                  </w:r>
                </w:p>
              </w:tc>
              <w:tc>
                <w:tcPr>
                  <w:tcW w:w="730" w:type="dxa"/>
                  <w:tcBorders>
                    <w:tl2br w:val="nil"/>
                    <w:tr2bl w:val="nil"/>
                  </w:tcBorders>
                  <w:noWrap w:val="0"/>
                  <w:vAlign w:val="center"/>
                </w:tcPr>
                <w:p w14:paraId="6DFE70E1">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781CE6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025" w:type="dxa"/>
                  <w:tcBorders>
                    <w:tl2br w:val="nil"/>
                    <w:tr2bl w:val="nil"/>
                  </w:tcBorders>
                  <w:noWrap w:val="0"/>
                  <w:vAlign w:val="center"/>
                </w:tcPr>
                <w:p w14:paraId="5EE8A9D7">
                  <w:pPr>
                    <w:pStyle w:val="5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kern w:val="0"/>
                      <w:sz w:val="21"/>
                      <w:szCs w:val="21"/>
                      <w:highlight w:val="none"/>
                      <w:vertAlign w:val="baseline"/>
                      <w:lang w:val="en-US" w:eastAsia="zh-CN"/>
                    </w:rPr>
                  </w:pPr>
                  <w:r>
                    <w:rPr>
                      <w:rFonts w:hint="default" w:ascii="Times New Roman" w:hAnsi="Times New Roman" w:cs="Times New Roman"/>
                      <w:color w:val="auto"/>
                      <w:spacing w:val="0"/>
                      <w:kern w:val="0"/>
                      <w:sz w:val="21"/>
                      <w:szCs w:val="21"/>
                      <w:highlight w:val="none"/>
                    </w:rPr>
                    <w:t>设备/工序负面清单</w:t>
                  </w:r>
                </w:p>
              </w:tc>
              <w:tc>
                <w:tcPr>
                  <w:tcW w:w="2550" w:type="dxa"/>
                  <w:tcBorders>
                    <w:tl2br w:val="nil"/>
                    <w:tr2bl w:val="nil"/>
                  </w:tcBorders>
                  <w:noWrap w:val="0"/>
                  <w:vAlign w:val="center"/>
                </w:tcPr>
                <w:p w14:paraId="240797BD">
                  <w:pPr>
                    <w:pStyle w:val="56"/>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color w:val="auto"/>
                      <w:spacing w:val="0"/>
                      <w:kern w:val="0"/>
                      <w:sz w:val="21"/>
                      <w:szCs w:val="21"/>
                      <w:highlight w:val="none"/>
                      <w:vertAlign w:val="baseline"/>
                      <w:lang w:val="en-US" w:eastAsia="zh-CN"/>
                    </w:rPr>
                  </w:pPr>
                  <w:r>
                    <w:rPr>
                      <w:rFonts w:hint="default" w:ascii="Times New Roman" w:hAnsi="Times New Roman" w:cs="Times New Roman"/>
                      <w:color w:val="auto"/>
                      <w:spacing w:val="0"/>
                      <w:kern w:val="0"/>
                      <w:sz w:val="21"/>
                      <w:szCs w:val="21"/>
                      <w:highlight w:val="none"/>
                    </w:rPr>
                    <w:t>1、《部分工业行业</w:t>
                  </w:r>
                  <w:r>
                    <w:rPr>
                      <w:rFonts w:hint="eastAsia" w:ascii="Times New Roman" w:hAnsi="Times New Roman" w:cs="Times New Roman"/>
                      <w:color w:val="auto"/>
                      <w:spacing w:val="0"/>
                      <w:kern w:val="0"/>
                      <w:sz w:val="21"/>
                      <w:szCs w:val="21"/>
                      <w:highlight w:val="none"/>
                      <w:lang w:eastAsia="zh-CN"/>
                    </w:rPr>
                    <w:t>淘汰</w:t>
                  </w:r>
                  <w:r>
                    <w:rPr>
                      <w:rFonts w:hint="default" w:ascii="Times New Roman" w:hAnsi="Times New Roman" w:cs="Times New Roman"/>
                      <w:color w:val="auto"/>
                      <w:spacing w:val="0"/>
                      <w:kern w:val="0"/>
                      <w:sz w:val="21"/>
                      <w:szCs w:val="21"/>
                      <w:highlight w:val="none"/>
                    </w:rPr>
                    <w:t>落后生产工艺装备和产品指导目录</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cs="Times New Roman"/>
                      <w:color w:val="auto"/>
                      <w:spacing w:val="0"/>
                      <w:kern w:val="0"/>
                      <w:sz w:val="21"/>
                      <w:szCs w:val="21"/>
                      <w:highlight w:val="none"/>
                    </w:rPr>
                    <w:t>2010年本</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cs="Times New Roman"/>
                      <w:color w:val="auto"/>
                      <w:spacing w:val="0"/>
                      <w:kern w:val="0"/>
                      <w:sz w:val="21"/>
                      <w:szCs w:val="21"/>
                      <w:highlight w:val="none"/>
                    </w:rPr>
                    <w:t>》中要求调整退出和</w:t>
                  </w:r>
                  <w:r>
                    <w:rPr>
                      <w:rFonts w:hint="eastAsia" w:ascii="Times New Roman" w:hAnsi="Times New Roman" w:cs="Times New Roman"/>
                      <w:color w:val="auto"/>
                      <w:spacing w:val="0"/>
                      <w:kern w:val="0"/>
                      <w:sz w:val="21"/>
                      <w:szCs w:val="21"/>
                      <w:highlight w:val="none"/>
                      <w:lang w:eastAsia="zh-CN"/>
                    </w:rPr>
                    <w:t>淘汰</w:t>
                  </w:r>
                  <w:r>
                    <w:rPr>
                      <w:rFonts w:hint="default" w:ascii="Times New Roman" w:hAnsi="Times New Roman" w:cs="Times New Roman"/>
                      <w:color w:val="auto"/>
                      <w:spacing w:val="0"/>
                      <w:kern w:val="0"/>
                      <w:sz w:val="21"/>
                      <w:szCs w:val="21"/>
                      <w:highlight w:val="none"/>
                    </w:rPr>
                    <w:t>的行业、工艺和设备。</w:t>
                  </w:r>
                </w:p>
              </w:tc>
              <w:tc>
                <w:tcPr>
                  <w:tcW w:w="1967" w:type="dxa"/>
                  <w:tcBorders>
                    <w:tl2br w:val="nil"/>
                    <w:tr2bl w:val="nil"/>
                  </w:tcBorders>
                  <w:noWrap w:val="0"/>
                  <w:vAlign w:val="center"/>
                </w:tcPr>
                <w:p w14:paraId="54E16D7C">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both"/>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color w:val="auto"/>
                      <w:spacing w:val="0"/>
                      <w:kern w:val="0"/>
                      <w:sz w:val="21"/>
                      <w:szCs w:val="21"/>
                      <w:highlight w:val="none"/>
                      <w:lang w:val="en-US" w:eastAsia="zh-CN"/>
                    </w:rPr>
                    <w:t>本项目建设不属于</w:t>
                  </w:r>
                  <w:r>
                    <w:rPr>
                      <w:rFonts w:hint="default" w:ascii="Times New Roman" w:hAnsi="Times New Roman" w:cs="Times New Roman"/>
                      <w:color w:val="auto"/>
                      <w:spacing w:val="0"/>
                      <w:kern w:val="0"/>
                      <w:sz w:val="21"/>
                      <w:szCs w:val="21"/>
                      <w:highlight w:val="none"/>
                    </w:rPr>
                    <w:t>调整退出和</w:t>
                  </w:r>
                  <w:r>
                    <w:rPr>
                      <w:rFonts w:hint="eastAsia" w:ascii="Times New Roman" w:hAnsi="Times New Roman" w:cs="Times New Roman"/>
                      <w:color w:val="auto"/>
                      <w:spacing w:val="0"/>
                      <w:kern w:val="0"/>
                      <w:sz w:val="21"/>
                      <w:szCs w:val="21"/>
                      <w:highlight w:val="none"/>
                      <w:lang w:eastAsia="zh-CN"/>
                    </w:rPr>
                    <w:t>淘汰</w:t>
                  </w:r>
                  <w:r>
                    <w:rPr>
                      <w:rFonts w:hint="default" w:ascii="Times New Roman" w:hAnsi="Times New Roman" w:cs="Times New Roman"/>
                      <w:color w:val="auto"/>
                      <w:spacing w:val="0"/>
                      <w:kern w:val="0"/>
                      <w:sz w:val="21"/>
                      <w:szCs w:val="21"/>
                      <w:highlight w:val="none"/>
                    </w:rPr>
                    <w:t>的行业、工艺和设备</w:t>
                  </w:r>
                </w:p>
              </w:tc>
              <w:tc>
                <w:tcPr>
                  <w:tcW w:w="730" w:type="dxa"/>
                  <w:tcBorders>
                    <w:tl2br w:val="nil"/>
                    <w:tr2bl w:val="nil"/>
                  </w:tcBorders>
                  <w:noWrap w:val="0"/>
                  <w:vAlign w:val="center"/>
                </w:tcPr>
                <w:p w14:paraId="4DB46B38">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49DB58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025" w:type="dxa"/>
                  <w:tcBorders>
                    <w:tl2br w:val="nil"/>
                    <w:tr2bl w:val="nil"/>
                  </w:tcBorders>
                  <w:noWrap w:val="0"/>
                  <w:vAlign w:val="center"/>
                </w:tcPr>
                <w:p w14:paraId="5CD962F2">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hAnsi="Times New Roman" w:eastAsia="宋体" w:cs="Times New Roman"/>
                      <w:color w:val="auto"/>
                      <w:spacing w:val="0"/>
                      <w:kern w:val="0"/>
                      <w:sz w:val="21"/>
                      <w:szCs w:val="21"/>
                      <w:highlight w:val="none"/>
                      <w:vertAlign w:val="baseline"/>
                      <w:lang w:val="en-US" w:eastAsia="zh-CN"/>
                    </w:rPr>
                  </w:pPr>
                  <w:r>
                    <w:rPr>
                      <w:rFonts w:hint="eastAsia" w:ascii="Times New Roman" w:hAnsi="Times New Roman" w:cs="Times New Roman"/>
                      <w:color w:val="auto"/>
                      <w:spacing w:val="0"/>
                      <w:kern w:val="0"/>
                      <w:sz w:val="21"/>
                      <w:szCs w:val="21"/>
                      <w:highlight w:val="none"/>
                      <w:lang w:val="en-US" w:eastAsia="zh-CN"/>
                    </w:rPr>
                    <w:t>入区</w:t>
                  </w:r>
                  <w:r>
                    <w:rPr>
                      <w:rFonts w:hint="default" w:ascii="Times New Roman" w:hAnsi="Times New Roman" w:cs="Times New Roman"/>
                      <w:color w:val="auto"/>
                      <w:spacing w:val="0"/>
                      <w:kern w:val="0"/>
                      <w:sz w:val="21"/>
                      <w:szCs w:val="21"/>
                      <w:highlight w:val="none"/>
                    </w:rPr>
                    <w:t>项目负面清单</w:t>
                  </w:r>
                </w:p>
              </w:tc>
              <w:tc>
                <w:tcPr>
                  <w:tcW w:w="2550" w:type="dxa"/>
                  <w:tcBorders>
                    <w:tl2br w:val="nil"/>
                    <w:tr2bl w:val="nil"/>
                  </w:tcBorders>
                  <w:noWrap w:val="0"/>
                  <w:vAlign w:val="center"/>
                </w:tcPr>
                <w:p w14:paraId="690156FB">
                  <w:pPr>
                    <w:pStyle w:val="56"/>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color w:val="auto"/>
                      <w:spacing w:val="0"/>
                      <w:kern w:val="0"/>
                      <w:sz w:val="21"/>
                      <w:szCs w:val="21"/>
                      <w:highlight w:val="none"/>
                      <w:vertAlign w:val="baseline"/>
                      <w:lang w:val="en-US" w:eastAsia="zh-CN"/>
                    </w:rPr>
                  </w:pPr>
                  <w:r>
                    <w:rPr>
                      <w:rFonts w:hint="default" w:ascii="Times New Roman" w:hAnsi="Times New Roman" w:cs="Times New Roman"/>
                      <w:color w:val="auto"/>
                      <w:spacing w:val="0"/>
                      <w:kern w:val="0"/>
                      <w:sz w:val="21"/>
                      <w:szCs w:val="21"/>
                      <w:highlight w:val="none"/>
                    </w:rPr>
                    <w:t>禁止使用含苯的涂料、含重金属漆的企业；限制引进含电镀工艺的项目、禁止使用含苯的涂料、含重金属漆的企业；禁止引进含有毒有害氰化物及镉电镀工艺。禁止</w:t>
                  </w:r>
                  <w:r>
                    <w:rPr>
                      <w:rFonts w:hint="eastAsia" w:ascii="Times New Roman" w:hAnsi="Times New Roman" w:cs="Times New Roman"/>
                      <w:color w:val="auto"/>
                      <w:spacing w:val="0"/>
                      <w:kern w:val="0"/>
                      <w:sz w:val="21"/>
                      <w:szCs w:val="21"/>
                      <w:highlight w:val="none"/>
                      <w:lang w:eastAsia="zh-CN"/>
                    </w:rPr>
                    <w:t>引入</w:t>
                  </w:r>
                  <w:r>
                    <w:rPr>
                      <w:rFonts w:hint="default" w:ascii="Times New Roman" w:hAnsi="Times New Roman" w:cs="Times New Roman"/>
                      <w:color w:val="auto"/>
                      <w:spacing w:val="0"/>
                      <w:kern w:val="0"/>
                      <w:sz w:val="21"/>
                      <w:szCs w:val="21"/>
                      <w:highlight w:val="none"/>
                    </w:rPr>
                    <w:t>生产铅</w:t>
                  </w:r>
                  <w:r>
                    <w:rPr>
                      <w:rFonts w:hint="eastAsia" w:ascii="Times New Roman" w:hAnsi="Times New Roman" w:cs="Times New Roman"/>
                      <w:color w:val="auto"/>
                      <w:spacing w:val="0"/>
                      <w:kern w:val="0"/>
                      <w:sz w:val="21"/>
                      <w:szCs w:val="21"/>
                      <w:highlight w:val="none"/>
                      <w:lang w:eastAsia="zh-CN"/>
                    </w:rPr>
                    <w:t>蓄电池</w:t>
                  </w:r>
                  <w:r>
                    <w:rPr>
                      <w:rFonts w:hint="default" w:ascii="Times New Roman" w:hAnsi="Times New Roman" w:cs="Times New Roman"/>
                      <w:color w:val="auto"/>
                      <w:spacing w:val="0"/>
                      <w:kern w:val="0"/>
                      <w:sz w:val="21"/>
                      <w:szCs w:val="21"/>
                      <w:highlight w:val="none"/>
                    </w:rPr>
                    <w:t>及危险废物焚烧、填埋等涉重企业。</w:t>
                  </w:r>
                </w:p>
              </w:tc>
              <w:tc>
                <w:tcPr>
                  <w:tcW w:w="1967" w:type="dxa"/>
                  <w:tcBorders>
                    <w:tl2br w:val="nil"/>
                    <w:tr2bl w:val="nil"/>
                  </w:tcBorders>
                  <w:noWrap w:val="0"/>
                  <w:vAlign w:val="center"/>
                </w:tcPr>
                <w:p w14:paraId="3CA47692">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both"/>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本项目不使用</w:t>
                  </w:r>
                  <w:r>
                    <w:rPr>
                      <w:rFonts w:hint="default" w:ascii="Times New Roman" w:hAnsi="Times New Roman" w:cs="Times New Roman"/>
                      <w:color w:val="auto"/>
                      <w:spacing w:val="0"/>
                      <w:kern w:val="0"/>
                      <w:sz w:val="21"/>
                      <w:szCs w:val="21"/>
                      <w:highlight w:val="none"/>
                    </w:rPr>
                    <w:t>含苯的涂料、含重金属漆</w:t>
                  </w:r>
                  <w:r>
                    <w:rPr>
                      <w:rFonts w:hint="eastAsia" w:ascii="Times New Roman" w:hAnsi="Times New Roman" w:eastAsia="宋体" w:cs="Times New Roman"/>
                      <w:sz w:val="21"/>
                      <w:szCs w:val="21"/>
                      <w:highlight w:val="none"/>
                      <w:vertAlign w:val="baseline"/>
                      <w:lang w:val="en-US" w:eastAsia="zh-CN"/>
                    </w:rPr>
                    <w:t>，不含电镀工艺，本项目生产钕铁硼磁材，不属于</w:t>
                  </w:r>
                  <w:r>
                    <w:rPr>
                      <w:rFonts w:hint="default" w:ascii="Times New Roman" w:hAnsi="Times New Roman" w:cs="Times New Roman"/>
                      <w:color w:val="auto"/>
                      <w:spacing w:val="0"/>
                      <w:kern w:val="0"/>
                      <w:sz w:val="21"/>
                      <w:szCs w:val="21"/>
                      <w:highlight w:val="none"/>
                    </w:rPr>
                    <w:t>铅蓄电池产生</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cs="Times New Roman"/>
                      <w:color w:val="auto"/>
                      <w:spacing w:val="0"/>
                      <w:kern w:val="0"/>
                      <w:sz w:val="21"/>
                      <w:szCs w:val="21"/>
                      <w:highlight w:val="none"/>
                    </w:rPr>
                    <w:t>危险废物焚烧、填埋等涉重企业</w:t>
                  </w:r>
                  <w:r>
                    <w:rPr>
                      <w:rFonts w:hint="eastAsia" w:ascii="Times New Roman" w:hAnsi="Times New Roman" w:cs="Times New Roman"/>
                      <w:color w:val="auto"/>
                      <w:spacing w:val="0"/>
                      <w:kern w:val="0"/>
                      <w:sz w:val="21"/>
                      <w:szCs w:val="21"/>
                      <w:highlight w:val="none"/>
                      <w:lang w:eastAsia="zh-CN"/>
                    </w:rPr>
                    <w:t>。</w:t>
                  </w:r>
                </w:p>
              </w:tc>
              <w:tc>
                <w:tcPr>
                  <w:tcW w:w="730" w:type="dxa"/>
                  <w:tcBorders>
                    <w:tl2br w:val="nil"/>
                    <w:tr2bl w:val="nil"/>
                  </w:tcBorders>
                  <w:noWrap w:val="0"/>
                  <w:vAlign w:val="center"/>
                </w:tcPr>
                <w:p w14:paraId="296A012D">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4FF353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025" w:type="dxa"/>
                  <w:tcBorders>
                    <w:tl2br w:val="nil"/>
                    <w:tr2bl w:val="nil"/>
                  </w:tcBorders>
                  <w:noWrap w:val="0"/>
                  <w:vAlign w:val="center"/>
                </w:tcPr>
                <w:p w14:paraId="6FC50DC1">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hAnsi="Times New Roman" w:eastAsia="宋体" w:cs="Times New Roman"/>
                      <w:color w:val="auto"/>
                      <w:spacing w:val="0"/>
                      <w:kern w:val="0"/>
                      <w:sz w:val="21"/>
                      <w:szCs w:val="21"/>
                      <w:highlight w:val="none"/>
                      <w:vertAlign w:val="baseline"/>
                      <w:lang w:val="en-US" w:eastAsia="zh-CN"/>
                    </w:rPr>
                  </w:pPr>
                  <w:r>
                    <w:rPr>
                      <w:rFonts w:hint="default" w:ascii="Times New Roman" w:hAnsi="Times New Roman" w:cs="Times New Roman"/>
                      <w:color w:val="auto"/>
                      <w:spacing w:val="0"/>
                      <w:kern w:val="0"/>
                      <w:sz w:val="21"/>
                      <w:szCs w:val="21"/>
                      <w:highlight w:val="none"/>
                    </w:rPr>
                    <w:t>资源环境负面清单</w:t>
                  </w:r>
                </w:p>
              </w:tc>
              <w:tc>
                <w:tcPr>
                  <w:tcW w:w="2550" w:type="dxa"/>
                  <w:tcBorders>
                    <w:tl2br w:val="nil"/>
                    <w:tr2bl w:val="nil"/>
                  </w:tcBorders>
                  <w:noWrap w:val="0"/>
                  <w:vAlign w:val="center"/>
                </w:tcPr>
                <w:p w14:paraId="2E9E9137">
                  <w:pPr>
                    <w:pStyle w:val="56"/>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1、园区内企业用水由园区统一供给，禁止私自新打井开采地下水；2、以水定产、量水而行，严控高耗水、高污染行业发展，对拟</w:t>
                  </w:r>
                  <w:r>
                    <w:rPr>
                      <w:rFonts w:hint="eastAsia" w:ascii="Times New Roman" w:hAnsi="Times New Roman" w:eastAsia="宋体" w:cs="Times New Roman"/>
                      <w:color w:val="auto"/>
                      <w:spacing w:val="0"/>
                      <w:kern w:val="0"/>
                      <w:sz w:val="21"/>
                      <w:szCs w:val="21"/>
                      <w:highlight w:val="none"/>
                      <w:lang w:eastAsia="zh-CN"/>
                    </w:rPr>
                    <w:t>入区</w:t>
                  </w:r>
                  <w:r>
                    <w:rPr>
                      <w:rFonts w:hint="default" w:ascii="Times New Roman" w:hAnsi="Times New Roman" w:eastAsia="宋体" w:cs="Times New Roman"/>
                      <w:color w:val="auto"/>
                      <w:spacing w:val="0"/>
                      <w:kern w:val="0"/>
                      <w:sz w:val="21"/>
                      <w:szCs w:val="21"/>
                      <w:highlight w:val="none"/>
                    </w:rPr>
                    <w:t>项目用水强度进行控制，严格限制高耗水项目进入：</w:t>
                  </w:r>
                  <w:r>
                    <w:rPr>
                      <w:rFonts w:hint="eastAsia" w:ascii="Times New Roman" w:hAnsi="Times New Roman" w:eastAsia="宋体" w:cs="Times New Roman"/>
                      <w:color w:val="auto"/>
                      <w:spacing w:val="0"/>
                      <w:kern w:val="0"/>
                      <w:sz w:val="21"/>
                      <w:szCs w:val="21"/>
                      <w:highlight w:val="none"/>
                      <w:lang w:eastAsia="zh-CN"/>
                    </w:rPr>
                    <w:t>入区</w:t>
                  </w:r>
                  <w:r>
                    <w:rPr>
                      <w:rFonts w:hint="default" w:ascii="Times New Roman" w:hAnsi="Times New Roman" w:eastAsia="宋体" w:cs="Times New Roman"/>
                      <w:color w:val="auto"/>
                      <w:spacing w:val="0"/>
                      <w:kern w:val="0"/>
                      <w:sz w:val="21"/>
                      <w:szCs w:val="21"/>
                      <w:highlight w:val="none"/>
                    </w:rPr>
                    <w:t>项目最大程度使用再生水，可以使用再生水的不得使用新鲜水。</w:t>
                  </w:r>
                </w:p>
              </w:tc>
              <w:tc>
                <w:tcPr>
                  <w:tcW w:w="1967" w:type="dxa"/>
                  <w:tcBorders>
                    <w:tl2br w:val="nil"/>
                    <w:tr2bl w:val="nil"/>
                  </w:tcBorders>
                  <w:noWrap w:val="0"/>
                  <w:vAlign w:val="center"/>
                </w:tcPr>
                <w:p w14:paraId="034E20C0">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both"/>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本项目生产用水来自县城再生水厂，</w:t>
                  </w:r>
                  <w:r>
                    <w:rPr>
                      <w:rFonts w:hint="eastAsia" w:cs="Times New Roman"/>
                      <w:sz w:val="21"/>
                      <w:szCs w:val="21"/>
                      <w:highlight w:val="none"/>
                      <w:vertAlign w:val="baseline"/>
                      <w:lang w:val="en-US" w:eastAsia="zh-CN"/>
                    </w:rPr>
                    <w:t>不开采地下水</w:t>
                  </w:r>
                  <w:r>
                    <w:rPr>
                      <w:rFonts w:hint="eastAsia" w:ascii="Times New Roman" w:hAnsi="Times New Roman" w:eastAsia="宋体" w:cs="Times New Roman"/>
                      <w:sz w:val="21"/>
                      <w:szCs w:val="21"/>
                      <w:highlight w:val="none"/>
                      <w:lang w:val="en-US" w:eastAsia="zh-CN"/>
                    </w:rPr>
                    <w:t>。</w:t>
                  </w:r>
                </w:p>
              </w:tc>
              <w:tc>
                <w:tcPr>
                  <w:tcW w:w="730" w:type="dxa"/>
                  <w:tcBorders>
                    <w:tl2br w:val="nil"/>
                    <w:tr2bl w:val="nil"/>
                  </w:tcBorders>
                  <w:noWrap w:val="0"/>
                  <w:vAlign w:val="center"/>
                </w:tcPr>
                <w:p w14:paraId="3AEE26D9">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4CE16F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025" w:type="dxa"/>
                  <w:tcBorders>
                    <w:tl2br w:val="nil"/>
                    <w:tr2bl w:val="nil"/>
                  </w:tcBorders>
                  <w:noWrap w:val="0"/>
                  <w:vAlign w:val="center"/>
                </w:tcPr>
                <w:p w14:paraId="3FF7C37D">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0"/>
                      <w:sz w:val="21"/>
                      <w:szCs w:val="21"/>
                      <w:highlight w:val="none"/>
                      <w:vertAlign w:val="baseline"/>
                      <w:lang w:val="en-US" w:eastAsia="zh-CN"/>
                    </w:rPr>
                  </w:pPr>
                  <w:r>
                    <w:rPr>
                      <w:rFonts w:hint="default" w:ascii="Times New Roman" w:hAnsi="Times New Roman" w:cs="Times New Roman"/>
                      <w:color w:val="auto"/>
                      <w:spacing w:val="0"/>
                      <w:kern w:val="0"/>
                      <w:sz w:val="21"/>
                      <w:szCs w:val="21"/>
                      <w:highlight w:val="none"/>
                    </w:rPr>
                    <w:t>空间布局约束</w:t>
                  </w:r>
                </w:p>
              </w:tc>
              <w:tc>
                <w:tcPr>
                  <w:tcW w:w="2550" w:type="dxa"/>
                  <w:tcBorders>
                    <w:tl2br w:val="nil"/>
                    <w:tr2bl w:val="nil"/>
                  </w:tcBorders>
                  <w:noWrap w:val="0"/>
                  <w:vAlign w:val="center"/>
                </w:tcPr>
                <w:p w14:paraId="508AD76D">
                  <w:pPr>
                    <w:pStyle w:val="56"/>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1、</w:t>
                  </w:r>
                  <w:r>
                    <w:rPr>
                      <w:rFonts w:hint="eastAsia" w:ascii="Times New Roman" w:hAnsi="Times New Roman" w:eastAsia="宋体" w:cs="Times New Roman"/>
                      <w:color w:val="auto"/>
                      <w:spacing w:val="0"/>
                      <w:kern w:val="0"/>
                      <w:sz w:val="21"/>
                      <w:szCs w:val="21"/>
                      <w:highlight w:val="none"/>
                      <w:lang w:eastAsia="zh-CN"/>
                    </w:rPr>
                    <w:t>入区</w:t>
                  </w:r>
                  <w:r>
                    <w:rPr>
                      <w:rFonts w:hint="default" w:ascii="Times New Roman" w:hAnsi="Times New Roman" w:eastAsia="宋体" w:cs="Times New Roman"/>
                      <w:color w:val="auto"/>
                      <w:spacing w:val="0"/>
                      <w:kern w:val="0"/>
                      <w:sz w:val="21"/>
                      <w:szCs w:val="21"/>
                      <w:highlight w:val="none"/>
                    </w:rPr>
                    <w:t>企业须符合</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循环经济</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理念，有利于形成园区内部循环经济产业链；2、生态管控区内，不得建设工业、住宅、商业等不符合生态管控要求的项目</w:t>
                  </w:r>
                  <w:r>
                    <w:rPr>
                      <w:rFonts w:hint="eastAsia" w:ascii="Times New Roman" w:hAnsi="Times New Roman" w:eastAsia="宋体"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公园及相关配套服务设施和河道治理工程除外</w:t>
                  </w:r>
                  <w:r>
                    <w:rPr>
                      <w:rFonts w:hint="eastAsia" w:ascii="Times New Roman" w:hAnsi="Times New Roman" w:eastAsia="宋体"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3、乡镇集中供水水源地保护区范围内禁止建设与供水设施和保护水源无关的项目；4、居民住宅区等人口密集区域和医院、学校等其他特殊保护的区域及其周边，不得新建、改建和扩建易产生恶臭气体的生产项目或从事其他恶臭气体的生产经营活动；5、石子河和南大河河道水岸线以外不小于50米范围作为生态功能保护线，设置绿化隔离带，其他河流生态功能保护线，设置绿化隔离带，其他河流生态廊道按规划及其他政策要求建设缓冲隔离防护带、防护绿地，不得建设工业、住宅、商业等不符合规划生态功能及生态管控要求项目。</w:t>
                  </w:r>
                </w:p>
              </w:tc>
              <w:tc>
                <w:tcPr>
                  <w:tcW w:w="1967" w:type="dxa"/>
                  <w:tcBorders>
                    <w:tl2br w:val="nil"/>
                    <w:tr2bl w:val="nil"/>
                  </w:tcBorders>
                  <w:noWrap w:val="0"/>
                  <w:vAlign w:val="center"/>
                </w:tcPr>
                <w:p w14:paraId="76EA8932">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both"/>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本项目生产用水循环使用，项目建设不在生态管控区、</w:t>
                  </w:r>
                  <w:r>
                    <w:rPr>
                      <w:rFonts w:hint="default" w:ascii="Times New Roman" w:hAnsi="Times New Roman" w:eastAsia="宋体" w:cs="Times New Roman"/>
                      <w:color w:val="auto"/>
                      <w:spacing w:val="0"/>
                      <w:kern w:val="0"/>
                      <w:sz w:val="21"/>
                      <w:szCs w:val="21"/>
                      <w:highlight w:val="none"/>
                    </w:rPr>
                    <w:t>乡镇集中供水水源地保护区范围</w:t>
                  </w:r>
                  <w:r>
                    <w:rPr>
                      <w:rFonts w:hint="eastAsia" w:ascii="Times New Roman" w:hAnsi="Times New Roman" w:eastAsia="宋体" w:cs="Times New Roman"/>
                      <w:color w:val="auto"/>
                      <w:spacing w:val="0"/>
                      <w:kern w:val="0"/>
                      <w:sz w:val="21"/>
                      <w:szCs w:val="21"/>
                      <w:highlight w:val="none"/>
                      <w:lang w:val="en-US" w:eastAsia="zh-CN"/>
                    </w:rPr>
                    <w:t>内，本项目不会产生恶臭气体。本项目西侧距离石子河约0.33km，不在</w:t>
                  </w:r>
                  <w:r>
                    <w:rPr>
                      <w:rFonts w:hint="default" w:ascii="Times New Roman" w:hAnsi="Times New Roman" w:eastAsia="宋体" w:cs="Times New Roman"/>
                      <w:color w:val="auto"/>
                      <w:spacing w:val="0"/>
                      <w:kern w:val="0"/>
                      <w:sz w:val="21"/>
                      <w:szCs w:val="21"/>
                      <w:highlight w:val="none"/>
                    </w:rPr>
                    <w:t>石子河河道水岸线以外50米范围</w:t>
                  </w:r>
                  <w:r>
                    <w:rPr>
                      <w:rFonts w:hint="eastAsia" w:ascii="Times New Roman" w:hAnsi="Times New Roman" w:eastAsia="宋体" w:cs="Times New Roman"/>
                      <w:color w:val="auto"/>
                      <w:spacing w:val="0"/>
                      <w:kern w:val="0"/>
                      <w:sz w:val="21"/>
                      <w:szCs w:val="21"/>
                      <w:highlight w:val="none"/>
                      <w:lang w:val="en-US" w:eastAsia="zh-CN"/>
                    </w:rPr>
                    <w:t>内。</w:t>
                  </w:r>
                </w:p>
              </w:tc>
              <w:tc>
                <w:tcPr>
                  <w:tcW w:w="730" w:type="dxa"/>
                  <w:tcBorders>
                    <w:tl2br w:val="nil"/>
                    <w:tr2bl w:val="nil"/>
                  </w:tcBorders>
                  <w:noWrap w:val="0"/>
                  <w:vAlign w:val="center"/>
                </w:tcPr>
                <w:p w14:paraId="02807561">
                  <w:pPr>
                    <w:keepNext w:val="0"/>
                    <w:keepLines w:val="0"/>
                    <w:pageBreakBefore w:val="0"/>
                    <w:widowControl w:val="0"/>
                    <w:suppressLineNumbers w:val="0"/>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bl>
          <w:p w14:paraId="65526A66">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综上，项目的建设符合《壶关经济开发区扩区总体规划（2020-2035）环境影响报告书》环境准入负面清单的相关要求。</w:t>
            </w:r>
          </w:p>
          <w:p w14:paraId="799B0F78">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cs="Times New Roman"/>
                <w:b/>
                <w:bCs/>
                <w:sz w:val="24"/>
                <w:szCs w:val="24"/>
                <w:highlight w:val="none"/>
                <w:lang w:val="en-US" w:eastAsia="zh-CN"/>
              </w:rPr>
              <w:t>3、</w:t>
            </w:r>
            <w:r>
              <w:rPr>
                <w:rFonts w:hint="eastAsia" w:ascii="Times New Roman" w:hAnsi="Times New Roman" w:eastAsia="宋体" w:cs="Times New Roman"/>
                <w:b/>
                <w:bCs/>
                <w:sz w:val="24"/>
                <w:szCs w:val="24"/>
                <w:highlight w:val="none"/>
                <w:lang w:val="en-US" w:eastAsia="zh-CN"/>
              </w:rPr>
              <w:t>项目与规划环评审查意见的符合性分析</w:t>
            </w:r>
          </w:p>
          <w:p w14:paraId="7525918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本项目与《壶关经济开发区扩区总体规划（2020-2035）环境影响报告书》审查意见的符合性分析见表2。</w:t>
            </w:r>
          </w:p>
          <w:p w14:paraId="025B26C3">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1"/>
                <w:szCs w:val="21"/>
                <w:highlight w:val="none"/>
                <w:lang w:val="en-US" w:eastAsia="zh-CN"/>
              </w:rPr>
              <w:t>表2  本项目与规划环评审查意见的符合性分析一览表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4108"/>
              <w:gridCol w:w="2219"/>
              <w:gridCol w:w="812"/>
            </w:tblGrid>
            <w:tr w14:paraId="385EE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877" w:type="pct"/>
                  <w:tcBorders>
                    <w:tl2br w:val="nil"/>
                    <w:tr2bl w:val="nil"/>
                  </w:tcBorders>
                  <w:noWrap w:val="0"/>
                  <w:vAlign w:val="center"/>
                </w:tcPr>
                <w:p w14:paraId="7FAE9F8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规划环评审查意见要求</w:t>
                  </w:r>
                </w:p>
              </w:tc>
              <w:tc>
                <w:tcPr>
                  <w:tcW w:w="1554" w:type="pct"/>
                  <w:tcBorders>
                    <w:tl2br w:val="nil"/>
                    <w:tr2bl w:val="nil"/>
                  </w:tcBorders>
                  <w:noWrap w:val="0"/>
                  <w:vAlign w:val="center"/>
                </w:tcPr>
                <w:p w14:paraId="1AE0E9B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本项目建设情况</w:t>
                  </w:r>
                </w:p>
              </w:tc>
              <w:tc>
                <w:tcPr>
                  <w:tcW w:w="568" w:type="pct"/>
                  <w:tcBorders>
                    <w:tl2br w:val="nil"/>
                    <w:tr2bl w:val="nil"/>
                  </w:tcBorders>
                  <w:noWrap w:val="0"/>
                  <w:vAlign w:val="center"/>
                </w:tcPr>
                <w:p w14:paraId="1CA8E76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符合性</w:t>
                  </w:r>
                </w:p>
              </w:tc>
            </w:tr>
            <w:tr w14:paraId="704A33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877" w:type="pct"/>
                  <w:tcBorders>
                    <w:tl2br w:val="nil"/>
                    <w:tr2bl w:val="nil"/>
                  </w:tcBorders>
                  <w:noWrap w:val="0"/>
                  <w:vAlign w:val="center"/>
                </w:tcPr>
                <w:p w14:paraId="44FE57CE">
                  <w:pPr>
                    <w:pStyle w:val="56"/>
                    <w:keepNext w:val="0"/>
                    <w:keepLines w:val="0"/>
                    <w:pageBreakBefore w:val="0"/>
                    <w:widowControl w:val="0"/>
                    <w:kinsoku/>
                    <w:wordWrap/>
                    <w:overflowPunct/>
                    <w:topLinePunct w:val="0"/>
                    <w:autoSpaceDE/>
                    <w:autoSpaceDN/>
                    <w:bidi w:val="0"/>
                    <w:adjustRightInd/>
                    <w:snapToGrid/>
                    <w:spacing w:line="240" w:lineRule="auto"/>
                    <w:ind w:lef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坚决遏制</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两高</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项目盲发展，规划实施的项目应符合国家产业政策、生态环境分区管控和污染物排放区域削减要求，依托区域产业优势，推动开发区产业链向下游延伸，构建园区循环经济产业体系。</w:t>
                  </w:r>
                </w:p>
              </w:tc>
              <w:tc>
                <w:tcPr>
                  <w:tcW w:w="1554" w:type="pct"/>
                  <w:tcBorders>
                    <w:tl2br w:val="nil"/>
                    <w:tr2bl w:val="nil"/>
                  </w:tcBorders>
                  <w:noWrap w:val="0"/>
                  <w:vAlign w:val="center"/>
                </w:tcPr>
                <w:p w14:paraId="229B9A0D">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本项目不属于两高行业，本项目建设符合</w:t>
                  </w:r>
                  <w:r>
                    <w:rPr>
                      <w:rFonts w:hint="eastAsia" w:ascii="Times New Roman" w:hAnsi="Times New Roman" w:eastAsia="宋体" w:cs="Times New Roman"/>
                      <w:sz w:val="21"/>
                      <w:szCs w:val="21"/>
                      <w:highlight w:val="none"/>
                      <w:lang w:val="en-US" w:eastAsia="zh-CN"/>
                    </w:rPr>
                    <w:t>开发区新材料产业发展路径。</w:t>
                  </w:r>
                </w:p>
              </w:tc>
              <w:tc>
                <w:tcPr>
                  <w:tcW w:w="568" w:type="pct"/>
                  <w:tcBorders>
                    <w:tl2br w:val="nil"/>
                    <w:tr2bl w:val="nil"/>
                  </w:tcBorders>
                  <w:noWrap w:val="0"/>
                  <w:vAlign w:val="center"/>
                </w:tcPr>
                <w:p w14:paraId="2FDDAB2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608D43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877" w:type="pct"/>
                  <w:tcBorders>
                    <w:tl2br w:val="nil"/>
                    <w:tr2bl w:val="nil"/>
                  </w:tcBorders>
                  <w:noWrap w:val="0"/>
                  <w:vAlign w:val="center"/>
                </w:tcPr>
                <w:p w14:paraId="06144A33">
                  <w:pPr>
                    <w:pStyle w:val="56"/>
                    <w:keepNext w:val="0"/>
                    <w:keepLines w:val="0"/>
                    <w:pageBreakBefore w:val="0"/>
                    <w:widowControl w:val="0"/>
                    <w:kinsoku/>
                    <w:wordWrap/>
                    <w:overflowPunct/>
                    <w:topLinePunct w:val="0"/>
                    <w:autoSpaceDE/>
                    <w:autoSpaceDN/>
                    <w:bidi w:val="0"/>
                    <w:adjustRightInd/>
                    <w:snapToGrid/>
                    <w:spacing w:line="240" w:lineRule="auto"/>
                    <w:ind w:lef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做好与国土空间规划衔接，石子河、南大河留设满足要求的生态防护廊道，保护河流生态环境。</w:t>
                  </w:r>
                </w:p>
              </w:tc>
              <w:tc>
                <w:tcPr>
                  <w:tcW w:w="1554" w:type="pct"/>
                  <w:tcBorders>
                    <w:tl2br w:val="nil"/>
                    <w:tr2bl w:val="nil"/>
                  </w:tcBorders>
                  <w:noWrap w:val="0"/>
                  <w:vAlign w:val="center"/>
                </w:tcPr>
                <w:p w14:paraId="54B6FC9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color w:val="auto"/>
                      <w:spacing w:val="0"/>
                      <w:kern w:val="0"/>
                      <w:sz w:val="21"/>
                      <w:szCs w:val="21"/>
                      <w:highlight w:val="none"/>
                      <w:lang w:val="en-US" w:eastAsia="zh-CN"/>
                    </w:rPr>
                    <w:t>本项目西侧距离石子河约0.33km，不在</w:t>
                  </w:r>
                  <w:r>
                    <w:rPr>
                      <w:rFonts w:hint="default" w:ascii="Times New Roman" w:hAnsi="Times New Roman" w:eastAsia="宋体" w:cs="Times New Roman"/>
                      <w:color w:val="auto"/>
                      <w:spacing w:val="0"/>
                      <w:kern w:val="0"/>
                      <w:sz w:val="21"/>
                      <w:szCs w:val="21"/>
                      <w:highlight w:val="none"/>
                    </w:rPr>
                    <w:t>石子河河道水岸线以外50米范围</w:t>
                  </w:r>
                  <w:r>
                    <w:rPr>
                      <w:rFonts w:hint="eastAsia" w:ascii="Times New Roman" w:hAnsi="Times New Roman" w:eastAsia="宋体" w:cs="Times New Roman"/>
                      <w:color w:val="auto"/>
                      <w:spacing w:val="0"/>
                      <w:kern w:val="0"/>
                      <w:sz w:val="21"/>
                      <w:szCs w:val="21"/>
                      <w:highlight w:val="none"/>
                      <w:lang w:val="en-US" w:eastAsia="zh-CN"/>
                    </w:rPr>
                    <w:t>内。</w:t>
                  </w:r>
                </w:p>
              </w:tc>
              <w:tc>
                <w:tcPr>
                  <w:tcW w:w="568" w:type="pct"/>
                  <w:tcBorders>
                    <w:tl2br w:val="nil"/>
                    <w:tr2bl w:val="nil"/>
                  </w:tcBorders>
                  <w:noWrap w:val="0"/>
                  <w:vAlign w:val="center"/>
                </w:tcPr>
                <w:p w14:paraId="7486384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0FD858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877" w:type="pct"/>
                  <w:tcBorders>
                    <w:tl2br w:val="nil"/>
                    <w:tr2bl w:val="nil"/>
                  </w:tcBorders>
                  <w:noWrap w:val="0"/>
                  <w:vAlign w:val="center"/>
                </w:tcPr>
                <w:p w14:paraId="171CEBBE">
                  <w:pPr>
                    <w:pStyle w:val="56"/>
                    <w:keepNext w:val="0"/>
                    <w:keepLines w:val="0"/>
                    <w:pageBreakBefore w:val="0"/>
                    <w:widowControl w:val="0"/>
                    <w:kinsoku/>
                    <w:wordWrap/>
                    <w:overflowPunct/>
                    <w:topLinePunct w:val="0"/>
                    <w:autoSpaceDE/>
                    <w:autoSpaceDN/>
                    <w:bidi w:val="0"/>
                    <w:adjustRightInd/>
                    <w:snapToGrid/>
                    <w:spacing w:line="240" w:lineRule="auto"/>
                    <w:ind w:lef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新建、扩建项目应采用先进适宜的工艺技术和装备，单位产品物耗、能耗、水耗等达到清洁生产先进水平。</w:t>
                  </w:r>
                </w:p>
              </w:tc>
              <w:tc>
                <w:tcPr>
                  <w:tcW w:w="1554" w:type="pct"/>
                  <w:tcBorders>
                    <w:tl2br w:val="nil"/>
                    <w:tr2bl w:val="nil"/>
                  </w:tcBorders>
                  <w:noWrap w:val="0"/>
                  <w:vAlign w:val="center"/>
                </w:tcPr>
                <w:p w14:paraId="0C095627">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本项目</w:t>
                  </w:r>
                  <w:r>
                    <w:rPr>
                      <w:rFonts w:hint="eastAsia"/>
                      <w:color w:val="000000"/>
                      <w:sz w:val="21"/>
                      <w:szCs w:val="21"/>
                      <w:highlight w:val="none"/>
                      <w:lang w:val="en-US" w:eastAsia="zh-CN"/>
                    </w:rPr>
                    <w:t>生产钕铁硼磁材</w:t>
                  </w:r>
                  <w:r>
                    <w:rPr>
                      <w:rFonts w:hint="eastAsia" w:ascii="Times New Roman" w:hAnsi="Times New Roman" w:eastAsia="宋体" w:cs="Times New Roman"/>
                      <w:sz w:val="21"/>
                      <w:szCs w:val="21"/>
                      <w:highlight w:val="none"/>
                      <w:lang w:val="en-US" w:eastAsia="zh-CN"/>
                    </w:rPr>
                    <w:t>，项目采用的生产设备、工艺、生产的产品均不属于产业政策中的限制类或淘汰类。</w:t>
                  </w:r>
                </w:p>
              </w:tc>
              <w:tc>
                <w:tcPr>
                  <w:tcW w:w="568" w:type="pct"/>
                  <w:tcBorders>
                    <w:tl2br w:val="nil"/>
                    <w:tr2bl w:val="nil"/>
                  </w:tcBorders>
                  <w:noWrap w:val="0"/>
                  <w:vAlign w:val="center"/>
                </w:tcPr>
                <w:p w14:paraId="3DE382A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635F4A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877" w:type="pct"/>
                  <w:tcBorders>
                    <w:tl2br w:val="nil"/>
                    <w:tr2bl w:val="nil"/>
                  </w:tcBorders>
                  <w:noWrap w:val="0"/>
                  <w:vAlign w:val="center"/>
                </w:tcPr>
                <w:p w14:paraId="364F25AD">
                  <w:pPr>
                    <w:pStyle w:val="56"/>
                    <w:keepNext w:val="0"/>
                    <w:keepLines w:val="0"/>
                    <w:pageBreakBefore w:val="0"/>
                    <w:widowControl w:val="0"/>
                    <w:kinsoku/>
                    <w:wordWrap/>
                    <w:overflowPunct/>
                    <w:topLinePunct w:val="0"/>
                    <w:autoSpaceDE/>
                    <w:autoSpaceDN/>
                    <w:bidi w:val="0"/>
                    <w:adjustRightInd/>
                    <w:snapToGrid/>
                    <w:spacing w:line="240" w:lineRule="auto"/>
                    <w:ind w:lef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坚守水资源利用上线，落实</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以水定产</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的要求，优化用水结构，提高用水频率，加快雨污分流管网建设，按照生态环境部《关于进一步规范城镇</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园区</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污水处理环境管理的通知》要求，加快污水集中处理设施及配套污水收集、中水回用管网建设，工业废水和生活污水应分别处理，做好水资源梯级利用，提高中水回用率，减少外排水量。</w:t>
                  </w:r>
                </w:p>
              </w:tc>
              <w:tc>
                <w:tcPr>
                  <w:tcW w:w="1554" w:type="pct"/>
                  <w:tcBorders>
                    <w:tl2br w:val="nil"/>
                    <w:tr2bl w:val="nil"/>
                  </w:tcBorders>
                  <w:noWrap w:val="0"/>
                  <w:vAlign w:val="center"/>
                </w:tcPr>
                <w:p w14:paraId="4722121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本项目磨床、切割工序湿法作业，废水循环使用不外排，</w:t>
                  </w:r>
                  <w:r>
                    <w:rPr>
                      <w:rFonts w:hint="default" w:ascii="Times New Roman" w:hAnsi="Times New Roman" w:eastAsia="宋体" w:cs="Times New Roman"/>
                      <w:sz w:val="21"/>
                      <w:szCs w:val="21"/>
                      <w:highlight w:val="none"/>
                      <w:lang w:val="en-US" w:eastAsia="zh-CN"/>
                    </w:rPr>
                    <w:t>设备循环冷却水集中收集于循环水池循环使用</w:t>
                  </w:r>
                  <w:r>
                    <w:rPr>
                      <w:rFonts w:hint="eastAsia" w:cs="Times New Roman"/>
                      <w:sz w:val="21"/>
                      <w:szCs w:val="21"/>
                      <w:highlight w:val="none"/>
                      <w:lang w:val="en-US" w:eastAsia="zh-CN"/>
                    </w:rPr>
                    <w:t>，循环水定排水用于办公区域地面清洁，不外排</w:t>
                  </w:r>
                  <w:r>
                    <w:rPr>
                      <w:rFonts w:hint="eastAsia" w:ascii="Times New Roman" w:hAnsi="Times New Roman" w:eastAsia="宋体" w:cs="Times New Roman"/>
                      <w:sz w:val="21"/>
                      <w:szCs w:val="21"/>
                      <w:highlight w:val="none"/>
                      <w:lang w:val="en-US" w:eastAsia="zh-CN"/>
                    </w:rPr>
                    <w:t>。</w:t>
                  </w:r>
                </w:p>
              </w:tc>
              <w:tc>
                <w:tcPr>
                  <w:tcW w:w="568" w:type="pct"/>
                  <w:tcBorders>
                    <w:tl2br w:val="nil"/>
                    <w:tr2bl w:val="nil"/>
                  </w:tcBorders>
                  <w:noWrap w:val="0"/>
                  <w:vAlign w:val="center"/>
                </w:tcPr>
                <w:p w14:paraId="2D10EB3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1ABE56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877" w:type="pct"/>
                  <w:tcBorders>
                    <w:tl2br w:val="nil"/>
                    <w:tr2bl w:val="nil"/>
                  </w:tcBorders>
                  <w:noWrap w:val="0"/>
                  <w:vAlign w:val="center"/>
                </w:tcPr>
                <w:p w14:paraId="487A27C6">
                  <w:pPr>
                    <w:pStyle w:val="56"/>
                    <w:keepNext w:val="0"/>
                    <w:keepLines w:val="0"/>
                    <w:pageBreakBefore w:val="0"/>
                    <w:widowControl w:val="0"/>
                    <w:kinsoku/>
                    <w:wordWrap/>
                    <w:overflowPunct/>
                    <w:topLinePunct w:val="0"/>
                    <w:autoSpaceDE/>
                    <w:autoSpaceDN/>
                    <w:bidi w:val="0"/>
                    <w:adjustRightInd/>
                    <w:snapToGrid/>
                    <w:spacing w:line="240" w:lineRule="auto"/>
                    <w:ind w:lef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按照</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控源头、防新增、重监管、保安全</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的原则，强化地下水污染协同防治，加强水环境风险防控，强化重点区域防渗措施，有效保护地下水环境安全。</w:t>
                  </w:r>
                </w:p>
              </w:tc>
              <w:tc>
                <w:tcPr>
                  <w:tcW w:w="1554" w:type="pct"/>
                  <w:tcBorders>
                    <w:tl2br w:val="nil"/>
                    <w:tr2bl w:val="nil"/>
                  </w:tcBorders>
                  <w:noWrap w:val="0"/>
                  <w:vAlign w:val="center"/>
                </w:tcPr>
                <w:p w14:paraId="5887314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本次评价已对项目建设提出分区防渗措施要求。</w:t>
                  </w:r>
                </w:p>
              </w:tc>
              <w:tc>
                <w:tcPr>
                  <w:tcW w:w="568" w:type="pct"/>
                  <w:tcBorders>
                    <w:tl2br w:val="nil"/>
                    <w:tr2bl w:val="nil"/>
                  </w:tcBorders>
                  <w:noWrap w:val="0"/>
                  <w:vAlign w:val="center"/>
                </w:tcPr>
                <w:p w14:paraId="586D893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63D6EA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877" w:type="pct"/>
                  <w:tcBorders>
                    <w:tl2br w:val="nil"/>
                    <w:tr2bl w:val="nil"/>
                  </w:tcBorders>
                  <w:noWrap w:val="0"/>
                  <w:vAlign w:val="center"/>
                </w:tcPr>
                <w:p w14:paraId="002D4BCE">
                  <w:pPr>
                    <w:pStyle w:val="56"/>
                    <w:keepNext w:val="0"/>
                    <w:keepLines w:val="0"/>
                    <w:pageBreakBefore w:val="0"/>
                    <w:widowControl w:val="0"/>
                    <w:kinsoku/>
                    <w:wordWrap/>
                    <w:overflowPunct/>
                    <w:topLinePunct w:val="0"/>
                    <w:autoSpaceDE/>
                    <w:autoSpaceDN/>
                    <w:bidi w:val="0"/>
                    <w:adjustRightInd/>
                    <w:snapToGrid/>
                    <w:spacing w:line="240" w:lineRule="auto"/>
                    <w:ind w:lef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优先选用低噪声设备、绿化降噪等措施，减缓噪声影响。按照</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减量化、资源化、无害化</w:t>
                  </w:r>
                  <w:r>
                    <w:rPr>
                      <w:rFonts w:hint="eastAsia" w:ascii="Times New Roman" w:hAnsi="Times New Roman" w:cs="Times New Roman"/>
                      <w:color w:val="auto"/>
                      <w:spacing w:val="0"/>
                      <w:kern w:val="0"/>
                      <w:sz w:val="21"/>
                      <w:szCs w:val="21"/>
                      <w:highlight w:val="none"/>
                      <w:lang w:eastAsia="zh-CN"/>
                    </w:rPr>
                    <w:t>”</w:t>
                  </w:r>
                  <w:r>
                    <w:rPr>
                      <w:rFonts w:hint="default" w:ascii="Times New Roman" w:hAnsi="Times New Roman" w:eastAsia="宋体" w:cs="Times New Roman"/>
                      <w:color w:val="auto"/>
                      <w:spacing w:val="0"/>
                      <w:kern w:val="0"/>
                      <w:sz w:val="21"/>
                      <w:szCs w:val="21"/>
                      <w:highlight w:val="none"/>
                    </w:rPr>
                    <w:t>原则，工业固体废物实行分类收集，鼓励固体废物综合利用，减少固体废物产生量。</w:t>
                  </w:r>
                </w:p>
              </w:tc>
              <w:tc>
                <w:tcPr>
                  <w:tcW w:w="1554" w:type="pct"/>
                  <w:tcBorders>
                    <w:tl2br w:val="nil"/>
                    <w:tr2bl w:val="nil"/>
                  </w:tcBorders>
                  <w:noWrap w:val="0"/>
                  <w:vAlign w:val="center"/>
                </w:tcPr>
                <w:p w14:paraId="0FCBFBBD">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本项目设备选用低噪设备、基础</w:t>
                  </w:r>
                  <w:r>
                    <w:rPr>
                      <w:rFonts w:hint="eastAsia" w:cs="Times New Roman"/>
                      <w:sz w:val="21"/>
                      <w:szCs w:val="21"/>
                      <w:highlight w:val="none"/>
                      <w:vertAlign w:val="baseline"/>
                      <w:lang w:val="en-US" w:eastAsia="zh-CN"/>
                    </w:rPr>
                    <w:t>减振</w:t>
                  </w:r>
                  <w:r>
                    <w:rPr>
                      <w:rFonts w:hint="eastAsia" w:ascii="Times New Roman" w:hAnsi="Times New Roman" w:eastAsia="宋体" w:cs="Times New Roman"/>
                      <w:sz w:val="21"/>
                      <w:szCs w:val="21"/>
                      <w:highlight w:val="none"/>
                      <w:vertAlign w:val="baseline"/>
                      <w:lang w:val="en-US" w:eastAsia="zh-CN"/>
                    </w:rPr>
                    <w:t>、厂房隔声等措施。项目</w:t>
                  </w:r>
                  <w:r>
                    <w:rPr>
                      <w:rFonts w:hint="eastAsia" w:ascii="Times New Roman" w:hAnsi="Times New Roman" w:eastAsia="宋体" w:cs="Times New Roman"/>
                      <w:sz w:val="21"/>
                      <w:szCs w:val="21"/>
                      <w:highlight w:val="none"/>
                      <w:lang w:val="en-US" w:eastAsia="zh-CN"/>
                    </w:rPr>
                    <w:t>磨泥收集后外售原料厂家重新提炼金属；废边角料由原料厂家定期进行回收再生产原料；废包装材料由原料厂家回收再利用。</w:t>
                  </w:r>
                </w:p>
              </w:tc>
              <w:tc>
                <w:tcPr>
                  <w:tcW w:w="568" w:type="pct"/>
                  <w:tcBorders>
                    <w:tl2br w:val="nil"/>
                    <w:tr2bl w:val="nil"/>
                  </w:tcBorders>
                  <w:noWrap w:val="0"/>
                  <w:vAlign w:val="center"/>
                </w:tcPr>
                <w:p w14:paraId="67223EC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r w14:paraId="3E02A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877" w:type="pct"/>
                  <w:tcBorders>
                    <w:tl2br w:val="nil"/>
                    <w:tr2bl w:val="nil"/>
                  </w:tcBorders>
                  <w:noWrap w:val="0"/>
                  <w:vAlign w:val="center"/>
                </w:tcPr>
                <w:p w14:paraId="1B340ABB">
                  <w:pPr>
                    <w:pStyle w:val="56"/>
                    <w:keepNext w:val="0"/>
                    <w:keepLines w:val="0"/>
                    <w:pageBreakBefore w:val="0"/>
                    <w:widowControl w:val="0"/>
                    <w:kinsoku/>
                    <w:wordWrap/>
                    <w:overflowPunct/>
                    <w:topLinePunct w:val="0"/>
                    <w:autoSpaceDE/>
                    <w:autoSpaceDN/>
                    <w:bidi w:val="0"/>
                    <w:adjustRightInd/>
                    <w:snapToGrid/>
                    <w:spacing w:line="240" w:lineRule="auto"/>
                    <w:ind w:left="0" w:firstLine="0"/>
                    <w:jc w:val="both"/>
                    <w:textAlignment w:val="auto"/>
                    <w:rPr>
                      <w:rFonts w:hint="default" w:ascii="Times New Roman" w:hAnsi="Times New Roman" w:eastAsia="宋体" w:cs="Times New Roman"/>
                      <w:color w:val="auto"/>
                      <w:spacing w:val="0"/>
                      <w:kern w:val="0"/>
                      <w:sz w:val="21"/>
                      <w:szCs w:val="21"/>
                      <w:highlight w:val="none"/>
                      <w:lang w:val="en-US" w:eastAsia="zh-CN"/>
                    </w:rPr>
                  </w:pPr>
                  <w:r>
                    <w:rPr>
                      <w:rFonts w:hint="default" w:ascii="Times New Roman" w:hAnsi="Times New Roman" w:eastAsia="宋体" w:cs="Times New Roman"/>
                      <w:color w:val="auto"/>
                      <w:spacing w:val="0"/>
                      <w:kern w:val="0"/>
                      <w:sz w:val="21"/>
                      <w:szCs w:val="21"/>
                      <w:highlight w:val="none"/>
                    </w:rPr>
                    <w:t>做好危险废物收集、贮存、转运和处置、严控废物利用，处置不当可能导致的环境风险。</w:t>
                  </w:r>
                </w:p>
              </w:tc>
              <w:tc>
                <w:tcPr>
                  <w:tcW w:w="1554" w:type="pct"/>
                  <w:tcBorders>
                    <w:tl2br w:val="nil"/>
                    <w:tr2bl w:val="nil"/>
                  </w:tcBorders>
                  <w:noWrap w:val="0"/>
                  <w:vAlign w:val="center"/>
                </w:tcPr>
                <w:p w14:paraId="65D9BAA3">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lang w:val="en-US" w:eastAsia="zh-CN"/>
                    </w:rPr>
                    <w:t>项目废润滑油、真空泵废油、废活性炭、废液压油、</w:t>
                  </w:r>
                  <w:r>
                    <w:rPr>
                      <w:rFonts w:hint="eastAsia" w:cs="Times New Roman"/>
                      <w:sz w:val="21"/>
                      <w:szCs w:val="21"/>
                      <w:highlight w:val="none"/>
                      <w:lang w:val="en-US" w:eastAsia="zh-CN"/>
                    </w:rPr>
                    <w:t>等静压工序含油废袋</w:t>
                  </w:r>
                  <w:r>
                    <w:rPr>
                      <w:rFonts w:hint="eastAsia" w:ascii="Times New Roman" w:hAnsi="Times New Roman" w:eastAsia="宋体" w:cs="Times New Roman"/>
                      <w:sz w:val="21"/>
                      <w:szCs w:val="21"/>
                      <w:highlight w:val="none"/>
                      <w:lang w:val="en-US" w:eastAsia="zh-CN"/>
                    </w:rPr>
                    <w:t>收集后暂存于危废贮存库，送有资质单位处置</w:t>
                  </w:r>
                  <w:r>
                    <w:rPr>
                      <w:rFonts w:hint="eastAsia" w:cs="Times New Roman"/>
                      <w:sz w:val="21"/>
                      <w:szCs w:val="21"/>
                      <w:highlight w:val="none"/>
                      <w:lang w:val="en-US" w:eastAsia="zh-CN"/>
                    </w:rPr>
                    <w:t>。</w:t>
                  </w:r>
                </w:p>
              </w:tc>
              <w:tc>
                <w:tcPr>
                  <w:tcW w:w="568" w:type="pct"/>
                  <w:tcBorders>
                    <w:tl2br w:val="nil"/>
                    <w:tr2bl w:val="nil"/>
                  </w:tcBorders>
                  <w:noWrap w:val="0"/>
                  <w:vAlign w:val="center"/>
                </w:tcPr>
                <w:p w14:paraId="16FB76B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符合</w:t>
                  </w:r>
                </w:p>
              </w:tc>
            </w:tr>
          </w:tbl>
          <w:p w14:paraId="3D2CEEC5">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kern w:val="0"/>
                <w:sz w:val="24"/>
                <w:szCs w:val="24"/>
                <w:highlight w:val="none"/>
              </w:rPr>
            </w:pPr>
            <w:r>
              <w:rPr>
                <w:rFonts w:hint="eastAsia" w:ascii="Times New Roman" w:hAnsi="Times New Roman" w:eastAsia="宋体" w:cs="Times New Roman"/>
                <w:sz w:val="24"/>
                <w:szCs w:val="24"/>
                <w:highlight w:val="none"/>
                <w:lang w:val="en-US" w:eastAsia="zh-CN"/>
              </w:rPr>
              <w:t>综上，项目的建设符合《壶关经济开发区扩区总体规划（2020-2035）环境影响报告书》审查意见的相关要求。</w:t>
            </w:r>
          </w:p>
        </w:tc>
      </w:tr>
      <w:tr w14:paraId="2556AF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15" w:type="dxa"/>
            <w:noWrap w:val="0"/>
            <w:vAlign w:val="center"/>
          </w:tcPr>
          <w:p w14:paraId="7DA0A694">
            <w:pPr>
              <w:autoSpaceDE w:val="0"/>
              <w:autoSpaceDN w:val="0"/>
              <w:adjustRightInd w:val="0"/>
              <w:snapToGrid w:val="0"/>
              <w:jc w:val="center"/>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其他符合性分析</w:t>
            </w:r>
          </w:p>
        </w:tc>
        <w:tc>
          <w:tcPr>
            <w:tcW w:w="7355" w:type="dxa"/>
            <w:noWrap w:val="0"/>
            <w:vAlign w:val="center"/>
          </w:tcPr>
          <w:p w14:paraId="2C5A0E4D">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1、产业政策符合性分析</w:t>
            </w:r>
          </w:p>
          <w:p w14:paraId="427ED106">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根据国家发展和改革委员会</w:t>
            </w:r>
            <w:r>
              <w:rPr>
                <w:rFonts w:hint="eastAsia" w:ascii="Times New Roman" w:hAnsi="Times New Roman" w:eastAsia="宋体" w:cs="Times New Roman"/>
                <w:sz w:val="24"/>
                <w:szCs w:val="24"/>
                <w:highlight w:val="none"/>
                <w:lang w:val="en-US" w:eastAsia="zh-CN"/>
              </w:rPr>
              <w:t>2023年</w:t>
            </w:r>
            <w:r>
              <w:rPr>
                <w:rFonts w:hint="default" w:ascii="Times New Roman" w:hAnsi="Times New Roman" w:eastAsia="宋体" w:cs="Times New Roman"/>
                <w:sz w:val="24"/>
                <w:szCs w:val="24"/>
                <w:highlight w:val="none"/>
                <w:lang w:val="en-US" w:eastAsia="zh-CN"/>
              </w:rPr>
              <w:t>第</w:t>
            </w:r>
            <w:r>
              <w:rPr>
                <w:rFonts w:hint="eastAsia" w:ascii="Times New Roman" w:hAnsi="Times New Roman" w:eastAsia="宋体" w:cs="Times New Roman"/>
                <w:sz w:val="24"/>
                <w:szCs w:val="24"/>
                <w:highlight w:val="none"/>
                <w:lang w:val="en-US" w:eastAsia="zh-CN"/>
              </w:rPr>
              <w:t>7</w:t>
            </w:r>
            <w:r>
              <w:rPr>
                <w:rFonts w:hint="default" w:ascii="Times New Roman" w:hAnsi="Times New Roman" w:eastAsia="宋体" w:cs="Times New Roman"/>
                <w:sz w:val="24"/>
                <w:szCs w:val="24"/>
                <w:highlight w:val="none"/>
                <w:lang w:val="en-US" w:eastAsia="zh-CN"/>
              </w:rPr>
              <w:t>号令《产业结构调整指导目录（</w:t>
            </w:r>
            <w:r>
              <w:rPr>
                <w:rFonts w:hint="eastAsia" w:ascii="Times New Roman" w:hAnsi="Times New Roman" w:eastAsia="宋体" w:cs="Times New Roman"/>
                <w:sz w:val="24"/>
                <w:szCs w:val="24"/>
                <w:highlight w:val="none"/>
                <w:lang w:val="en-US" w:eastAsia="zh-CN"/>
              </w:rPr>
              <w:t>2024</w:t>
            </w:r>
            <w:r>
              <w:rPr>
                <w:rFonts w:hint="default" w:ascii="Times New Roman" w:hAnsi="Times New Roman" w:eastAsia="宋体" w:cs="Times New Roman"/>
                <w:sz w:val="24"/>
                <w:szCs w:val="24"/>
                <w:highlight w:val="none"/>
                <w:lang w:val="en-US" w:eastAsia="zh-CN"/>
              </w:rPr>
              <w:t>年本</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》，本项目</w:t>
            </w:r>
            <w:r>
              <w:rPr>
                <w:rFonts w:hint="eastAsia"/>
                <w:color w:val="000000"/>
                <w:sz w:val="24"/>
                <w:szCs w:val="24"/>
                <w:highlight w:val="none"/>
                <w:lang w:val="en-US" w:eastAsia="zh-CN"/>
              </w:rPr>
              <w:t>生产钕铁硼磁材</w:t>
            </w:r>
            <w:r>
              <w:rPr>
                <w:rFonts w:hint="eastAsia" w:ascii="Times New Roman" w:hAnsi="Times New Roman" w:eastAsia="宋体" w:cs="Times New Roman"/>
                <w:sz w:val="24"/>
                <w:szCs w:val="24"/>
                <w:highlight w:val="none"/>
                <w:lang w:val="en-US" w:eastAsia="zh-CN"/>
              </w:rPr>
              <w:t>，项目采用的生产设备、工艺、生产的产品均不属于产业政策中的限制类或淘汰类。</w:t>
            </w:r>
          </w:p>
          <w:p w14:paraId="56C2F64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本项目于</w:t>
            </w:r>
            <w:r>
              <w:rPr>
                <w:rFonts w:hint="default" w:ascii="Times New Roman" w:hAnsi="Times New Roman" w:eastAsia="宋体" w:cs="Times New Roman"/>
                <w:sz w:val="24"/>
                <w:szCs w:val="24"/>
                <w:highlight w:val="none"/>
                <w:lang w:val="en-US" w:eastAsia="zh-CN"/>
              </w:rPr>
              <w:t>202</w:t>
            </w:r>
            <w:r>
              <w:rPr>
                <w:rFonts w:hint="eastAsia" w:cs="Times New Roman"/>
                <w:sz w:val="24"/>
                <w:szCs w:val="24"/>
                <w:highlight w:val="none"/>
                <w:lang w:val="en-US" w:eastAsia="zh-CN"/>
              </w:rPr>
              <w:t>5</w:t>
            </w:r>
            <w:r>
              <w:rPr>
                <w:rFonts w:hint="eastAsia" w:ascii="Times New Roman" w:hAnsi="Times New Roman" w:eastAsia="宋体" w:cs="Times New Roman"/>
                <w:sz w:val="24"/>
                <w:szCs w:val="24"/>
                <w:highlight w:val="none"/>
                <w:lang w:val="en-US" w:eastAsia="zh-CN"/>
              </w:rPr>
              <w:t>年</w:t>
            </w:r>
            <w:r>
              <w:rPr>
                <w:rFonts w:hint="eastAsia" w:cs="Times New Roman"/>
                <w:sz w:val="24"/>
                <w:szCs w:val="24"/>
                <w:highlight w:val="none"/>
                <w:lang w:val="en-US" w:eastAsia="zh-CN"/>
              </w:rPr>
              <w:t>2</w:t>
            </w:r>
            <w:r>
              <w:rPr>
                <w:rFonts w:hint="eastAsia" w:ascii="Times New Roman" w:hAnsi="Times New Roman" w:eastAsia="宋体" w:cs="Times New Roman"/>
                <w:sz w:val="24"/>
                <w:szCs w:val="24"/>
                <w:highlight w:val="none"/>
                <w:lang w:val="en-US" w:eastAsia="zh-CN"/>
              </w:rPr>
              <w:t>月</w:t>
            </w:r>
            <w:r>
              <w:rPr>
                <w:rFonts w:hint="eastAsia" w:cs="Times New Roman"/>
                <w:sz w:val="24"/>
                <w:szCs w:val="24"/>
                <w:highlight w:val="none"/>
                <w:lang w:val="en-US" w:eastAsia="zh-CN"/>
              </w:rPr>
              <w:t>20</w:t>
            </w:r>
            <w:r>
              <w:rPr>
                <w:rFonts w:hint="eastAsia" w:ascii="Times New Roman" w:hAnsi="Times New Roman" w:eastAsia="宋体" w:cs="Times New Roman"/>
                <w:sz w:val="24"/>
                <w:szCs w:val="24"/>
                <w:highlight w:val="none"/>
                <w:lang w:val="en-US" w:eastAsia="zh-CN"/>
              </w:rPr>
              <w:t>日申请备案并取得壶关经济开发区管理委员会的同意（项目代码：2502-140452-89-05-724804）。</w:t>
            </w:r>
          </w:p>
          <w:p w14:paraId="4BBC490F">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2、与《壶关县国土空间总体规划（2021</w:t>
            </w:r>
            <w:r>
              <w:rPr>
                <w:rFonts w:hint="eastAsia" w:cs="Times New Roman"/>
                <w:b/>
                <w:bCs/>
                <w:sz w:val="24"/>
                <w:szCs w:val="24"/>
                <w:highlight w:val="none"/>
                <w:lang w:val="en-US" w:eastAsia="zh-CN"/>
              </w:rPr>
              <w:t>—</w:t>
            </w:r>
            <w:r>
              <w:rPr>
                <w:rFonts w:hint="eastAsia" w:ascii="Times New Roman" w:hAnsi="Times New Roman" w:eastAsia="宋体" w:cs="Times New Roman"/>
                <w:b/>
                <w:bCs/>
                <w:sz w:val="24"/>
                <w:szCs w:val="24"/>
                <w:highlight w:val="none"/>
                <w:lang w:val="en-US" w:eastAsia="zh-CN"/>
              </w:rPr>
              <w:t>2035年）》的符合性分析</w:t>
            </w:r>
          </w:p>
          <w:p w14:paraId="3B352DE5">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规划范围：规划范围为壶关县行政辖区内全部地域，总面积为1007.71平方千米，辖七个镇，三个乡。</w:t>
            </w:r>
          </w:p>
          <w:p w14:paraId="55FB7C2A">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规划期限：规划期限为2021年至2035年，基期年为2020年，近期至2025年，目标年为2035年，远景展望至2050年。</w:t>
            </w:r>
          </w:p>
          <w:p w14:paraId="091F53E2">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规划目标：到2035年经济、人口、资源环境的空间均衡初步实现，耕地和生态资源得到严格保护，公共空间和人居环境品质大幅提升，城乡建设用地空间和产业结构布局高质量发展空间基本形成。到2050年全面形成生产空间集约高效、生活空间宜居适度、生态空间山清水秀，安全和谐、富有竞争力和可持续发展的国土空间格局，将壶关建设成为绿色生态、休闲宜游、幸福宜居的魅力小城。</w:t>
            </w:r>
          </w:p>
          <w:p w14:paraId="14185A36">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严格保护基本农田：全县划定永久基本农田面积为23625.29公顷，占土地总面积的23.44%，占稳定耕地的85.23%，主要分布在龙泉镇、晋庄镇、黄山乡、店上镇和百尺镇。</w:t>
            </w:r>
          </w:p>
          <w:p w14:paraId="5BD91EF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落实生态保护红线：全县划定生态保护红线面积为37075.24公顷，占土地总面积的36.79%，主要分布在大峡谷镇、树掌镇、石坡乡和东井岭乡，主要为重要水源涵养区。</w:t>
            </w:r>
          </w:p>
          <w:p w14:paraId="6ECFF34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科学划定城镇开发边界：全县划定城镇开发边界面积为1985.77公顷，占县域面积的1.97%，主要分布在中心城区、集店镇、大峡谷镇、百尺镇、店上镇、晋庄镇和树掌镇。</w:t>
            </w:r>
          </w:p>
          <w:p w14:paraId="5947575B">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本项目</w:t>
            </w:r>
            <w:r>
              <w:rPr>
                <w:rFonts w:hint="eastAsia" w:ascii="Times New Roman" w:hAnsi="Times New Roman" w:eastAsia="宋体" w:cs="Times New Roman"/>
                <w:sz w:val="24"/>
                <w:szCs w:val="24"/>
                <w:highlight w:val="none"/>
                <w:lang w:val="en-US" w:eastAsia="zh-CN"/>
              </w:rPr>
              <w:t>位于</w:t>
            </w:r>
            <w:r>
              <w:rPr>
                <w:rFonts w:hint="default" w:ascii="Times New Roman" w:hAnsi="Times New Roman" w:cs="Times New Roman"/>
                <w:sz w:val="24"/>
                <w:szCs w:val="24"/>
                <w:highlight w:val="none"/>
                <w:u w:val="none"/>
                <w:lang w:val="en-US" w:eastAsia="zh-CN"/>
              </w:rPr>
              <w:t>山西</w:t>
            </w:r>
            <w:r>
              <w:rPr>
                <w:rFonts w:hint="default" w:ascii="Times New Roman" w:hAnsi="Times New Roman" w:cs="Times New Roman"/>
                <w:sz w:val="24"/>
                <w:szCs w:val="24"/>
                <w:highlight w:val="none"/>
                <w:u w:val="none"/>
              </w:rPr>
              <w:t>省</w:t>
            </w:r>
            <w:r>
              <w:rPr>
                <w:rFonts w:hint="eastAsia" w:ascii="Times New Roman" w:hAnsi="Times New Roman" w:cs="Times New Roman"/>
                <w:sz w:val="24"/>
                <w:szCs w:val="24"/>
                <w:highlight w:val="none"/>
                <w:u w:val="none"/>
                <w:lang w:val="en-US" w:eastAsia="zh-CN"/>
              </w:rPr>
              <w:t>长治</w:t>
            </w:r>
            <w:r>
              <w:rPr>
                <w:rFonts w:hint="default" w:ascii="Times New Roman" w:hAnsi="Times New Roman" w:cs="Times New Roman"/>
                <w:sz w:val="24"/>
                <w:szCs w:val="24"/>
                <w:highlight w:val="none"/>
                <w:u w:val="none"/>
              </w:rPr>
              <w:t>市</w:t>
            </w:r>
            <w:r>
              <w:rPr>
                <w:rFonts w:hint="eastAsia" w:ascii="Times New Roman" w:hAnsi="Times New Roman" w:cs="Times New Roman"/>
                <w:sz w:val="24"/>
                <w:szCs w:val="24"/>
                <w:highlight w:val="none"/>
                <w:u w:val="none"/>
                <w:lang w:val="en-US" w:eastAsia="zh-CN"/>
              </w:rPr>
              <w:t>壶关县集店镇集店村，</w:t>
            </w:r>
            <w:r>
              <w:rPr>
                <w:rFonts w:hint="eastAsia"/>
                <w:color w:val="000000"/>
                <w:sz w:val="24"/>
                <w:szCs w:val="24"/>
                <w:highlight w:val="none"/>
                <w:lang w:val="en-US" w:eastAsia="zh-CN"/>
              </w:rPr>
              <w:t>生产钕铁硼磁材</w:t>
            </w:r>
            <w:r>
              <w:rPr>
                <w:rFonts w:hint="eastAsia" w:ascii="Times New Roman" w:hAnsi="Times New Roman" w:eastAsia="宋体" w:cs="Times New Roman"/>
                <w:sz w:val="24"/>
                <w:szCs w:val="24"/>
                <w:highlight w:val="none"/>
                <w:lang w:val="en-US" w:eastAsia="zh-CN"/>
              </w:rPr>
              <w:t>，项目所在地不在基本农田保护红线、生态保护红线内，项目选址位于西部城镇发展主导区，位于城镇开发边界内，本项目占地类型为工业用地，项目建设不占用耕地及林地。综上所述，本项目的建设不会影响该区的主体功能，项目不违背壶关县国土空间总体规划要求。</w:t>
            </w:r>
          </w:p>
          <w:p w14:paraId="54529D0E">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3、与</w:t>
            </w:r>
            <w:r>
              <w:rPr>
                <w:rFonts w:hint="eastAsia" w:cs="Times New Roman"/>
                <w:b/>
                <w:bCs/>
                <w:sz w:val="24"/>
                <w:szCs w:val="24"/>
                <w:highlight w:val="none"/>
                <w:lang w:val="en-US" w:eastAsia="zh-CN"/>
              </w:rPr>
              <w:t>《长治市“三线一单”生态环境分区管控实施方案》</w:t>
            </w:r>
            <w:r>
              <w:rPr>
                <w:rFonts w:hint="eastAsia" w:ascii="Times New Roman" w:hAnsi="Times New Roman" w:eastAsia="宋体" w:cs="Times New Roman"/>
                <w:b/>
                <w:bCs/>
                <w:sz w:val="24"/>
                <w:szCs w:val="24"/>
                <w:highlight w:val="none"/>
                <w:lang w:val="en-US" w:eastAsia="zh-CN"/>
              </w:rPr>
              <w:t>的符合性分析</w:t>
            </w:r>
          </w:p>
          <w:p w14:paraId="6943EFF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highlight w:val="none"/>
                <w:lang w:val="en-US" w:eastAsia="zh-CN"/>
              </w:rPr>
            </w:pPr>
            <w:r>
              <w:rPr>
                <w:rFonts w:hint="eastAsia" w:cs="Times New Roman"/>
                <w:sz w:val="24"/>
                <w:szCs w:val="24"/>
                <w:highlight w:val="none"/>
                <w:lang w:val="en-US" w:eastAsia="zh-CN"/>
              </w:rPr>
              <w:t>2021年6月30日，长治市人民政府印发了《长治市“三线一单”生态环境分区管控实施方案》，将长治市生态环境管控单元分为优先保护单元、重点管控单元和一般管控单元：</w:t>
            </w:r>
          </w:p>
          <w:p w14:paraId="66509BEB">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highlight w:val="none"/>
                <w:lang w:val="en-US" w:eastAsia="zh-CN"/>
              </w:rPr>
            </w:pPr>
            <w:r>
              <w:rPr>
                <w:rFonts w:hint="eastAsia" w:cs="Times New Roman"/>
                <w:sz w:val="24"/>
                <w:szCs w:val="24"/>
                <w:highlight w:val="none"/>
                <w:lang w:val="en-US" w:eastAsia="zh-CN"/>
              </w:rPr>
              <w:t>优先保护单元：主要包括生态保护红线、自然保护地、饮用水水源保护区、泉域重点保护区，以及生态功能重要和生态环境敏感脆弱的区域等。</w:t>
            </w:r>
          </w:p>
          <w:p w14:paraId="4EDE8F46">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highlight w:val="none"/>
                <w:lang w:val="en-US" w:eastAsia="zh-CN"/>
              </w:rPr>
            </w:pPr>
            <w:r>
              <w:rPr>
                <w:rFonts w:hint="eastAsia" w:cs="Times New Roman"/>
                <w:sz w:val="24"/>
                <w:szCs w:val="24"/>
                <w:highlight w:val="none"/>
                <w:lang w:val="en-US" w:eastAsia="zh-CN"/>
              </w:rPr>
              <w:t>重点管控单元：主要包括城市建成区、开发区和工业园区、大气环境布局敏感区和弱扩散区，以及开发强度高、污染物排放量大、环境问题相对集中的区域等。</w:t>
            </w:r>
          </w:p>
          <w:p w14:paraId="303BBCCA">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highlight w:val="none"/>
                <w:lang w:val="en-US" w:eastAsia="zh-CN"/>
              </w:rPr>
            </w:pPr>
            <w:r>
              <w:rPr>
                <w:rFonts w:hint="eastAsia" w:cs="Times New Roman"/>
                <w:sz w:val="24"/>
                <w:szCs w:val="24"/>
                <w:highlight w:val="none"/>
                <w:lang w:val="en-US" w:eastAsia="zh-CN"/>
              </w:rPr>
              <w:t>一般管控单元：指优先保护单元和重点管控单元之外的其他区域。</w:t>
            </w:r>
          </w:p>
          <w:p w14:paraId="6C287A6A">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highlight w:val="none"/>
                <w:lang w:val="en-US" w:eastAsia="zh-CN"/>
              </w:rPr>
            </w:pPr>
            <w:r>
              <w:rPr>
                <w:rFonts w:hint="eastAsia" w:cs="Times New Roman"/>
                <w:sz w:val="24"/>
                <w:szCs w:val="24"/>
                <w:highlight w:val="none"/>
                <w:lang w:val="en-US" w:eastAsia="zh-CN"/>
              </w:rPr>
              <w:t>根据山西省“三线一单”数据管理及应用平台智能研判，本项目位于重点管控单元。重点管控单元的生态环境准入清单要求为：以生态修复和环境污染治理为主，进一步优化空间布局，加强污染物排放控制和环境风险防控，不断提升资源能源利用效率，解决生态环境质量不达标、生态环境风险高等问题，实现减污降碳协同效应。加快调整优化产业结构、能源结构，严禁新增钢铁、焦化、铸造、水泥、平板玻璃等产能，加快实施城市规划区“两高”企业搬迁，完善能源消费双控制度。鼓励焦化、化工等传统产业实施“飞地经济”。实施企业绩效分级分类管控，强化联防联控，持续推进清洁取暖散煤治理，严防“散乱污”企业反弹，积极应对重污染天气。</w:t>
            </w:r>
          </w:p>
          <w:p w14:paraId="4DC681D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cs="Times New Roman"/>
                <w:sz w:val="24"/>
                <w:szCs w:val="24"/>
                <w:highlight w:val="none"/>
                <w:lang w:val="en-US" w:eastAsia="zh-CN"/>
              </w:rPr>
              <w:t>本</w:t>
            </w:r>
            <w:r>
              <w:rPr>
                <w:rFonts w:hint="default" w:cs="Times New Roman"/>
                <w:sz w:val="24"/>
                <w:szCs w:val="24"/>
                <w:highlight w:val="none"/>
                <w:lang w:val="en-US" w:eastAsia="zh-CN"/>
              </w:rPr>
              <w:t>项目建设与</w:t>
            </w:r>
            <w:r>
              <w:rPr>
                <w:rFonts w:hint="eastAsia" w:cs="Times New Roman"/>
                <w:sz w:val="24"/>
                <w:szCs w:val="24"/>
                <w:highlight w:val="none"/>
                <w:lang w:val="en-US" w:eastAsia="zh-CN"/>
              </w:rPr>
              <w:t>《长治市“三线一单”生态环境分区管控实施方案》</w:t>
            </w:r>
            <w:r>
              <w:rPr>
                <w:rFonts w:hint="default" w:cs="Times New Roman"/>
                <w:sz w:val="24"/>
                <w:szCs w:val="24"/>
                <w:highlight w:val="none"/>
                <w:lang w:val="en-US" w:eastAsia="zh-CN"/>
              </w:rPr>
              <w:t>符合性分析</w:t>
            </w:r>
            <w:r>
              <w:rPr>
                <w:rFonts w:hint="eastAsia" w:cs="Times New Roman"/>
                <w:sz w:val="24"/>
                <w:szCs w:val="24"/>
                <w:highlight w:val="none"/>
                <w:lang w:val="en-US" w:eastAsia="zh-CN"/>
              </w:rPr>
              <w:t>详</w:t>
            </w:r>
            <w:r>
              <w:rPr>
                <w:rFonts w:hint="default" w:cs="Times New Roman"/>
                <w:sz w:val="24"/>
                <w:szCs w:val="24"/>
                <w:highlight w:val="none"/>
                <w:lang w:val="en-US" w:eastAsia="zh-CN"/>
              </w:rPr>
              <w:t>见表</w:t>
            </w:r>
            <w:r>
              <w:rPr>
                <w:rFonts w:hint="eastAsia" w:cs="Times New Roman"/>
                <w:sz w:val="24"/>
                <w:szCs w:val="24"/>
                <w:highlight w:val="none"/>
                <w:lang w:val="en-US" w:eastAsia="zh-CN"/>
              </w:rPr>
              <w:t>3</w:t>
            </w:r>
            <w:r>
              <w:rPr>
                <w:rFonts w:hint="default" w:cs="Times New Roman"/>
                <w:sz w:val="24"/>
                <w:szCs w:val="24"/>
                <w:highlight w:val="none"/>
                <w:lang w:val="en-US" w:eastAsia="zh-CN"/>
              </w:rPr>
              <w:t>。</w:t>
            </w:r>
          </w:p>
          <w:p w14:paraId="0F6886AF">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表3  长治市生态环境总体准入管控要求</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440"/>
              <w:gridCol w:w="4919"/>
              <w:gridCol w:w="1287"/>
              <w:gridCol w:w="493"/>
            </w:tblGrid>
            <w:tr w14:paraId="1D1E0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387" w:type="dxa"/>
                  <w:tcBorders>
                    <w:tl2br w:val="nil"/>
                    <w:tr2bl w:val="nil"/>
                  </w:tcBorders>
                  <w:noWrap w:val="0"/>
                  <w:vAlign w:val="center"/>
                </w:tcPr>
                <w:p w14:paraId="6589E6D6">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类别</w:t>
                  </w:r>
                </w:p>
              </w:tc>
              <w:tc>
                <w:tcPr>
                  <w:tcW w:w="4322" w:type="dxa"/>
                  <w:tcBorders>
                    <w:tl2br w:val="nil"/>
                    <w:tr2bl w:val="nil"/>
                  </w:tcBorders>
                  <w:noWrap w:val="0"/>
                  <w:vAlign w:val="center"/>
                </w:tcPr>
                <w:p w14:paraId="7E97B874">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管控要求</w:t>
                  </w:r>
                </w:p>
              </w:tc>
              <w:tc>
                <w:tcPr>
                  <w:tcW w:w="1131" w:type="dxa"/>
                  <w:tcBorders>
                    <w:tl2br w:val="nil"/>
                    <w:tr2bl w:val="nil"/>
                  </w:tcBorders>
                  <w:noWrap w:val="0"/>
                  <w:vAlign w:val="center"/>
                </w:tcPr>
                <w:p w14:paraId="55AA5F7F">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本项目情况</w:t>
                  </w:r>
                </w:p>
              </w:tc>
              <w:tc>
                <w:tcPr>
                  <w:tcW w:w="432" w:type="dxa"/>
                  <w:tcBorders>
                    <w:tl2br w:val="nil"/>
                    <w:tr2bl w:val="nil"/>
                  </w:tcBorders>
                  <w:noWrap w:val="0"/>
                  <w:vAlign w:val="center"/>
                </w:tcPr>
                <w:p w14:paraId="16B719F3">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符合性</w:t>
                  </w:r>
                </w:p>
              </w:tc>
            </w:tr>
            <w:tr w14:paraId="3F3455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387" w:type="dxa"/>
                  <w:tcBorders>
                    <w:tl2br w:val="nil"/>
                    <w:tr2bl w:val="nil"/>
                  </w:tcBorders>
                  <w:noWrap w:val="0"/>
                  <w:vAlign w:val="center"/>
                </w:tcPr>
                <w:p w14:paraId="097FCEE3">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kern w:val="0"/>
                      <w:sz w:val="21"/>
                      <w:szCs w:val="21"/>
                      <w:highlight w:val="none"/>
                      <w:vertAlign w:val="baseline"/>
                      <w:lang w:val="en-US" w:eastAsia="zh-CN"/>
                    </w:rPr>
                    <w:t>空间布局约束</w:t>
                  </w:r>
                </w:p>
              </w:tc>
              <w:tc>
                <w:tcPr>
                  <w:tcW w:w="4322" w:type="dxa"/>
                  <w:tcBorders>
                    <w:tl2br w:val="nil"/>
                    <w:tr2bl w:val="nil"/>
                  </w:tcBorders>
                  <w:noWrap w:val="0"/>
                  <w:vAlign w:val="center"/>
                </w:tcPr>
                <w:p w14:paraId="7FF5C91D">
                  <w:pPr>
                    <w:keepNext w:val="0"/>
                    <w:keepLines w:val="0"/>
                    <w:pageBreakBefore w:val="0"/>
                    <w:widowControl w:val="0"/>
                    <w:numPr>
                      <w:ilvl w:val="0"/>
                      <w:numId w:val="1"/>
                    </w:numPr>
                    <w:suppressLineNumbers w:val="0"/>
                    <w:tabs>
                      <w:tab w:val="left" w:pos="313"/>
                    </w:tabs>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新建、改建、扩建</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两高</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项目须符合生态环境保护法律法规和相关法定规划，满足重点污染物排放总量控制、碳排放达峰目标、生态环境准入清单、相关规划环评和相应行业建设项目环境准入条件、环评文件审批原则要求。</w:t>
                  </w:r>
                </w:p>
                <w:p w14:paraId="315EB432">
                  <w:pPr>
                    <w:keepNext w:val="0"/>
                    <w:keepLines w:val="0"/>
                    <w:pageBreakBefore w:val="0"/>
                    <w:widowControl w:val="0"/>
                    <w:numPr>
                      <w:ilvl w:val="0"/>
                      <w:numId w:val="1"/>
                    </w:numPr>
                    <w:suppressLineNumbers w:val="0"/>
                    <w:tabs>
                      <w:tab w:val="left" w:pos="313"/>
                    </w:tabs>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新建</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两高</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项目应按照《关于加强重点行业建设项目区域削减措施监督管理的通知》（环环评</w:t>
                  </w:r>
                  <w:r>
                    <w:rPr>
                      <w:rFonts w:hint="eastAsia" w:cs="Times New Roman"/>
                      <w:kern w:val="0"/>
                      <w:sz w:val="21"/>
                      <w:szCs w:val="21"/>
                      <w:highlight w:val="none"/>
                      <w:lang w:val="en-US" w:eastAsia="zh-CN"/>
                    </w:rPr>
                    <w:t>〔2021〕45号</w:t>
                  </w:r>
                  <w:r>
                    <w:rPr>
                      <w:rFonts w:hint="default" w:ascii="Times New Roman" w:hAnsi="Times New Roman" w:eastAsia="宋体" w:cs="Times New Roman"/>
                      <w:kern w:val="0"/>
                      <w:sz w:val="21"/>
                      <w:szCs w:val="21"/>
                      <w:highlight w:val="none"/>
                      <w:lang w:val="en-US" w:eastAsia="zh-CN"/>
                    </w:rPr>
                    <w:t>）要求依据区域环境质量改善目标，制定配套区域污染物削减方案，采取有效的污染物区域削减措施，腾出足够的环境容量。</w:t>
                  </w:r>
                </w:p>
                <w:p w14:paraId="16664C84">
                  <w:pPr>
                    <w:keepNext w:val="0"/>
                    <w:keepLines w:val="0"/>
                    <w:pageBreakBefore w:val="0"/>
                    <w:widowControl w:val="0"/>
                    <w:numPr>
                      <w:ilvl w:val="0"/>
                      <w:numId w:val="1"/>
                    </w:numPr>
                    <w:suppressLineNumbers w:val="0"/>
                    <w:tabs>
                      <w:tab w:val="left" w:pos="313"/>
                    </w:tabs>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新建、扩建</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两高</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项目应采用先进适用的工艺技术和装备，单位产品物耗、能耗、水耗等达到清洁生产先进水平，依法制定并严格落实防治土壤与地下水污染的措施。</w:t>
                  </w:r>
                </w:p>
                <w:p w14:paraId="2D193E01">
                  <w:pPr>
                    <w:keepNext w:val="0"/>
                    <w:keepLines w:val="0"/>
                    <w:pageBreakBefore w:val="0"/>
                    <w:widowControl w:val="0"/>
                    <w:numPr>
                      <w:ilvl w:val="0"/>
                      <w:numId w:val="1"/>
                    </w:numPr>
                    <w:suppressLineNumbers w:val="0"/>
                    <w:tabs>
                      <w:tab w:val="left" w:pos="313"/>
                    </w:tabs>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对纳入生态保护红线的区域，原则上按照禁止开发区域进行管理，严格禁止开发性、生产性建设活动，在符合现行法律法规前提下，除国家重大战略项目外，仅允许对生态功能不造成破坏的有限人为活动。</w:t>
                  </w:r>
                </w:p>
                <w:p w14:paraId="24307461">
                  <w:pPr>
                    <w:keepNext w:val="0"/>
                    <w:keepLines w:val="0"/>
                    <w:pageBreakBefore w:val="0"/>
                    <w:widowControl w:val="0"/>
                    <w:numPr>
                      <w:ilvl w:val="0"/>
                      <w:numId w:val="1"/>
                    </w:numPr>
                    <w:suppressLineNumbers w:val="0"/>
                    <w:tabs>
                      <w:tab w:val="left" w:pos="313"/>
                    </w:tabs>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在禁养区内禁止新建规模化畜禽养殖项目。</w:t>
                  </w:r>
                </w:p>
                <w:p w14:paraId="25DFC683">
                  <w:pPr>
                    <w:keepNext w:val="0"/>
                    <w:keepLines w:val="0"/>
                    <w:pageBreakBefore w:val="0"/>
                    <w:widowControl w:val="0"/>
                    <w:numPr>
                      <w:ilvl w:val="0"/>
                      <w:numId w:val="1"/>
                    </w:numPr>
                    <w:suppressLineNumbers w:val="0"/>
                    <w:tabs>
                      <w:tab w:val="left" w:pos="313"/>
                    </w:tabs>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严格控制新建、扩建钢铁、焦化、建材、化工、有色金属等高排放、高污染项目。在居民住宅区等人口密集区域和医院、学校、幼儿园、养老院等其他需要特殊保护的区域及其周边，不得新建、改建和扩建制药、油漆、塑料、橡胶、造纸、饲料等易产生恶臭气体的生产项目或者从事其他产生恶臭气体的生产经营活动。已建成的，应当限期搬迁。</w:t>
                  </w:r>
                </w:p>
                <w:p w14:paraId="6217EC54">
                  <w:pPr>
                    <w:keepNext w:val="0"/>
                    <w:keepLines w:val="0"/>
                    <w:pageBreakBefore w:val="0"/>
                    <w:widowControl w:val="0"/>
                    <w:numPr>
                      <w:ilvl w:val="0"/>
                      <w:numId w:val="1"/>
                    </w:numPr>
                    <w:suppressLineNumbers w:val="0"/>
                    <w:tabs>
                      <w:tab w:val="left" w:pos="313"/>
                    </w:tabs>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禁止在居民区和学校、医院、疗养院、养老院、幼儿园等单位周边新建、改建、扩建可能造成土壤污染的建设项目。</w:t>
                  </w:r>
                </w:p>
                <w:p w14:paraId="2123B65C">
                  <w:pPr>
                    <w:keepNext w:val="0"/>
                    <w:keepLines w:val="0"/>
                    <w:pageBreakBefore w:val="0"/>
                    <w:widowControl w:val="0"/>
                    <w:numPr>
                      <w:ilvl w:val="0"/>
                      <w:numId w:val="1"/>
                    </w:numPr>
                    <w:suppressLineNumbers w:val="0"/>
                    <w:tabs>
                      <w:tab w:val="left" w:pos="313"/>
                    </w:tabs>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eastAsia="宋体" w:cs="Times New Roman"/>
                      <w:kern w:val="0"/>
                      <w:sz w:val="21"/>
                      <w:szCs w:val="21"/>
                      <w:highlight w:val="none"/>
                      <w:lang w:val="en-US" w:eastAsia="zh-CN"/>
                    </w:rPr>
                    <w:t>禁止新增钢铁、焦化、铸造、水泥、平板玻璃等产能；确有必要新建的，应当严格执行产能置换，符合区域、行业规划环评规定。</w:t>
                  </w:r>
                </w:p>
              </w:tc>
              <w:tc>
                <w:tcPr>
                  <w:tcW w:w="1131" w:type="dxa"/>
                  <w:tcBorders>
                    <w:tl2br w:val="nil"/>
                    <w:tr2bl w:val="nil"/>
                  </w:tcBorders>
                  <w:noWrap w:val="0"/>
                  <w:vAlign w:val="center"/>
                </w:tcPr>
                <w:p w14:paraId="6E2A9096">
                  <w:pPr>
                    <w:keepNext w:val="0"/>
                    <w:keepLines w:val="0"/>
                    <w:pageBreakBefore w:val="0"/>
                    <w:widowControl w:val="0"/>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本项目为钕铁硼磁材</w:t>
                  </w:r>
                  <w:r>
                    <w:rPr>
                      <w:rFonts w:hint="eastAsia" w:ascii="Times New Roman" w:hAnsi="Times New Roman" w:eastAsia="宋体" w:cs="Times New Roman"/>
                      <w:kern w:val="0"/>
                      <w:sz w:val="21"/>
                      <w:szCs w:val="21"/>
                      <w:highlight w:val="none"/>
                      <w:lang w:val="en-US" w:eastAsia="zh-CN"/>
                    </w:rPr>
                    <w:t>生产建设项目</w:t>
                  </w:r>
                  <w:r>
                    <w:rPr>
                      <w:rFonts w:hint="default" w:ascii="Times New Roman" w:hAnsi="Times New Roman" w:eastAsia="宋体" w:cs="Times New Roman"/>
                      <w:kern w:val="0"/>
                      <w:sz w:val="21"/>
                      <w:szCs w:val="21"/>
                      <w:highlight w:val="none"/>
                      <w:lang w:val="en-US" w:eastAsia="zh-CN"/>
                    </w:rPr>
                    <w:t>，不属于</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两高</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项目，不属于重污染企业，不在生态保护红线范围内，项目不在居民区、医院、疗养院、养老院、幼儿园等单位周边；</w:t>
                  </w:r>
                  <w:r>
                    <w:rPr>
                      <w:rFonts w:hint="eastAsia" w:ascii="Times New Roman" w:hAnsi="Times New Roman" w:eastAsia="宋体" w:cs="Times New Roman"/>
                      <w:kern w:val="0"/>
                      <w:sz w:val="21"/>
                      <w:szCs w:val="21"/>
                      <w:highlight w:val="none"/>
                      <w:lang w:val="en-US" w:eastAsia="zh-CN"/>
                    </w:rPr>
                    <w:t>本</w:t>
                  </w:r>
                  <w:r>
                    <w:rPr>
                      <w:rFonts w:hint="default" w:ascii="Times New Roman" w:hAnsi="Times New Roman" w:eastAsia="宋体" w:cs="Times New Roman"/>
                      <w:kern w:val="0"/>
                      <w:sz w:val="21"/>
                      <w:szCs w:val="21"/>
                      <w:highlight w:val="none"/>
                      <w:lang w:val="en-US" w:eastAsia="zh-CN"/>
                    </w:rPr>
                    <w:t>项目不会产生恶臭气体，符合空间布局约束。</w:t>
                  </w:r>
                </w:p>
              </w:tc>
              <w:tc>
                <w:tcPr>
                  <w:tcW w:w="432" w:type="dxa"/>
                  <w:tcBorders>
                    <w:tl2br w:val="nil"/>
                    <w:tr2bl w:val="nil"/>
                  </w:tcBorders>
                  <w:noWrap w:val="0"/>
                  <w:vAlign w:val="center"/>
                </w:tcPr>
                <w:p w14:paraId="18514E8F">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kern w:val="0"/>
                      <w:sz w:val="21"/>
                      <w:szCs w:val="21"/>
                      <w:highlight w:val="none"/>
                      <w:vertAlign w:val="baseline"/>
                      <w:lang w:val="en-US" w:eastAsia="zh-CN"/>
                    </w:rPr>
                    <w:t>符合</w:t>
                  </w:r>
                </w:p>
              </w:tc>
            </w:tr>
            <w:tr w14:paraId="641502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387" w:type="dxa"/>
                  <w:tcBorders>
                    <w:tl2br w:val="nil"/>
                    <w:tr2bl w:val="nil"/>
                  </w:tcBorders>
                  <w:noWrap w:val="0"/>
                  <w:vAlign w:val="center"/>
                </w:tcPr>
                <w:p w14:paraId="195FE9C7">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kern w:val="0"/>
                      <w:sz w:val="21"/>
                      <w:szCs w:val="21"/>
                      <w:highlight w:val="none"/>
                      <w:vertAlign w:val="baseline"/>
                      <w:lang w:val="en-US" w:eastAsia="zh-CN"/>
                    </w:rPr>
                    <w:t>污染物排放管控</w:t>
                  </w:r>
                </w:p>
              </w:tc>
              <w:tc>
                <w:tcPr>
                  <w:tcW w:w="4322" w:type="dxa"/>
                  <w:tcBorders>
                    <w:tl2br w:val="nil"/>
                    <w:tr2bl w:val="nil"/>
                  </w:tcBorders>
                  <w:noWrap w:val="0"/>
                  <w:vAlign w:val="center"/>
                </w:tcPr>
                <w:p w14:paraId="6670A4FD">
                  <w:pPr>
                    <w:keepNext w:val="0"/>
                    <w:keepLines w:val="0"/>
                    <w:pageBreakBefore w:val="0"/>
                    <w:widowControl w:val="0"/>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污染物排放总量严格落实</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十四五</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相关目标指标。</w:t>
                  </w:r>
                </w:p>
                <w:p w14:paraId="277D5644">
                  <w:pPr>
                    <w:keepNext w:val="0"/>
                    <w:keepLines w:val="0"/>
                    <w:pageBreakBefore w:val="0"/>
                    <w:widowControl w:val="0"/>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工业企业废水及生活污水</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含浓盐水等清净下水</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处理设施出水水质达到《污水综合排放标准》（DB14/1928-2019）要求，其它指标达行业特别排放限值，将废污水排入城镇排水设施的所有工业、医疗机构执行排水许可证要求。</w:t>
                  </w:r>
                </w:p>
                <w:p w14:paraId="699B1949">
                  <w:pPr>
                    <w:keepNext w:val="0"/>
                    <w:keepLines w:val="0"/>
                    <w:pageBreakBefore w:val="0"/>
                    <w:widowControl w:val="0"/>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火电、炼钢行业执行超低排放标准。</w:t>
                  </w:r>
                </w:p>
                <w:p w14:paraId="559D79F3">
                  <w:pPr>
                    <w:keepNext w:val="0"/>
                    <w:keepLines w:val="0"/>
                    <w:pageBreakBefore w:val="0"/>
                    <w:widowControl w:val="0"/>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焦化、水泥行业按要求完成超低排放改造，污染物排放执行超低排放标准。</w:t>
                  </w:r>
                </w:p>
                <w:p w14:paraId="59B8E513">
                  <w:pPr>
                    <w:keepNext w:val="0"/>
                    <w:keepLines w:val="0"/>
                    <w:pageBreakBefore w:val="0"/>
                    <w:widowControl w:val="0"/>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加强建筑施工扬尘动态监管，严格落实</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六个百分之百</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防治措施。</w:t>
                  </w:r>
                </w:p>
                <w:p w14:paraId="6245A8E5">
                  <w:pPr>
                    <w:keepNext w:val="0"/>
                    <w:keepLines w:val="0"/>
                    <w:pageBreakBefore w:val="0"/>
                    <w:widowControl w:val="0"/>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贮存煤炭、煤矸石、煤渣、煤灰、水泥、石灰、石膏、砂土等易产生扬尘的物料应当密闭，并采取有效抑尘措施。</w:t>
                  </w:r>
                </w:p>
                <w:p w14:paraId="49DE0255">
                  <w:pPr>
                    <w:keepNext w:val="0"/>
                    <w:keepLines w:val="0"/>
                    <w:pageBreakBefore w:val="0"/>
                    <w:widowControl w:val="0"/>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运输煤炭、垃圾、渣土、砂石、土方、灰浆等散装、流体物料的车辆应当采取密闭或者其他措施防止物料遗撒造成扬尘污染，并按照规定路线行驶。</w:t>
                  </w:r>
                </w:p>
                <w:p w14:paraId="1E80C011">
                  <w:pPr>
                    <w:keepNext w:val="0"/>
                    <w:keepLines w:val="0"/>
                    <w:pageBreakBefore w:val="0"/>
                    <w:widowControl w:val="0"/>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eastAsia="宋体" w:cs="Times New Roman"/>
                      <w:kern w:val="0"/>
                      <w:sz w:val="21"/>
                      <w:szCs w:val="21"/>
                      <w:highlight w:val="none"/>
                      <w:lang w:val="en-US" w:eastAsia="zh-CN"/>
                    </w:rPr>
                    <w:t>从事有色金属矿采选、有色金属冶炼、铅蓄电池制造、皮革及其制品制造、化学原料以及化学制品制造、电镀等的</w:t>
                  </w:r>
                  <w:r>
                    <w:rPr>
                      <w:rFonts w:hint="eastAsia" w:cs="Times New Roman"/>
                      <w:kern w:val="0"/>
                      <w:sz w:val="21"/>
                      <w:szCs w:val="21"/>
                      <w:highlight w:val="none"/>
                      <w:lang w:val="en-US" w:eastAsia="zh-CN"/>
                    </w:rPr>
                    <w:t>单位</w:t>
                  </w:r>
                  <w:r>
                    <w:rPr>
                      <w:rFonts w:hint="default" w:ascii="Times New Roman" w:hAnsi="Times New Roman" w:eastAsia="宋体" w:cs="Times New Roman"/>
                      <w:kern w:val="0"/>
                      <w:sz w:val="21"/>
                      <w:szCs w:val="21"/>
                      <w:highlight w:val="none"/>
                      <w:lang w:val="en-US" w:eastAsia="zh-CN"/>
                    </w:rPr>
                    <w:t>，应当执行重金属污染物排放总量控制制度。</w:t>
                  </w:r>
                </w:p>
              </w:tc>
              <w:tc>
                <w:tcPr>
                  <w:tcW w:w="1131" w:type="dxa"/>
                  <w:tcBorders>
                    <w:tl2br w:val="nil"/>
                    <w:tr2bl w:val="nil"/>
                  </w:tcBorders>
                  <w:noWrap w:val="0"/>
                  <w:vAlign w:val="center"/>
                </w:tcPr>
                <w:p w14:paraId="469F8FA4">
                  <w:pPr>
                    <w:keepNext w:val="0"/>
                    <w:keepLines w:val="0"/>
                    <w:pageBreakBefore w:val="0"/>
                    <w:widowControl w:val="0"/>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本项目</w:t>
                  </w:r>
                  <w:r>
                    <w:rPr>
                      <w:rFonts w:hint="eastAsia" w:cs="Times New Roman"/>
                      <w:kern w:val="0"/>
                      <w:sz w:val="21"/>
                      <w:szCs w:val="21"/>
                      <w:highlight w:val="none"/>
                      <w:lang w:val="en-US" w:eastAsia="zh-CN"/>
                    </w:rPr>
                    <w:t>获批后将按照省厅规定申请</w:t>
                  </w:r>
                  <w:r>
                    <w:rPr>
                      <w:rFonts w:hint="eastAsia" w:ascii="Times New Roman" w:hAnsi="Times New Roman" w:eastAsia="宋体" w:cs="Times New Roman"/>
                      <w:color w:val="auto"/>
                      <w:kern w:val="2"/>
                      <w:sz w:val="21"/>
                      <w:szCs w:val="24"/>
                      <w:highlight w:val="none"/>
                      <w:lang w:val="en-US" w:eastAsia="zh-CN" w:bidi="ar-SA"/>
                    </w:rPr>
                    <w:t>主要污染物排放总量指标</w:t>
                  </w:r>
                  <w:r>
                    <w:rPr>
                      <w:rFonts w:hint="eastAsia" w:cs="Times New Roman"/>
                      <w:color w:val="auto"/>
                      <w:kern w:val="2"/>
                      <w:sz w:val="21"/>
                      <w:szCs w:val="24"/>
                      <w:highlight w:val="none"/>
                      <w:lang w:val="en-US" w:eastAsia="zh-CN" w:bidi="ar-SA"/>
                    </w:rPr>
                    <w:t>，</w:t>
                  </w:r>
                  <w:r>
                    <w:rPr>
                      <w:rFonts w:hint="eastAsia" w:cs="Times New Roman"/>
                      <w:kern w:val="0"/>
                      <w:sz w:val="21"/>
                      <w:szCs w:val="21"/>
                      <w:highlight w:val="none"/>
                      <w:lang w:val="en-US" w:eastAsia="zh-CN"/>
                    </w:rPr>
                    <w:t>本项目</w:t>
                  </w:r>
                  <w:r>
                    <w:rPr>
                      <w:rFonts w:hint="default" w:ascii="Times New Roman" w:hAnsi="Times New Roman" w:eastAsia="宋体" w:cs="Times New Roman"/>
                      <w:kern w:val="0"/>
                      <w:sz w:val="21"/>
                      <w:szCs w:val="21"/>
                      <w:highlight w:val="none"/>
                      <w:lang w:val="en-US" w:eastAsia="zh-CN"/>
                    </w:rPr>
                    <w:t>不属于火电、炼钢、焦化、水泥行业，本项目施工期严格落实</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六个百分之百</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，本项目建设全封闭</w:t>
                  </w:r>
                  <w:r>
                    <w:rPr>
                      <w:rFonts w:hint="eastAsia" w:ascii="Times New Roman" w:hAnsi="Times New Roman" w:eastAsia="宋体" w:cs="Times New Roman"/>
                      <w:kern w:val="0"/>
                      <w:sz w:val="21"/>
                      <w:szCs w:val="21"/>
                      <w:highlight w:val="none"/>
                      <w:lang w:val="en-US" w:eastAsia="zh-CN"/>
                    </w:rPr>
                    <w:t>厂房</w:t>
                  </w:r>
                  <w:r>
                    <w:rPr>
                      <w:rFonts w:hint="default" w:ascii="Times New Roman" w:hAnsi="Times New Roman" w:eastAsia="宋体" w:cs="Times New Roman"/>
                      <w:kern w:val="0"/>
                      <w:sz w:val="21"/>
                      <w:szCs w:val="21"/>
                      <w:highlight w:val="none"/>
                      <w:lang w:val="en-US" w:eastAsia="zh-CN"/>
                    </w:rPr>
                    <w:t>，</w:t>
                  </w:r>
                  <w:r>
                    <w:rPr>
                      <w:rFonts w:hint="eastAsia" w:ascii="Times New Roman" w:hAnsi="Times New Roman" w:eastAsia="宋体" w:cs="Times New Roman"/>
                      <w:kern w:val="0"/>
                      <w:sz w:val="21"/>
                      <w:szCs w:val="21"/>
                      <w:highlight w:val="none"/>
                      <w:lang w:val="en-US" w:eastAsia="zh-CN"/>
                    </w:rPr>
                    <w:t>所有生产活动位于厂房内</w:t>
                  </w:r>
                  <w:r>
                    <w:rPr>
                      <w:rFonts w:hint="default" w:ascii="Times New Roman" w:hAnsi="Times New Roman" w:eastAsia="宋体" w:cs="Times New Roman"/>
                      <w:kern w:val="0"/>
                      <w:sz w:val="21"/>
                      <w:szCs w:val="21"/>
                      <w:highlight w:val="none"/>
                      <w:lang w:val="en-US" w:eastAsia="zh-CN"/>
                    </w:rPr>
                    <w:t>。</w:t>
                  </w:r>
                </w:p>
              </w:tc>
              <w:tc>
                <w:tcPr>
                  <w:tcW w:w="432" w:type="dxa"/>
                  <w:tcBorders>
                    <w:tl2br w:val="nil"/>
                    <w:tr2bl w:val="nil"/>
                  </w:tcBorders>
                  <w:noWrap w:val="0"/>
                  <w:vAlign w:val="center"/>
                </w:tcPr>
                <w:p w14:paraId="682988FD">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kern w:val="0"/>
                      <w:sz w:val="21"/>
                      <w:szCs w:val="21"/>
                      <w:highlight w:val="none"/>
                      <w:vertAlign w:val="baseline"/>
                      <w:lang w:val="en-US" w:eastAsia="zh-CN"/>
                    </w:rPr>
                    <w:t>符合</w:t>
                  </w:r>
                </w:p>
              </w:tc>
            </w:tr>
            <w:tr w14:paraId="13DD12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387" w:type="dxa"/>
                  <w:tcBorders>
                    <w:tl2br w:val="nil"/>
                    <w:tr2bl w:val="nil"/>
                  </w:tcBorders>
                  <w:noWrap w:val="0"/>
                  <w:vAlign w:val="center"/>
                </w:tcPr>
                <w:p w14:paraId="57369BBE">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kern w:val="0"/>
                      <w:sz w:val="21"/>
                      <w:szCs w:val="21"/>
                      <w:highlight w:val="none"/>
                      <w:vertAlign w:val="baseline"/>
                      <w:lang w:val="en-US" w:eastAsia="zh-CN"/>
                    </w:rPr>
                    <w:t>环境风险防控</w:t>
                  </w:r>
                </w:p>
              </w:tc>
              <w:tc>
                <w:tcPr>
                  <w:tcW w:w="4322" w:type="dxa"/>
                  <w:tcBorders>
                    <w:tl2br w:val="nil"/>
                    <w:tr2bl w:val="nil"/>
                  </w:tcBorders>
                  <w:noWrap w:val="0"/>
                  <w:vAlign w:val="center"/>
                </w:tcPr>
                <w:p w14:paraId="2D5EEEA4">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企事业单位和其他生产经营者按照相关规定编制突发环境事件应急预案并向所在地县</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区</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生态环境部门报备。</w:t>
                  </w:r>
                </w:p>
                <w:p w14:paraId="75D06B3C">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eastAsia="宋体" w:cs="Times New Roman"/>
                      <w:kern w:val="0"/>
                      <w:sz w:val="21"/>
                      <w:szCs w:val="21"/>
                      <w:highlight w:val="none"/>
                      <w:lang w:val="en-US" w:eastAsia="zh-CN"/>
                    </w:rPr>
                    <w:t>煤矸石、粉煤灰、电石渣等一般工业固体废物贮存、利用、处置要符合相关规范要求。</w:t>
                  </w:r>
                </w:p>
                <w:p w14:paraId="71B212AA">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eastAsia="宋体" w:cs="Times New Roman"/>
                      <w:kern w:val="0"/>
                      <w:sz w:val="21"/>
                      <w:szCs w:val="21"/>
                      <w:highlight w:val="none"/>
                      <w:lang w:val="en-US" w:eastAsia="zh-CN"/>
                    </w:rPr>
                    <w:t>所有危险废物一律规范收集、贮存、转运、利用、处置。</w:t>
                  </w:r>
                </w:p>
                <w:p w14:paraId="4381498E">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eastAsia="宋体" w:cs="Times New Roman"/>
                      <w:kern w:val="0"/>
                      <w:sz w:val="21"/>
                      <w:szCs w:val="21"/>
                      <w:highlight w:val="none"/>
                      <w:lang w:val="en-US" w:eastAsia="zh-CN"/>
                    </w:rPr>
                    <w:t>严格控制农用地的农药使用量，禁止使用高毒、高残留农药。</w:t>
                  </w:r>
                </w:p>
              </w:tc>
              <w:tc>
                <w:tcPr>
                  <w:tcW w:w="1131" w:type="dxa"/>
                  <w:tcBorders>
                    <w:tl2br w:val="nil"/>
                    <w:tr2bl w:val="nil"/>
                  </w:tcBorders>
                  <w:noWrap w:val="0"/>
                  <w:vAlign w:val="center"/>
                </w:tcPr>
                <w:p w14:paraId="2A2D5136">
                  <w:pPr>
                    <w:keepNext w:val="0"/>
                    <w:keepLines w:val="0"/>
                    <w:pageBreakBefore w:val="0"/>
                    <w:widowControl w:val="0"/>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spacing w:val="0"/>
                      <w:kern w:val="0"/>
                      <w:sz w:val="21"/>
                      <w:szCs w:val="21"/>
                      <w:highlight w:val="none"/>
                      <w:vertAlign w:val="baseline"/>
                      <w:lang w:val="en-US" w:eastAsia="zh-CN"/>
                    </w:rPr>
                    <w:t>项目应在验收前编制应急预案并备案</w:t>
                  </w:r>
                  <w:r>
                    <w:rPr>
                      <w:rFonts w:hint="eastAsia" w:cs="Times New Roman"/>
                      <w:spacing w:val="0"/>
                      <w:kern w:val="0"/>
                      <w:sz w:val="21"/>
                      <w:szCs w:val="21"/>
                      <w:highlight w:val="none"/>
                      <w:vertAlign w:val="baseline"/>
                      <w:lang w:val="en-US" w:eastAsia="zh-CN"/>
                    </w:rPr>
                    <w:t>；</w:t>
                  </w:r>
                  <w:r>
                    <w:rPr>
                      <w:rFonts w:hint="default" w:ascii="Times New Roman" w:hAnsi="Times New Roman" w:cs="Times New Roman"/>
                      <w:spacing w:val="0"/>
                      <w:kern w:val="0"/>
                      <w:sz w:val="21"/>
                      <w:szCs w:val="21"/>
                      <w:highlight w:val="none"/>
                      <w:vertAlign w:val="baseline"/>
                      <w:lang w:val="en-US" w:eastAsia="zh-CN"/>
                    </w:rPr>
                    <w:t>项目需按要求建设危废</w:t>
                  </w:r>
                  <w:r>
                    <w:rPr>
                      <w:rFonts w:hint="eastAsia" w:ascii="Times New Roman" w:hAnsi="Times New Roman" w:cs="Times New Roman"/>
                      <w:spacing w:val="0"/>
                      <w:kern w:val="0"/>
                      <w:sz w:val="21"/>
                      <w:szCs w:val="21"/>
                      <w:highlight w:val="none"/>
                      <w:vertAlign w:val="baseline"/>
                      <w:lang w:val="en-US" w:eastAsia="zh-CN"/>
                    </w:rPr>
                    <w:t>库</w:t>
                  </w:r>
                  <w:r>
                    <w:rPr>
                      <w:rFonts w:hint="default" w:ascii="Times New Roman" w:hAnsi="Times New Roman" w:cs="Times New Roman"/>
                      <w:spacing w:val="0"/>
                      <w:kern w:val="0"/>
                      <w:sz w:val="21"/>
                      <w:szCs w:val="21"/>
                      <w:highlight w:val="none"/>
                      <w:vertAlign w:val="baseline"/>
                      <w:lang w:val="en-US" w:eastAsia="zh-CN"/>
                    </w:rPr>
                    <w:t>并委托有资质单位处置，项目</w:t>
                  </w:r>
                  <w:r>
                    <w:rPr>
                      <w:rFonts w:hint="eastAsia" w:ascii="Times New Roman" w:hAnsi="Times New Roman" w:eastAsia="宋体" w:cs="Times New Roman"/>
                      <w:sz w:val="21"/>
                      <w:szCs w:val="21"/>
                      <w:highlight w:val="none"/>
                      <w:lang w:val="en-US" w:eastAsia="zh-CN"/>
                    </w:rPr>
                    <w:t>废润滑油、真空泵废油、废活性炭、废液压油、</w:t>
                  </w:r>
                  <w:r>
                    <w:rPr>
                      <w:rFonts w:hint="eastAsia" w:cs="Times New Roman"/>
                      <w:sz w:val="21"/>
                      <w:szCs w:val="21"/>
                      <w:highlight w:val="none"/>
                      <w:lang w:val="en-US" w:eastAsia="zh-CN"/>
                    </w:rPr>
                    <w:t>含油</w:t>
                  </w:r>
                  <w:r>
                    <w:rPr>
                      <w:rFonts w:hint="eastAsia" w:ascii="Times New Roman" w:hAnsi="Times New Roman" w:eastAsia="宋体" w:cs="Times New Roman"/>
                      <w:sz w:val="21"/>
                      <w:szCs w:val="21"/>
                      <w:highlight w:val="none"/>
                      <w:lang w:val="en-US" w:eastAsia="zh-CN"/>
                    </w:rPr>
                    <w:t>废塑料袋</w:t>
                  </w:r>
                  <w:r>
                    <w:rPr>
                      <w:rFonts w:hint="default" w:ascii="Times New Roman" w:hAnsi="Times New Roman" w:cs="Times New Roman"/>
                      <w:spacing w:val="0"/>
                      <w:kern w:val="0"/>
                      <w:sz w:val="21"/>
                      <w:szCs w:val="21"/>
                      <w:highlight w:val="none"/>
                      <w:vertAlign w:val="baseline"/>
                      <w:lang w:val="en-US" w:eastAsia="zh-CN"/>
                    </w:rPr>
                    <w:t>收集后暂存于危废贮存库，送有资质单位处置。</w:t>
                  </w:r>
                </w:p>
              </w:tc>
              <w:tc>
                <w:tcPr>
                  <w:tcW w:w="432" w:type="dxa"/>
                  <w:tcBorders>
                    <w:tl2br w:val="nil"/>
                    <w:tr2bl w:val="nil"/>
                  </w:tcBorders>
                  <w:noWrap w:val="0"/>
                  <w:vAlign w:val="center"/>
                </w:tcPr>
                <w:p w14:paraId="5E5E2BE1">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kern w:val="0"/>
                      <w:sz w:val="21"/>
                      <w:szCs w:val="21"/>
                      <w:highlight w:val="none"/>
                      <w:vertAlign w:val="baseline"/>
                      <w:lang w:val="en-US" w:eastAsia="zh-CN"/>
                    </w:rPr>
                    <w:t>符合</w:t>
                  </w:r>
                </w:p>
              </w:tc>
            </w:tr>
            <w:tr w14:paraId="4408A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387" w:type="dxa"/>
                  <w:tcBorders>
                    <w:tl2br w:val="nil"/>
                    <w:tr2bl w:val="nil"/>
                  </w:tcBorders>
                  <w:noWrap w:val="0"/>
                  <w:vAlign w:val="center"/>
                </w:tcPr>
                <w:p w14:paraId="7126966A">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kern w:val="0"/>
                      <w:sz w:val="21"/>
                      <w:szCs w:val="21"/>
                      <w:highlight w:val="none"/>
                      <w:vertAlign w:val="baseline"/>
                      <w:lang w:val="en-US" w:eastAsia="zh-CN"/>
                    </w:rPr>
                    <w:t>资源利用效率</w:t>
                  </w:r>
                </w:p>
              </w:tc>
              <w:tc>
                <w:tcPr>
                  <w:tcW w:w="4322" w:type="dxa"/>
                  <w:tcBorders>
                    <w:tl2br w:val="nil"/>
                    <w:tr2bl w:val="nil"/>
                  </w:tcBorders>
                  <w:noWrap w:val="0"/>
                  <w:vAlign w:val="center"/>
                </w:tcPr>
                <w:p w14:paraId="05DA0A12">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水资源利用：</w:t>
                  </w:r>
                </w:p>
                <w:p w14:paraId="1AC864D3">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水资源利用上线严格落实</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十四五</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相关目标指标。</w:t>
                  </w:r>
                </w:p>
                <w:p w14:paraId="52395AFD">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加快推进辛安泉饮用水水源地保护区和泉域重点保护区的保护和生态修复工作。</w:t>
                  </w:r>
                </w:p>
                <w:p w14:paraId="01B9BB5C">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大力推进工业节水改造，鼓励支持企业开展节水技术改造和再生水回用。</w:t>
                  </w:r>
                </w:p>
                <w:p w14:paraId="03FF0221">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严格实行水资源管理制度，坚持以水定城、以水定地、以水定人、以水定产，提高水资源集约安全利用水平。</w:t>
                  </w:r>
                </w:p>
                <w:p w14:paraId="285CACF1">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新建、改建、扩建项目涉及开发利用辛安泉域水资源的必须符合《山西省泉域水资源保护条例》相关规定。</w:t>
                  </w:r>
                </w:p>
                <w:p w14:paraId="5CE09B4E">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能源利用：</w:t>
                  </w:r>
                </w:p>
                <w:p w14:paraId="6FE756F2">
                  <w:pPr>
                    <w:keepNext w:val="0"/>
                    <w:keepLines w:val="0"/>
                    <w:pageBreakBefore w:val="0"/>
                    <w:widowControl/>
                    <w:numPr>
                      <w:ilvl w:val="0"/>
                      <w:numId w:val="5"/>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能源利用上线严格落实</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十四五</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相关目标指标以及碳达峰、碳中和相关要求。</w:t>
                  </w:r>
                </w:p>
                <w:p w14:paraId="5C156D91">
                  <w:pPr>
                    <w:keepNext w:val="0"/>
                    <w:keepLines w:val="0"/>
                    <w:pageBreakBefore w:val="0"/>
                    <w:widowControl/>
                    <w:numPr>
                      <w:ilvl w:val="0"/>
                      <w:numId w:val="5"/>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以煤炭、火电、冶金、建材、化工、焦化等高碳排放行业为重点，推广应用先进工艺和低碳技术，提高能效，有效控制工业领域温室气体排放。</w:t>
                  </w:r>
                </w:p>
                <w:p w14:paraId="579B6FE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土地资源利用：</w:t>
                  </w:r>
                </w:p>
                <w:p w14:paraId="21DDC05D">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土地资源利用上线严格落实</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十四五</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相关目标指标。</w:t>
                  </w:r>
                </w:p>
                <w:p w14:paraId="46E11344">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严格耕地和城镇建设用地总量控制，确保耕地占补平衡，严格建设用地规模控制，落实</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增存挂钩</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制度，持续加大批而未供和闲置土地处置力度，推进盘活存量建设用地，进一步提高土地利用效率。</w:t>
                  </w:r>
                </w:p>
                <w:p w14:paraId="7ADCDDA8">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提高矿产资源开发保护水平，落实资源价格形成机制，加快发展固废综合利用产业，提高资源综合利用效率。深入开展生活垃圾分类，加快构建废旧物资循环利用体系，推进</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无废城市</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建设。</w:t>
                  </w:r>
                </w:p>
                <w:p w14:paraId="56756B7B">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kern w:val="0"/>
                      <w:sz w:val="21"/>
                      <w:szCs w:val="21"/>
                      <w:highlight w:val="none"/>
                      <w:lang w:val="en-US" w:eastAsia="zh-CN"/>
                    </w:rPr>
                  </w:pP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疑似</w:t>
                  </w:r>
                  <w:r>
                    <w:rPr>
                      <w:rFonts w:hint="eastAsia"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lang w:val="en-US" w:eastAsia="zh-CN"/>
                    </w:rPr>
                    <w:t>污染地块再开发利用，必须开展土壤环境调查评估；未开展土壤环境调查评估或经评估对人体健康有严重影响的，未经治理修复或治理修复后仍不符合相应规划用地土壤环境要求的，不得纳入用地程序。</w:t>
                  </w:r>
                </w:p>
              </w:tc>
              <w:tc>
                <w:tcPr>
                  <w:tcW w:w="1131" w:type="dxa"/>
                  <w:tcBorders>
                    <w:tl2br w:val="nil"/>
                    <w:tr2bl w:val="nil"/>
                  </w:tcBorders>
                  <w:noWrap w:val="0"/>
                  <w:vAlign w:val="center"/>
                </w:tcPr>
                <w:p w14:paraId="26F1996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kern w:val="0"/>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本项目生产用水来自县城再生水厂，</w:t>
                  </w:r>
                  <w:r>
                    <w:rPr>
                      <w:rFonts w:hint="eastAsia" w:cs="Times New Roman"/>
                      <w:sz w:val="21"/>
                      <w:szCs w:val="21"/>
                      <w:highlight w:val="none"/>
                      <w:vertAlign w:val="baseline"/>
                      <w:lang w:val="en-US" w:eastAsia="zh-CN"/>
                    </w:rPr>
                    <w:t>不开采地下水</w:t>
                  </w:r>
                  <w:r>
                    <w:rPr>
                      <w:rFonts w:hint="default" w:ascii="Times New Roman" w:hAnsi="Times New Roman" w:eastAsia="宋体" w:cs="Times New Roman"/>
                      <w:kern w:val="0"/>
                      <w:sz w:val="21"/>
                      <w:szCs w:val="21"/>
                      <w:highlight w:val="none"/>
                      <w:lang w:val="en-US" w:eastAsia="zh-CN"/>
                    </w:rPr>
                    <w:t>，不涉及</w:t>
                  </w:r>
                  <w:r>
                    <w:rPr>
                      <w:rFonts w:hint="eastAsia" w:cs="Times New Roman"/>
                      <w:kern w:val="0"/>
                      <w:sz w:val="21"/>
                      <w:szCs w:val="21"/>
                      <w:highlight w:val="none"/>
                      <w:lang w:val="en-US" w:eastAsia="zh-CN"/>
                    </w:rPr>
                    <w:t>辛安泉域水资源</w:t>
                  </w:r>
                  <w:r>
                    <w:rPr>
                      <w:rFonts w:hint="default" w:ascii="Times New Roman" w:hAnsi="Times New Roman" w:eastAsia="宋体" w:cs="Times New Roman"/>
                      <w:kern w:val="0"/>
                      <w:sz w:val="21"/>
                      <w:szCs w:val="21"/>
                      <w:highlight w:val="none"/>
                      <w:lang w:val="en-US" w:eastAsia="zh-CN"/>
                    </w:rPr>
                    <w:t>；本项目不属于高碳排放行业；项目占地类型为</w:t>
                  </w:r>
                  <w:r>
                    <w:rPr>
                      <w:rFonts w:hint="eastAsia" w:ascii="Times New Roman" w:hAnsi="Times New Roman" w:eastAsia="宋体" w:cs="Times New Roman"/>
                      <w:sz w:val="21"/>
                      <w:szCs w:val="21"/>
                      <w:highlight w:val="none"/>
                      <w:lang w:val="en-US" w:eastAsia="zh-CN"/>
                    </w:rPr>
                    <w:t>工业用地</w:t>
                  </w:r>
                  <w:r>
                    <w:rPr>
                      <w:rFonts w:hint="default" w:ascii="Times New Roman" w:hAnsi="Times New Roman" w:eastAsia="宋体" w:cs="Times New Roman"/>
                      <w:kern w:val="0"/>
                      <w:sz w:val="21"/>
                      <w:szCs w:val="21"/>
                      <w:highlight w:val="none"/>
                      <w:lang w:val="en-US" w:eastAsia="zh-CN"/>
                    </w:rPr>
                    <w:t>，未占用耕地。</w:t>
                  </w:r>
                </w:p>
              </w:tc>
              <w:tc>
                <w:tcPr>
                  <w:tcW w:w="432" w:type="dxa"/>
                  <w:tcBorders>
                    <w:tl2br w:val="nil"/>
                    <w:tr2bl w:val="nil"/>
                  </w:tcBorders>
                  <w:noWrap w:val="0"/>
                  <w:vAlign w:val="center"/>
                </w:tcPr>
                <w:p w14:paraId="58B01D71">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kern w:val="0"/>
                      <w:sz w:val="21"/>
                      <w:szCs w:val="21"/>
                      <w:highlight w:val="none"/>
                      <w:vertAlign w:val="baseline"/>
                      <w:lang w:val="en-US" w:eastAsia="zh-CN"/>
                    </w:rPr>
                  </w:pPr>
                  <w:r>
                    <w:rPr>
                      <w:rFonts w:hint="default" w:ascii="Times New Roman" w:hAnsi="Times New Roman" w:cs="Times New Roman"/>
                      <w:kern w:val="0"/>
                      <w:sz w:val="21"/>
                      <w:szCs w:val="21"/>
                      <w:highlight w:val="none"/>
                      <w:vertAlign w:val="baseline"/>
                      <w:lang w:val="en-US" w:eastAsia="zh-CN"/>
                    </w:rPr>
                    <w:t>符合</w:t>
                  </w:r>
                </w:p>
              </w:tc>
            </w:tr>
          </w:tbl>
          <w:p w14:paraId="2DE1ECB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根据表</w:t>
            </w:r>
            <w:r>
              <w:rPr>
                <w:rFonts w:hint="eastAsia" w:ascii="Times New Roman" w:hAnsi="Times New Roman" w:eastAsia="宋体" w:cs="Times New Roman"/>
                <w:sz w:val="24"/>
                <w:szCs w:val="24"/>
                <w:highlight w:val="none"/>
                <w:lang w:val="en-US" w:eastAsia="zh-CN"/>
              </w:rPr>
              <w:t>3</w:t>
            </w:r>
            <w:r>
              <w:rPr>
                <w:rFonts w:hint="default" w:ascii="Times New Roman" w:hAnsi="Times New Roman" w:eastAsia="宋体" w:cs="Times New Roman"/>
                <w:sz w:val="24"/>
                <w:szCs w:val="24"/>
                <w:highlight w:val="none"/>
                <w:lang w:val="en-US" w:eastAsia="zh-CN"/>
              </w:rPr>
              <w:t>可知，本项目的建设符合</w:t>
            </w:r>
            <w:r>
              <w:rPr>
                <w:rFonts w:hint="eastAsia" w:ascii="Times New Roman" w:hAnsi="Times New Roman" w:eastAsia="宋体" w:cs="Times New Roman"/>
                <w:sz w:val="24"/>
                <w:szCs w:val="24"/>
                <w:highlight w:val="none"/>
                <w:lang w:val="en-US" w:eastAsia="zh-CN"/>
              </w:rPr>
              <w:t>《长治市人民政府关于印发长治市</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三线一单</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生态环境分区管控实施方案的通知》（长政发</w:t>
            </w:r>
            <w:r>
              <w:rPr>
                <w:rFonts w:hint="eastAsia" w:ascii="仿宋" w:hAnsi="仿宋" w:eastAsia="仿宋" w:cs="仿宋"/>
                <w:sz w:val="24"/>
                <w:szCs w:val="24"/>
                <w:highlight w:val="none"/>
                <w:lang w:val="en-US" w:eastAsia="zh-CN"/>
              </w:rPr>
              <w:t>〔</w:t>
            </w:r>
            <w:r>
              <w:rPr>
                <w:rFonts w:hint="eastAsia" w:ascii="Times New Roman" w:hAnsi="Times New Roman" w:eastAsia="宋体" w:cs="Times New Roman"/>
                <w:sz w:val="24"/>
                <w:szCs w:val="24"/>
                <w:highlight w:val="none"/>
                <w:lang w:val="en-US" w:eastAsia="zh-CN"/>
              </w:rPr>
              <w:t>2021</w:t>
            </w:r>
            <w:r>
              <w:rPr>
                <w:rFonts w:hint="eastAsia" w:ascii="仿宋" w:hAnsi="仿宋" w:eastAsia="仿宋" w:cs="仿宋"/>
                <w:sz w:val="24"/>
                <w:szCs w:val="24"/>
                <w:highlight w:val="none"/>
                <w:lang w:val="en-US" w:eastAsia="zh-CN"/>
              </w:rPr>
              <w:t>〕</w:t>
            </w:r>
            <w:r>
              <w:rPr>
                <w:rFonts w:hint="eastAsia" w:ascii="Times New Roman" w:hAnsi="Times New Roman" w:eastAsia="宋体" w:cs="Times New Roman"/>
                <w:sz w:val="24"/>
                <w:szCs w:val="24"/>
                <w:highlight w:val="none"/>
                <w:lang w:val="en-US" w:eastAsia="zh-CN"/>
              </w:rPr>
              <w:t>21号）</w:t>
            </w:r>
            <w:r>
              <w:rPr>
                <w:rFonts w:hint="default" w:ascii="Times New Roman" w:hAnsi="Times New Roman" w:eastAsia="宋体" w:cs="Times New Roman"/>
                <w:sz w:val="24"/>
                <w:szCs w:val="24"/>
                <w:highlight w:val="none"/>
                <w:lang w:val="en-US" w:eastAsia="zh-CN"/>
              </w:rPr>
              <w:t>中的</w:t>
            </w:r>
            <w:r>
              <w:rPr>
                <w:rFonts w:hint="eastAsia" w:ascii="Times New Roman" w:hAnsi="Times New Roman" w:eastAsia="宋体" w:cs="Times New Roman"/>
                <w:sz w:val="24"/>
                <w:szCs w:val="24"/>
                <w:highlight w:val="none"/>
                <w:lang w:val="en-US" w:eastAsia="zh-CN"/>
              </w:rPr>
              <w:t>生态环境总体准入管控要求</w:t>
            </w:r>
            <w:r>
              <w:rPr>
                <w:rFonts w:hint="default" w:ascii="Times New Roman" w:hAnsi="Times New Roman" w:eastAsia="宋体" w:cs="Times New Roman"/>
                <w:sz w:val="24"/>
                <w:szCs w:val="24"/>
                <w:highlight w:val="none"/>
                <w:lang w:val="en-US" w:eastAsia="zh-CN"/>
              </w:rPr>
              <w:t>。</w:t>
            </w:r>
          </w:p>
          <w:p w14:paraId="44D3DA8F">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4、项目选址的合理性分析</w:t>
            </w:r>
          </w:p>
          <w:p w14:paraId="3643F82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根据山西省人民政府</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关于同意长治市乡镇集中式饮用水水源地保护区划定方案的通知</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晋政函</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2012</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136号</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长治市壶关县乡镇集中式饮用水水源地共有7个</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龙泉镇修</w:t>
            </w:r>
            <w:r>
              <w:rPr>
                <w:rFonts w:hint="eastAsia" w:ascii="Times New Roman" w:hAnsi="Times New Roman" w:eastAsia="宋体" w:cs="Times New Roman"/>
                <w:sz w:val="24"/>
                <w:szCs w:val="24"/>
                <w:highlight w:val="none"/>
                <w:lang w:val="en-US" w:eastAsia="zh-CN"/>
              </w:rPr>
              <w:t>善</w:t>
            </w:r>
            <w:r>
              <w:rPr>
                <w:rFonts w:hint="default" w:ascii="Times New Roman" w:hAnsi="Times New Roman" w:eastAsia="宋体" w:cs="Times New Roman"/>
                <w:sz w:val="24"/>
                <w:szCs w:val="24"/>
                <w:highlight w:val="none"/>
                <w:lang w:val="en-US" w:eastAsia="zh-CN"/>
              </w:rPr>
              <w:t>集中供水水源、百尺镇集中供水水源、韩庄集中供水水源</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集店</w:t>
            </w:r>
            <w:r>
              <w:rPr>
                <w:rFonts w:hint="eastAsia" w:ascii="Times New Roman" w:hAnsi="Times New Roman" w:eastAsia="宋体" w:cs="Times New Roman"/>
                <w:sz w:val="24"/>
                <w:szCs w:val="24"/>
                <w:highlight w:val="none"/>
                <w:lang w:val="en-US" w:eastAsia="zh-CN"/>
              </w:rPr>
              <w:t>镇</w:t>
            </w:r>
            <w:r>
              <w:rPr>
                <w:rFonts w:hint="default" w:ascii="Times New Roman" w:hAnsi="Times New Roman" w:eastAsia="宋体" w:cs="Times New Roman"/>
                <w:sz w:val="24"/>
                <w:szCs w:val="24"/>
                <w:highlight w:val="none"/>
                <w:lang w:val="en-US" w:eastAsia="zh-CN"/>
              </w:rPr>
              <w:t>集中供水水源、黄山</w:t>
            </w:r>
            <w:r>
              <w:rPr>
                <w:rFonts w:hint="eastAsia" w:ascii="Times New Roman" w:hAnsi="Times New Roman" w:eastAsia="宋体" w:cs="Times New Roman"/>
                <w:sz w:val="24"/>
                <w:szCs w:val="24"/>
                <w:highlight w:val="none"/>
                <w:lang w:val="en-US" w:eastAsia="zh-CN"/>
              </w:rPr>
              <w:t>镇</w:t>
            </w:r>
            <w:r>
              <w:rPr>
                <w:rFonts w:hint="default" w:ascii="Times New Roman" w:hAnsi="Times New Roman" w:eastAsia="宋体" w:cs="Times New Roman"/>
                <w:sz w:val="24"/>
                <w:szCs w:val="24"/>
                <w:highlight w:val="none"/>
                <w:lang w:val="en-US" w:eastAsia="zh-CN"/>
              </w:rPr>
              <w:t>集中供水水源、七里栈集中供水水源、壶关经济开发区集中供水水源。</w:t>
            </w:r>
          </w:p>
          <w:p w14:paraId="2DEDEA84">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本项目距离最近的水源地为</w:t>
            </w:r>
            <w:r>
              <w:rPr>
                <w:rFonts w:hint="default" w:ascii="Times New Roman" w:hAnsi="Times New Roman" w:eastAsia="宋体" w:cs="Times New Roman"/>
                <w:sz w:val="24"/>
                <w:szCs w:val="24"/>
                <w:highlight w:val="none"/>
                <w:lang w:val="en-US" w:eastAsia="zh-CN"/>
              </w:rPr>
              <w:t>集店</w:t>
            </w:r>
            <w:r>
              <w:rPr>
                <w:rFonts w:hint="eastAsia" w:ascii="Times New Roman" w:hAnsi="Times New Roman" w:eastAsia="宋体" w:cs="Times New Roman"/>
                <w:sz w:val="24"/>
                <w:szCs w:val="24"/>
                <w:highlight w:val="none"/>
                <w:lang w:val="en-US" w:eastAsia="zh-CN"/>
              </w:rPr>
              <w:t>镇</w:t>
            </w:r>
            <w:r>
              <w:rPr>
                <w:rFonts w:hint="default" w:ascii="Times New Roman" w:hAnsi="Times New Roman" w:eastAsia="宋体" w:cs="Times New Roman"/>
                <w:sz w:val="24"/>
                <w:szCs w:val="24"/>
                <w:highlight w:val="none"/>
                <w:lang w:val="en-US" w:eastAsia="zh-CN"/>
              </w:rPr>
              <w:t>集中供水水源</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集店镇集中供水水源</w:t>
            </w:r>
            <w:r>
              <w:rPr>
                <w:rFonts w:hint="eastAsia" w:ascii="Times New Roman" w:hAnsi="Times New Roman" w:eastAsia="宋体" w:cs="Times New Roman"/>
                <w:sz w:val="24"/>
                <w:szCs w:val="24"/>
                <w:highlight w:val="none"/>
                <w:lang w:val="en-US" w:eastAsia="zh-CN"/>
              </w:rPr>
              <w:t>地揭露地层由上往下为第四系种植土、亚砂土、粘土夹砂，厚度94m；寒武系中统上部为厚层状含燧石条带及燧石结核结晶白云岩、小晶洞发育，间夹薄层页岩，中下部为中厚层状白云质灰岩、灰岩夹数层鲕状灰岩，厚度100m，含水层主要为寒武系、奥陶系，含水层厚为148m，</w:t>
            </w:r>
            <w:r>
              <w:rPr>
                <w:rFonts w:hint="default" w:ascii="Times New Roman" w:hAnsi="Times New Roman" w:eastAsia="宋体" w:cs="Times New Roman"/>
                <w:sz w:val="24"/>
                <w:szCs w:val="24"/>
                <w:highlight w:val="none"/>
                <w:lang w:val="en-US" w:eastAsia="zh-CN"/>
              </w:rPr>
              <w:t>取水口数量为1，地理坐标东经113°12′18″、北纬36°08′48″，一级保护区半径18m、面积0.0010km²，不设二级保护区，服务对象为集店镇。</w:t>
            </w:r>
            <w:r>
              <w:rPr>
                <w:rFonts w:hint="eastAsia" w:cs="Times New Roman"/>
                <w:sz w:val="24"/>
                <w:szCs w:val="24"/>
                <w:highlight w:val="none"/>
                <w:lang w:val="en-US" w:eastAsia="zh-CN"/>
              </w:rPr>
              <w:t>集店镇集中供水水源地保护区半径为18m，未划分二级保护区范围。</w:t>
            </w:r>
            <w:r>
              <w:rPr>
                <w:rFonts w:hint="default" w:ascii="Times New Roman" w:hAnsi="Times New Roman" w:eastAsia="宋体" w:cs="Times New Roman"/>
                <w:sz w:val="24"/>
                <w:szCs w:val="24"/>
                <w:highlight w:val="none"/>
                <w:lang w:val="en-US" w:eastAsia="zh-CN"/>
              </w:rPr>
              <w:t>本项目位于集店镇集中供水水源地下游，</w:t>
            </w:r>
            <w:r>
              <w:rPr>
                <w:rFonts w:hint="eastAsia" w:ascii="Times New Roman" w:hAnsi="Times New Roman" w:eastAsia="宋体" w:cs="Times New Roman"/>
                <w:sz w:val="24"/>
                <w:szCs w:val="24"/>
                <w:highlight w:val="none"/>
                <w:lang w:val="en-US" w:eastAsia="zh-CN"/>
              </w:rPr>
              <w:t>西北</w:t>
            </w:r>
            <w:r>
              <w:rPr>
                <w:rFonts w:hint="default" w:ascii="Times New Roman" w:hAnsi="Times New Roman" w:eastAsia="宋体" w:cs="Times New Roman"/>
                <w:sz w:val="24"/>
                <w:szCs w:val="24"/>
                <w:highlight w:val="none"/>
                <w:lang w:val="en-US" w:eastAsia="zh-CN"/>
              </w:rPr>
              <w:t>距集店镇集中供水水源地一级保护区边界最近约</w:t>
            </w:r>
            <w:r>
              <w:rPr>
                <w:rFonts w:hint="eastAsia" w:ascii="Times New Roman" w:hAnsi="Times New Roman" w:eastAsia="宋体" w:cs="Times New Roman"/>
                <w:sz w:val="24"/>
                <w:szCs w:val="24"/>
                <w:highlight w:val="none"/>
                <w:lang w:val="en-US" w:eastAsia="zh-CN"/>
              </w:rPr>
              <w:t>0.</w:t>
            </w:r>
            <w:r>
              <w:rPr>
                <w:rFonts w:hint="eastAsia" w:cs="Times New Roman"/>
                <w:sz w:val="24"/>
                <w:szCs w:val="24"/>
                <w:highlight w:val="none"/>
                <w:lang w:val="en-US" w:eastAsia="zh-CN"/>
              </w:rPr>
              <w:t>5</w:t>
            </w:r>
            <w:r>
              <w:rPr>
                <w:rFonts w:hint="default" w:ascii="Times New Roman" w:hAnsi="Times New Roman" w:eastAsia="宋体" w:cs="Times New Roman"/>
                <w:sz w:val="24"/>
                <w:szCs w:val="24"/>
                <w:highlight w:val="none"/>
                <w:lang w:val="en-US" w:eastAsia="zh-CN"/>
              </w:rPr>
              <w:t>km。</w:t>
            </w:r>
          </w:p>
          <w:p w14:paraId="641E07B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本项目位于</w:t>
            </w:r>
            <w:r>
              <w:rPr>
                <w:rFonts w:hint="eastAsia" w:ascii="Times New Roman" w:hAnsi="Times New Roman" w:cs="Times New Roman"/>
                <w:sz w:val="24"/>
                <w:szCs w:val="24"/>
                <w:highlight w:val="none"/>
                <w:u w:val="none"/>
                <w:lang w:val="en-US" w:eastAsia="zh-CN"/>
              </w:rPr>
              <w:t>山西省长治市壶关县集店镇集店村</w:t>
            </w:r>
            <w:r>
              <w:rPr>
                <w:rFonts w:hint="eastAsia" w:ascii="Times New Roman" w:hAnsi="Times New Roman" w:eastAsia="宋体" w:cs="Times New Roman"/>
                <w:sz w:val="24"/>
                <w:szCs w:val="24"/>
                <w:highlight w:val="none"/>
                <w:lang w:val="en-US" w:eastAsia="zh-CN"/>
              </w:rPr>
              <w:t>。</w:t>
            </w:r>
            <w:r>
              <w:rPr>
                <w:rFonts w:hint="eastAsia"/>
                <w:sz w:val="24"/>
                <w:szCs w:val="24"/>
                <w:highlight w:val="none"/>
                <w:lang w:val="en-US" w:eastAsia="zh-CN"/>
              </w:rPr>
              <w:t>项目场地为空地，占地范围内未发展工业生产活动，本项目建设将对地面做防渗硬化以及新建标准化厂房，项目无原有污染环境问题。</w:t>
            </w:r>
          </w:p>
          <w:p w14:paraId="270374F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本项目租用山西长东盛业投资开发有限公司空地作为本项目的标准化厂房占地，根据山西长东盛业投资开发有限公司土地证，该占地类型为工业用地。本项目涉及的大气环境目标为集店村、呈祥村，</w:t>
            </w:r>
            <w:r>
              <w:rPr>
                <w:rFonts w:hint="eastAsia" w:cs="Times New Roman"/>
                <w:sz w:val="24"/>
                <w:szCs w:val="24"/>
                <w:highlight w:val="none"/>
                <w:lang w:val="en-US" w:eastAsia="zh-CN"/>
              </w:rPr>
              <w:t>涉及地下水保护目标为集店镇集中供水水源地，</w:t>
            </w:r>
            <w:r>
              <w:rPr>
                <w:rFonts w:hint="eastAsia" w:ascii="Times New Roman" w:hAnsi="Times New Roman" w:eastAsia="宋体" w:cs="Times New Roman"/>
                <w:sz w:val="24"/>
                <w:szCs w:val="24"/>
                <w:highlight w:val="none"/>
                <w:lang w:val="en-US" w:eastAsia="zh-CN"/>
              </w:rPr>
              <w:t>项目周边不涉及声环境保护目标、生态环境保护目标，项目废气污染物为颗粒物、非甲烷总烃，经处理后能达标排放，对环境保护目标影响较小。</w:t>
            </w:r>
          </w:p>
          <w:p w14:paraId="2DBF97A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占地不涉及自然保护区、风景名胜区、千人以上集中饮用水源保护区等禁止开发区，不在生态保护红线区，符合国家和地方产业政策，项目选址不涉及生态红线，实施后能维持区域环境质量现状，不会突破当地环境质量底线。项目所在地环境质量较好，有一定的环境容量。项目所在区域具备完善的供水、供电等基础设施，交通便捷；通过车间合理布局，落实各项污染防治措施后，项目污染物能实现达标排放，对周边环境及敏感目标影响小。因此，评价认为项目选址可行。</w:t>
            </w:r>
          </w:p>
          <w:p w14:paraId="198B27EB">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6FD896A0">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631326E3">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239EA673">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7B43F3BC">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73A05B08">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12B28CCB">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6FC6B80F">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1C9D58DC">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7DDFC2BE">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3BAACC0E">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5DBEFCE0">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7585EEDD">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5EB7A599">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3515DA5A">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4B9495A9">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6C5ACE54">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27AD6D78">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7E48899A">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1B2A45A9">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7CBC5C2B">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2C0A5577">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00F79337">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7434067B">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66EA11AE">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07F84CA8">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33603E6B">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0A8434D2">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p w14:paraId="6CC451D7">
            <w:pPr>
              <w:keepNext w:val="0"/>
              <w:keepLines w:val="0"/>
              <w:pageBreakBefore w:val="0"/>
              <w:widowControl w:val="0"/>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szCs w:val="24"/>
                <w:highlight w:val="none"/>
                <w:lang w:val="en-US" w:eastAsia="zh-CN"/>
              </w:rPr>
            </w:pPr>
          </w:p>
        </w:tc>
      </w:tr>
    </w:tbl>
    <w:p w14:paraId="2FE1E65E">
      <w:pPr>
        <w:spacing w:line="360" w:lineRule="auto"/>
        <w:outlineLvl w:val="9"/>
        <w:rPr>
          <w:rFonts w:eastAsia="黑体"/>
          <w:sz w:val="30"/>
          <w:highlight w:val="none"/>
        </w:rPr>
        <w:sectPr>
          <w:pgSz w:w="11906" w:h="16838"/>
          <w:pgMar w:top="1701" w:right="1531" w:bottom="1701" w:left="1531" w:header="851" w:footer="1417" w:gutter="0"/>
          <w:pgBorders>
            <w:top w:val="none" w:sz="0" w:space="0"/>
            <w:left w:val="none" w:sz="0" w:space="0"/>
            <w:bottom w:val="none" w:sz="0" w:space="0"/>
            <w:right w:val="none" w:sz="0" w:space="0"/>
          </w:pgBorders>
          <w:pgNumType w:fmt="decimal" w:start="1"/>
          <w:cols w:space="720" w:num="1"/>
          <w:docGrid w:linePitch="312" w:charSpace="0"/>
        </w:sectPr>
      </w:pPr>
    </w:p>
    <w:p w14:paraId="4EE57B1A">
      <w:pPr>
        <w:pStyle w:val="19"/>
        <w:jc w:val="center"/>
        <w:outlineLvl w:val="0"/>
        <w:rPr>
          <w:rFonts w:ascii="黑体" w:hAnsi="黑体" w:eastAsia="黑体"/>
          <w:snapToGrid w:val="0"/>
          <w:sz w:val="30"/>
          <w:szCs w:val="30"/>
          <w:highlight w:val="none"/>
        </w:rPr>
      </w:pPr>
      <w:bookmarkStart w:id="3" w:name="_Toc13835"/>
      <w:r>
        <w:rPr>
          <w:rFonts w:hint="eastAsia" w:ascii="黑体" w:hAnsi="黑体" w:eastAsia="黑体"/>
          <w:snapToGrid w:val="0"/>
          <w:sz w:val="30"/>
          <w:szCs w:val="30"/>
          <w:highlight w:val="none"/>
        </w:rPr>
        <w:t>二、建设项目工程分析</w:t>
      </w:r>
      <w:bookmarkEnd w:id="3"/>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57" w:type="dxa"/>
          <w:left w:w="108" w:type="dxa"/>
          <w:bottom w:w="57" w:type="dxa"/>
          <w:right w:w="108" w:type="dxa"/>
        </w:tblCellMar>
      </w:tblPr>
      <w:tblGrid>
        <w:gridCol w:w="823"/>
        <w:gridCol w:w="8161"/>
      </w:tblGrid>
      <w:tr w14:paraId="7BBB3C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283" w:hRule="atLeast"/>
          <w:jc w:val="center"/>
        </w:trPr>
        <w:tc>
          <w:tcPr>
            <w:tcW w:w="823" w:type="dxa"/>
            <w:noWrap w:val="0"/>
            <w:vAlign w:val="center"/>
          </w:tcPr>
          <w:p w14:paraId="2D1E8CBF">
            <w:pPr>
              <w:pStyle w:val="19"/>
              <w:adjustRightInd w:val="0"/>
              <w:snapToGrid w:val="0"/>
              <w:spacing w:before="0" w:beforeAutospacing="0" w:after="0" w:afterAutospacing="0"/>
              <w:jc w:val="center"/>
              <w:rPr>
                <w:rFonts w:cs="宋体"/>
                <w:sz w:val="21"/>
                <w:szCs w:val="21"/>
                <w:highlight w:val="none"/>
              </w:rPr>
            </w:pPr>
            <w:r>
              <w:rPr>
                <w:rFonts w:hint="eastAsia" w:cs="宋体"/>
                <w:sz w:val="21"/>
                <w:szCs w:val="21"/>
                <w:highlight w:val="none"/>
              </w:rPr>
              <w:t>建设内容</w:t>
            </w:r>
          </w:p>
        </w:tc>
        <w:tc>
          <w:tcPr>
            <w:tcW w:w="8161" w:type="dxa"/>
            <w:noWrap w:val="0"/>
            <w:vAlign w:val="top"/>
          </w:tcPr>
          <w:p w14:paraId="6CD14287">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1、</w:t>
            </w:r>
            <w:r>
              <w:rPr>
                <w:rFonts w:hint="default" w:ascii="Times New Roman" w:hAnsi="Times New Roman" w:eastAsia="宋体" w:cs="Times New Roman"/>
                <w:b/>
                <w:bCs/>
                <w:sz w:val="24"/>
                <w:szCs w:val="24"/>
                <w:highlight w:val="none"/>
                <w:lang w:val="en-US" w:eastAsia="zh-CN"/>
              </w:rPr>
              <w:t>建设内容概况</w:t>
            </w:r>
          </w:p>
          <w:p w14:paraId="47B53BA2">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建设规模：</w:t>
            </w:r>
            <w:r>
              <w:rPr>
                <w:rFonts w:hint="eastAsia" w:ascii="Times New Roman" w:hAnsi="Times New Roman" w:eastAsia="宋体" w:cs="Times New Roman"/>
                <w:kern w:val="0"/>
                <w:sz w:val="24"/>
                <w:szCs w:val="24"/>
                <w:highlight w:val="none"/>
                <w:lang w:val="en-US" w:eastAsia="zh-CN"/>
              </w:rPr>
              <w:t>建成后</w:t>
            </w:r>
            <w:r>
              <w:rPr>
                <w:rFonts w:hint="default" w:ascii="Times New Roman" w:hAnsi="Times New Roman" w:eastAsia="宋体" w:cs="Times New Roman"/>
                <w:kern w:val="0"/>
                <w:sz w:val="24"/>
                <w:szCs w:val="24"/>
                <w:highlight w:val="none"/>
                <w:lang w:val="en-US" w:eastAsia="zh-CN"/>
              </w:rPr>
              <w:t>年产1000吨钕铁硼</w:t>
            </w:r>
            <w:r>
              <w:rPr>
                <w:rFonts w:hint="eastAsia" w:ascii="Times New Roman" w:hAnsi="Times New Roman" w:eastAsia="宋体" w:cs="Times New Roman"/>
                <w:kern w:val="0"/>
                <w:sz w:val="24"/>
                <w:szCs w:val="24"/>
                <w:highlight w:val="none"/>
                <w:lang w:val="en-US" w:eastAsia="zh-CN"/>
              </w:rPr>
              <w:t>。</w:t>
            </w:r>
          </w:p>
          <w:p w14:paraId="0A831A1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具体建设内容见表2-1。</w:t>
            </w:r>
          </w:p>
          <w:p w14:paraId="7D422453">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 xml:space="preserve">表2-1  </w:t>
            </w:r>
            <w:r>
              <w:rPr>
                <w:rFonts w:hint="default" w:ascii="Times New Roman" w:hAnsi="Times New Roman" w:cs="Times New Roman"/>
                <w:b/>
                <w:bCs/>
                <w:sz w:val="21"/>
                <w:szCs w:val="21"/>
                <w:highlight w:val="none"/>
                <w:lang w:val="en-US" w:eastAsia="zh-CN"/>
              </w:rPr>
              <w:t>项目组成及主要建设内容</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28" w:type="dxa"/>
                <w:bottom w:w="28" w:type="dxa"/>
                <w:right w:w="28" w:type="dxa"/>
              </w:tblCellMar>
            </w:tblPr>
            <w:tblGrid>
              <w:gridCol w:w="661"/>
              <w:gridCol w:w="1066"/>
              <w:gridCol w:w="1487"/>
              <w:gridCol w:w="4040"/>
              <w:gridCol w:w="688"/>
            </w:tblGrid>
            <w:tr w14:paraId="2707E8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tblHeader/>
                <w:jc w:val="center"/>
              </w:trPr>
              <w:tc>
                <w:tcPr>
                  <w:tcW w:w="416" w:type="pct"/>
                  <w:tcBorders>
                    <w:tl2br w:val="nil"/>
                    <w:tr2bl w:val="nil"/>
                  </w:tcBorders>
                  <w:noWrap w:val="0"/>
                  <w:vAlign w:val="center"/>
                </w:tcPr>
                <w:p w14:paraId="54D0FE7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类别</w:t>
                  </w:r>
                </w:p>
              </w:tc>
              <w:tc>
                <w:tcPr>
                  <w:tcW w:w="671" w:type="pct"/>
                  <w:tcBorders>
                    <w:tl2br w:val="nil"/>
                    <w:tr2bl w:val="nil"/>
                  </w:tcBorders>
                  <w:noWrap w:val="0"/>
                  <w:tcMar>
                    <w:left w:w="28" w:type="dxa"/>
                    <w:right w:w="28" w:type="dxa"/>
                  </w:tcMar>
                  <w:vAlign w:val="center"/>
                </w:tcPr>
                <w:p w14:paraId="75C062A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名称</w:t>
                  </w:r>
                </w:p>
              </w:tc>
              <w:tc>
                <w:tcPr>
                  <w:tcW w:w="3479" w:type="pct"/>
                  <w:gridSpan w:val="2"/>
                  <w:tcBorders>
                    <w:tl2br w:val="nil"/>
                    <w:tr2bl w:val="nil"/>
                  </w:tcBorders>
                  <w:noWrap w:val="0"/>
                  <w:vAlign w:val="center"/>
                </w:tcPr>
                <w:p w14:paraId="476B18F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工程内容</w:t>
                  </w:r>
                </w:p>
              </w:tc>
              <w:tc>
                <w:tcPr>
                  <w:tcW w:w="433" w:type="pct"/>
                  <w:tcBorders>
                    <w:tl2br w:val="nil"/>
                    <w:tr2bl w:val="nil"/>
                  </w:tcBorders>
                  <w:noWrap w:val="0"/>
                  <w:vAlign w:val="center"/>
                </w:tcPr>
                <w:p w14:paraId="71C8E4C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sz w:val="21"/>
                      <w:szCs w:val="21"/>
                      <w:highlight w:val="none"/>
                      <w:lang w:eastAsia="zh-CN"/>
                    </w:rPr>
                  </w:pPr>
                  <w:r>
                    <w:rPr>
                      <w:rFonts w:hint="default" w:ascii="Times New Roman" w:hAnsi="Times New Roman" w:eastAsia="宋体" w:cs="Times New Roman"/>
                      <w:b/>
                      <w:bCs/>
                      <w:sz w:val="21"/>
                      <w:szCs w:val="21"/>
                      <w:highlight w:val="none"/>
                      <w:lang w:eastAsia="zh-CN"/>
                    </w:rPr>
                    <w:t>备注</w:t>
                  </w:r>
                </w:p>
              </w:tc>
            </w:tr>
            <w:tr w14:paraId="6E0136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57" w:hRule="atLeast"/>
                <w:jc w:val="center"/>
              </w:trPr>
              <w:tc>
                <w:tcPr>
                  <w:tcW w:w="416" w:type="pct"/>
                  <w:vMerge w:val="restart"/>
                  <w:tcBorders>
                    <w:tl2br w:val="nil"/>
                    <w:tr2bl w:val="nil"/>
                  </w:tcBorders>
                  <w:noWrap w:val="0"/>
                  <w:vAlign w:val="center"/>
                </w:tcPr>
                <w:p w14:paraId="50A1904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主体工程</w:t>
                  </w:r>
                </w:p>
              </w:tc>
              <w:tc>
                <w:tcPr>
                  <w:tcW w:w="671" w:type="pct"/>
                  <w:tcBorders>
                    <w:tl2br w:val="nil"/>
                    <w:tr2bl w:val="nil"/>
                  </w:tcBorders>
                  <w:noWrap w:val="0"/>
                  <w:tcMar>
                    <w:left w:w="28" w:type="dxa"/>
                    <w:right w:w="28" w:type="dxa"/>
                  </w:tcMar>
                  <w:vAlign w:val="center"/>
                </w:tcPr>
                <w:p w14:paraId="29AC46E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sz w:val="21"/>
                      <w:szCs w:val="21"/>
                      <w:highlight w:val="none"/>
                      <w:lang w:val="en-US" w:eastAsia="zh-CN"/>
                    </w:rPr>
                  </w:pPr>
                  <w:r>
                    <w:rPr>
                      <w:rFonts w:hint="eastAsia" w:ascii="Times New Roman" w:hAnsi="Times New Roman" w:eastAsia="宋体" w:cs="Times New Roman"/>
                      <w:sz w:val="21"/>
                      <w:szCs w:val="21"/>
                      <w:highlight w:val="none"/>
                      <w:lang w:val="en-US" w:eastAsia="zh-CN"/>
                    </w:rPr>
                    <w:t>生产车间</w:t>
                  </w:r>
                </w:p>
              </w:tc>
              <w:tc>
                <w:tcPr>
                  <w:tcW w:w="3479" w:type="pct"/>
                  <w:gridSpan w:val="2"/>
                  <w:tcBorders>
                    <w:tl2br w:val="nil"/>
                    <w:tr2bl w:val="nil"/>
                  </w:tcBorders>
                  <w:noWrap w:val="0"/>
                  <w:vAlign w:val="center"/>
                </w:tcPr>
                <w:p w14:paraId="58E969C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全封闭厂房，</w:t>
                  </w:r>
                  <w:r>
                    <w:rPr>
                      <w:rFonts w:hint="eastAsia" w:cs="Times New Roman"/>
                      <w:sz w:val="21"/>
                      <w:szCs w:val="21"/>
                      <w:highlight w:val="none"/>
                      <w:vertAlign w:val="baseline"/>
                      <w:lang w:val="en-US" w:eastAsia="zh-CN"/>
                    </w:rPr>
                    <w:t>长105.5m，宽45.5m</w:t>
                  </w:r>
                  <w:r>
                    <w:rPr>
                      <w:rFonts w:hint="eastAsia" w:ascii="Times New Roman" w:hAnsi="Times New Roman" w:eastAsia="宋体" w:cs="Times New Roman"/>
                      <w:sz w:val="21"/>
                      <w:szCs w:val="21"/>
                      <w:highlight w:val="none"/>
                      <w:vertAlign w:val="baseline"/>
                      <w:lang w:val="en-US" w:eastAsia="zh-CN"/>
                    </w:rPr>
                    <w:t>，</w:t>
                  </w:r>
                  <w:r>
                    <w:rPr>
                      <w:rFonts w:hint="eastAsia" w:cs="Times New Roman"/>
                      <w:sz w:val="21"/>
                      <w:szCs w:val="21"/>
                      <w:highlight w:val="none"/>
                      <w:vertAlign w:val="baseline"/>
                      <w:lang w:val="en-US" w:eastAsia="zh-CN"/>
                    </w:rPr>
                    <w:t>高10m，</w:t>
                  </w:r>
                  <w:r>
                    <w:rPr>
                      <w:rFonts w:hint="eastAsia" w:ascii="Times New Roman" w:hAnsi="Times New Roman" w:eastAsia="宋体" w:cs="Times New Roman"/>
                      <w:sz w:val="21"/>
                      <w:szCs w:val="21"/>
                      <w:highlight w:val="none"/>
                      <w:vertAlign w:val="baseline"/>
                      <w:lang w:val="en-US" w:eastAsia="zh-CN"/>
                    </w:rPr>
                    <w:t>分为两层，车间一层</w:t>
                  </w:r>
                  <w:r>
                    <w:rPr>
                      <w:rFonts w:hint="eastAsia" w:cs="Times New Roman"/>
                      <w:sz w:val="21"/>
                      <w:szCs w:val="21"/>
                      <w:highlight w:val="none"/>
                      <w:vertAlign w:val="baseline"/>
                      <w:lang w:val="en-US" w:eastAsia="zh-CN"/>
                    </w:rPr>
                    <w:t>南</w:t>
                  </w:r>
                  <w:r>
                    <w:rPr>
                      <w:rFonts w:hint="eastAsia" w:ascii="Times New Roman" w:hAnsi="Times New Roman" w:eastAsia="宋体" w:cs="Times New Roman"/>
                      <w:sz w:val="21"/>
                      <w:szCs w:val="21"/>
                      <w:highlight w:val="none"/>
                      <w:vertAlign w:val="baseline"/>
                      <w:lang w:val="en-US" w:eastAsia="zh-CN"/>
                    </w:rPr>
                    <w:t>侧布置为机加区域、烧结区域，</w:t>
                  </w:r>
                  <w:r>
                    <w:rPr>
                      <w:rFonts w:hint="eastAsia" w:cs="Times New Roman"/>
                      <w:sz w:val="21"/>
                      <w:szCs w:val="21"/>
                      <w:highlight w:val="none"/>
                      <w:vertAlign w:val="baseline"/>
                      <w:lang w:val="en-US" w:eastAsia="zh-CN"/>
                    </w:rPr>
                    <w:t>北</w:t>
                  </w:r>
                  <w:r>
                    <w:rPr>
                      <w:rFonts w:hint="eastAsia" w:ascii="Times New Roman" w:hAnsi="Times New Roman" w:eastAsia="宋体" w:cs="Times New Roman"/>
                      <w:sz w:val="21"/>
                      <w:szCs w:val="21"/>
                      <w:highlight w:val="none"/>
                      <w:vertAlign w:val="baseline"/>
                      <w:lang w:val="en-US" w:eastAsia="zh-CN"/>
                    </w:rPr>
                    <w:t>侧布置为原料处理</w:t>
                  </w:r>
                  <w:r>
                    <w:rPr>
                      <w:rFonts w:hint="eastAsia" w:cs="Times New Roman"/>
                      <w:sz w:val="21"/>
                      <w:szCs w:val="21"/>
                      <w:highlight w:val="none"/>
                      <w:vertAlign w:val="baseline"/>
                      <w:lang w:val="en-US" w:eastAsia="zh-CN"/>
                    </w:rPr>
                    <w:t>区</w:t>
                  </w:r>
                  <w:r>
                    <w:rPr>
                      <w:rFonts w:hint="eastAsia" w:ascii="Times New Roman" w:hAnsi="Times New Roman" w:eastAsia="宋体" w:cs="Times New Roman"/>
                      <w:sz w:val="21"/>
                      <w:szCs w:val="21"/>
                      <w:highlight w:val="none"/>
                      <w:vertAlign w:val="baseline"/>
                      <w:lang w:val="en-US" w:eastAsia="zh-CN"/>
                    </w:rPr>
                    <w:t>、</w:t>
                  </w:r>
                  <w:r>
                    <w:rPr>
                      <w:rFonts w:hint="eastAsia" w:cs="Times New Roman"/>
                      <w:sz w:val="21"/>
                      <w:szCs w:val="21"/>
                      <w:highlight w:val="none"/>
                      <w:vertAlign w:val="baseline"/>
                      <w:lang w:val="en-US" w:eastAsia="zh-CN"/>
                    </w:rPr>
                    <w:t>浇铸区</w:t>
                  </w:r>
                  <w:r>
                    <w:rPr>
                      <w:rFonts w:hint="eastAsia" w:ascii="Times New Roman" w:hAnsi="Times New Roman" w:eastAsia="宋体" w:cs="Times New Roman"/>
                      <w:sz w:val="21"/>
                      <w:szCs w:val="21"/>
                      <w:highlight w:val="none"/>
                      <w:vertAlign w:val="baseline"/>
                      <w:lang w:val="en-US" w:eastAsia="zh-CN"/>
                    </w:rPr>
                    <w:t>、制粉区、成型区；</w:t>
                  </w:r>
                </w:p>
                <w:p w14:paraId="7C6F44A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在厂房内南侧高8m处搭建18m宽平台设为</w:t>
                  </w:r>
                  <w:r>
                    <w:rPr>
                      <w:rFonts w:hint="eastAsia" w:ascii="Times New Roman" w:hAnsi="Times New Roman" w:eastAsia="宋体" w:cs="Times New Roman"/>
                      <w:sz w:val="21"/>
                      <w:szCs w:val="21"/>
                      <w:highlight w:val="none"/>
                      <w:vertAlign w:val="baseline"/>
                      <w:lang w:val="en-US" w:eastAsia="zh-CN"/>
                    </w:rPr>
                    <w:t>车间二层</w:t>
                  </w:r>
                  <w:r>
                    <w:rPr>
                      <w:rFonts w:hint="eastAsia" w:cs="Times New Roman"/>
                      <w:sz w:val="21"/>
                      <w:szCs w:val="21"/>
                      <w:highlight w:val="none"/>
                      <w:vertAlign w:val="baseline"/>
                      <w:lang w:val="en-US" w:eastAsia="zh-CN"/>
                    </w:rPr>
                    <w:t>，布置为</w:t>
                  </w:r>
                  <w:r>
                    <w:rPr>
                      <w:rFonts w:hint="eastAsia" w:ascii="Times New Roman" w:hAnsi="Times New Roman" w:eastAsia="宋体" w:cs="Times New Roman"/>
                      <w:sz w:val="21"/>
                      <w:szCs w:val="21"/>
                      <w:highlight w:val="none"/>
                      <w:vertAlign w:val="baseline"/>
                      <w:lang w:val="en-US" w:eastAsia="zh-CN"/>
                    </w:rPr>
                    <w:t>检测、包装、成品车间</w:t>
                  </w:r>
                  <w:r>
                    <w:rPr>
                      <w:rFonts w:hint="eastAsia" w:cs="Times New Roman"/>
                      <w:sz w:val="21"/>
                      <w:szCs w:val="21"/>
                      <w:highlight w:val="none"/>
                      <w:vertAlign w:val="baseline"/>
                      <w:lang w:val="en-US" w:eastAsia="zh-CN"/>
                    </w:rPr>
                    <w:t>，北侧</w:t>
                  </w:r>
                  <w:r>
                    <w:rPr>
                      <w:rFonts w:hint="eastAsia" w:ascii="Times New Roman" w:hAnsi="Times New Roman" w:eastAsia="宋体" w:cs="Times New Roman"/>
                      <w:sz w:val="21"/>
                      <w:szCs w:val="21"/>
                      <w:highlight w:val="none"/>
                      <w:vertAlign w:val="baseline"/>
                      <w:lang w:val="en-US" w:eastAsia="zh-CN"/>
                    </w:rPr>
                    <w:t>布置</w:t>
                  </w:r>
                  <w:r>
                    <w:rPr>
                      <w:rFonts w:hint="eastAsia" w:cs="Times New Roman"/>
                      <w:sz w:val="21"/>
                      <w:szCs w:val="21"/>
                      <w:highlight w:val="none"/>
                      <w:vertAlign w:val="baseline"/>
                      <w:lang w:val="en-US" w:eastAsia="zh-CN"/>
                    </w:rPr>
                    <w:t>5t</w:t>
                  </w:r>
                  <w:r>
                    <w:rPr>
                      <w:rFonts w:hint="eastAsia" w:ascii="Times New Roman" w:hAnsi="Times New Roman" w:eastAsia="宋体" w:cs="Times New Roman"/>
                      <w:sz w:val="21"/>
                      <w:szCs w:val="21"/>
                      <w:highlight w:val="none"/>
                      <w:vertAlign w:val="baseline"/>
                      <w:lang w:val="en-US" w:eastAsia="zh-CN"/>
                    </w:rPr>
                    <w:t>吊钩</w:t>
                  </w:r>
                  <w:r>
                    <w:rPr>
                      <w:rFonts w:hint="eastAsia" w:cs="Times New Roman"/>
                      <w:sz w:val="21"/>
                      <w:szCs w:val="21"/>
                      <w:highlight w:val="none"/>
                      <w:vertAlign w:val="baseline"/>
                      <w:lang w:val="en-US" w:eastAsia="zh-CN"/>
                    </w:rPr>
                    <w:t>，吊钩高度8.2m；</w:t>
                  </w:r>
                </w:p>
                <w:p w14:paraId="616FD6A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在厂房内西南角和东南角高4m处各修建一个夹层，西南角处夹层平台设置监控室和低压配电室，东南角处夹层平台设置更衣室和办公室，夹层通过楼梯与一二层相连。</w:t>
                  </w:r>
                </w:p>
              </w:tc>
              <w:tc>
                <w:tcPr>
                  <w:tcW w:w="433" w:type="pct"/>
                  <w:tcBorders>
                    <w:tl2br w:val="nil"/>
                    <w:tr2bl w:val="nil"/>
                  </w:tcBorders>
                  <w:noWrap w:val="0"/>
                  <w:vAlign w:val="center"/>
                </w:tcPr>
                <w:p w14:paraId="3D762E0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3A6DB9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57" w:hRule="atLeast"/>
                <w:jc w:val="center"/>
              </w:trPr>
              <w:tc>
                <w:tcPr>
                  <w:tcW w:w="416" w:type="pct"/>
                  <w:vMerge w:val="continue"/>
                  <w:tcBorders>
                    <w:tl2br w:val="nil"/>
                    <w:tr2bl w:val="nil"/>
                  </w:tcBorders>
                  <w:noWrap w:val="0"/>
                  <w:vAlign w:val="center"/>
                </w:tcPr>
                <w:p w14:paraId="2539CAE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tcBorders>
                    <w:tl2br w:val="nil"/>
                    <w:tr2bl w:val="nil"/>
                  </w:tcBorders>
                  <w:noWrap w:val="0"/>
                  <w:tcMar>
                    <w:left w:w="28" w:type="dxa"/>
                    <w:right w:w="28" w:type="dxa"/>
                  </w:tcMar>
                  <w:vAlign w:val="center"/>
                </w:tcPr>
                <w:p w14:paraId="5B5FCBA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氢碎车间</w:t>
                  </w:r>
                </w:p>
              </w:tc>
              <w:tc>
                <w:tcPr>
                  <w:tcW w:w="3479" w:type="pct"/>
                  <w:gridSpan w:val="2"/>
                  <w:tcBorders>
                    <w:tl2br w:val="nil"/>
                    <w:tr2bl w:val="nil"/>
                  </w:tcBorders>
                  <w:noWrap w:val="0"/>
                  <w:vAlign w:val="center"/>
                </w:tcPr>
                <w:p w14:paraId="543DF0D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生产车间东侧，</w:t>
                  </w:r>
                  <w:r>
                    <w:rPr>
                      <w:rFonts w:hint="eastAsia" w:cs="Times New Roman"/>
                      <w:sz w:val="21"/>
                      <w:szCs w:val="21"/>
                      <w:highlight w:val="none"/>
                      <w:vertAlign w:val="baseline"/>
                      <w:lang w:val="en-US" w:eastAsia="zh-CN"/>
                    </w:rPr>
                    <w:t>长46.7m，宽18.2m的区域由北向南依次</w:t>
                  </w:r>
                  <w:r>
                    <w:rPr>
                      <w:rFonts w:hint="eastAsia" w:ascii="Times New Roman" w:hAnsi="Times New Roman" w:eastAsia="宋体" w:cs="Times New Roman"/>
                      <w:sz w:val="21"/>
                      <w:szCs w:val="21"/>
                      <w:highlight w:val="none"/>
                      <w:vertAlign w:val="baseline"/>
                      <w:lang w:val="en-US" w:eastAsia="zh-CN"/>
                    </w:rPr>
                    <w:t>布置为露天冷却塔、循环水泵房、氢碎车间、露天储罐区。</w:t>
                  </w:r>
                </w:p>
                <w:p w14:paraId="50ED514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氢碎车间</w:t>
                  </w:r>
                  <w:r>
                    <w:rPr>
                      <w:rFonts w:hint="eastAsia" w:cs="Times New Roman"/>
                      <w:sz w:val="21"/>
                      <w:szCs w:val="21"/>
                      <w:highlight w:val="none"/>
                      <w:vertAlign w:val="baseline"/>
                      <w:lang w:val="en-US" w:eastAsia="zh-CN"/>
                    </w:rPr>
                    <w:t>为全封闭厂房，长22.5m，宽18.2m，高10m，车间内布置两台</w:t>
                  </w:r>
                  <w:r>
                    <w:rPr>
                      <w:rFonts w:hint="default" w:ascii="Times New Roman" w:hAnsi="Times New Roman" w:eastAsia="宋体" w:cs="Times New Roman"/>
                      <w:kern w:val="0"/>
                      <w:sz w:val="21"/>
                      <w:szCs w:val="21"/>
                      <w:highlight w:val="none"/>
                    </w:rPr>
                    <w:t>真空氢处理炉</w:t>
                  </w:r>
                  <w:r>
                    <w:rPr>
                      <w:rFonts w:hint="eastAsia" w:cs="Times New Roman"/>
                      <w:kern w:val="0"/>
                      <w:sz w:val="21"/>
                      <w:szCs w:val="21"/>
                      <w:highlight w:val="none"/>
                      <w:lang w:eastAsia="zh-CN"/>
                    </w:rPr>
                    <w:t>，</w:t>
                  </w:r>
                  <w:r>
                    <w:rPr>
                      <w:rFonts w:hint="eastAsia" w:cs="Times New Roman"/>
                      <w:kern w:val="0"/>
                      <w:sz w:val="21"/>
                      <w:szCs w:val="21"/>
                      <w:highlight w:val="none"/>
                      <w:lang w:val="en-US" w:eastAsia="zh-CN"/>
                    </w:rPr>
                    <w:t>车间内标高7.5m处布置1台3t电动单梁吊。</w:t>
                  </w:r>
                </w:p>
              </w:tc>
              <w:tc>
                <w:tcPr>
                  <w:tcW w:w="433" w:type="pct"/>
                  <w:tcBorders>
                    <w:tl2br w:val="nil"/>
                    <w:tr2bl w:val="nil"/>
                  </w:tcBorders>
                  <w:noWrap w:val="0"/>
                  <w:vAlign w:val="center"/>
                </w:tcPr>
                <w:p w14:paraId="2E42392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2D8CDC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588" w:hRule="atLeast"/>
                <w:jc w:val="center"/>
              </w:trPr>
              <w:tc>
                <w:tcPr>
                  <w:tcW w:w="416" w:type="pct"/>
                  <w:vMerge w:val="restart"/>
                  <w:tcBorders>
                    <w:tl2br w:val="nil"/>
                    <w:tr2bl w:val="nil"/>
                  </w:tcBorders>
                  <w:noWrap w:val="0"/>
                  <w:vAlign w:val="center"/>
                </w:tcPr>
                <w:p w14:paraId="03C8021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辅助</w:t>
                  </w:r>
                </w:p>
                <w:p w14:paraId="1330F7B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工程</w:t>
                  </w:r>
                </w:p>
              </w:tc>
              <w:tc>
                <w:tcPr>
                  <w:tcW w:w="671" w:type="pct"/>
                  <w:tcBorders>
                    <w:tl2br w:val="nil"/>
                    <w:tr2bl w:val="nil"/>
                  </w:tcBorders>
                  <w:noWrap w:val="0"/>
                  <w:tcMar>
                    <w:left w:w="28" w:type="dxa"/>
                    <w:right w:w="28" w:type="dxa"/>
                  </w:tcMar>
                  <w:vAlign w:val="center"/>
                </w:tcPr>
                <w:p w14:paraId="19D945E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办公区</w:t>
                  </w:r>
                </w:p>
              </w:tc>
              <w:tc>
                <w:tcPr>
                  <w:tcW w:w="3479" w:type="pct"/>
                  <w:gridSpan w:val="2"/>
                  <w:tcBorders>
                    <w:tl2br w:val="nil"/>
                    <w:tr2bl w:val="nil"/>
                  </w:tcBorders>
                  <w:noWrap w:val="0"/>
                  <w:vAlign w:val="center"/>
                </w:tcPr>
                <w:p w14:paraId="3599518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生产</w:t>
                  </w:r>
                  <w:r>
                    <w:rPr>
                      <w:rFonts w:hint="eastAsia" w:ascii="Times New Roman" w:hAnsi="Times New Roman" w:eastAsia="宋体" w:cs="Times New Roman"/>
                      <w:sz w:val="21"/>
                      <w:szCs w:val="21"/>
                      <w:highlight w:val="none"/>
                      <w:vertAlign w:val="baseline"/>
                      <w:lang w:val="en-US" w:eastAsia="zh-CN"/>
                    </w:rPr>
                    <w:t>车间</w:t>
                  </w:r>
                  <w:r>
                    <w:rPr>
                      <w:rFonts w:hint="eastAsia" w:cs="Times New Roman"/>
                      <w:sz w:val="21"/>
                      <w:szCs w:val="21"/>
                      <w:highlight w:val="none"/>
                      <w:vertAlign w:val="baseline"/>
                      <w:lang w:val="en-US" w:eastAsia="zh-CN"/>
                    </w:rPr>
                    <w:t>一</w:t>
                  </w:r>
                  <w:r>
                    <w:rPr>
                      <w:rFonts w:hint="eastAsia" w:ascii="Times New Roman" w:hAnsi="Times New Roman" w:eastAsia="宋体" w:cs="Times New Roman"/>
                      <w:sz w:val="21"/>
                      <w:szCs w:val="21"/>
                      <w:highlight w:val="none"/>
                      <w:vertAlign w:val="baseline"/>
                      <w:lang w:val="en-US" w:eastAsia="zh-CN"/>
                    </w:rPr>
                    <w:t>层</w:t>
                  </w:r>
                  <w:r>
                    <w:rPr>
                      <w:rFonts w:hint="eastAsia" w:cs="Times New Roman"/>
                      <w:sz w:val="21"/>
                      <w:szCs w:val="21"/>
                      <w:highlight w:val="none"/>
                      <w:vertAlign w:val="baseline"/>
                      <w:lang w:val="en-US" w:eastAsia="zh-CN"/>
                    </w:rPr>
                    <w:t>东南角处为</w:t>
                  </w:r>
                  <w:r>
                    <w:rPr>
                      <w:rFonts w:hint="eastAsia" w:ascii="Times New Roman" w:hAnsi="Times New Roman" w:eastAsia="宋体" w:cs="Times New Roman"/>
                      <w:sz w:val="21"/>
                      <w:szCs w:val="21"/>
                      <w:highlight w:val="none"/>
                      <w:vertAlign w:val="baseline"/>
                      <w:lang w:val="en-US" w:eastAsia="zh-CN"/>
                    </w:rPr>
                    <w:t>工具室、值班室、卫生间，</w:t>
                  </w:r>
                  <w:r>
                    <w:rPr>
                      <w:rFonts w:hint="eastAsia" w:cs="Times New Roman"/>
                      <w:sz w:val="21"/>
                      <w:szCs w:val="21"/>
                      <w:highlight w:val="none"/>
                      <w:vertAlign w:val="baseline"/>
                      <w:lang w:val="en-US" w:eastAsia="zh-CN"/>
                    </w:rPr>
                    <w:t>西南角</w:t>
                  </w:r>
                  <w:r>
                    <w:rPr>
                      <w:rFonts w:hint="eastAsia" w:ascii="Times New Roman" w:hAnsi="Times New Roman" w:eastAsia="宋体" w:cs="Times New Roman"/>
                      <w:sz w:val="21"/>
                      <w:szCs w:val="21"/>
                      <w:highlight w:val="none"/>
                      <w:vertAlign w:val="baseline"/>
                      <w:lang w:val="en-US" w:eastAsia="zh-CN"/>
                    </w:rPr>
                    <w:t>工具室、</w:t>
                  </w:r>
                  <w:r>
                    <w:rPr>
                      <w:rFonts w:hint="eastAsia" w:cs="Times New Roman"/>
                      <w:sz w:val="21"/>
                      <w:szCs w:val="21"/>
                      <w:highlight w:val="none"/>
                      <w:vertAlign w:val="baseline"/>
                      <w:lang w:val="en-US" w:eastAsia="zh-CN"/>
                    </w:rPr>
                    <w:t>高压配电室</w:t>
                  </w:r>
                  <w:r>
                    <w:rPr>
                      <w:rFonts w:hint="eastAsia" w:ascii="Times New Roman" w:hAnsi="Times New Roman" w:eastAsia="宋体" w:cs="Times New Roman"/>
                      <w:sz w:val="21"/>
                      <w:szCs w:val="21"/>
                      <w:highlight w:val="none"/>
                      <w:vertAlign w:val="baseline"/>
                      <w:lang w:val="en-US" w:eastAsia="zh-CN"/>
                    </w:rPr>
                    <w:t>。</w:t>
                  </w:r>
                  <w:r>
                    <w:rPr>
                      <w:rFonts w:hint="eastAsia" w:cs="Times New Roman"/>
                      <w:sz w:val="21"/>
                      <w:szCs w:val="21"/>
                      <w:highlight w:val="none"/>
                      <w:vertAlign w:val="baseline"/>
                      <w:lang w:val="en-US" w:eastAsia="zh-CN"/>
                    </w:rPr>
                    <w:t>西南角处夹层平台设置监控室和低压配电室，东南角处夹层平台设置更衣室和办公室</w:t>
                  </w:r>
                  <w:r>
                    <w:rPr>
                      <w:rFonts w:hint="eastAsia" w:ascii="Times New Roman" w:hAnsi="Times New Roman" w:eastAsia="宋体" w:cs="Times New Roman"/>
                      <w:sz w:val="21"/>
                      <w:szCs w:val="21"/>
                      <w:highlight w:val="none"/>
                      <w:vertAlign w:val="baseline"/>
                      <w:lang w:val="en-US" w:eastAsia="zh-CN"/>
                    </w:rPr>
                    <w:t>；</w:t>
                  </w:r>
                  <w:r>
                    <w:rPr>
                      <w:rFonts w:hint="eastAsia" w:cs="Times New Roman"/>
                      <w:sz w:val="21"/>
                      <w:szCs w:val="21"/>
                      <w:highlight w:val="none"/>
                      <w:vertAlign w:val="baseline"/>
                      <w:lang w:val="en-US" w:eastAsia="zh-CN"/>
                    </w:rPr>
                    <w:t>车间二</w:t>
                  </w:r>
                  <w:r>
                    <w:rPr>
                      <w:rFonts w:hint="eastAsia" w:ascii="Times New Roman" w:hAnsi="Times New Roman" w:eastAsia="宋体" w:cs="Times New Roman"/>
                      <w:sz w:val="21"/>
                      <w:szCs w:val="21"/>
                      <w:highlight w:val="none"/>
                      <w:vertAlign w:val="baseline"/>
                      <w:lang w:val="en-US" w:eastAsia="zh-CN"/>
                    </w:rPr>
                    <w:t>层</w:t>
                  </w:r>
                  <w:r>
                    <w:rPr>
                      <w:rFonts w:hint="eastAsia" w:cs="Times New Roman"/>
                      <w:sz w:val="21"/>
                      <w:szCs w:val="21"/>
                      <w:highlight w:val="none"/>
                      <w:vertAlign w:val="baseline"/>
                      <w:lang w:val="en-US" w:eastAsia="zh-CN"/>
                    </w:rPr>
                    <w:t>东南角处为</w:t>
                  </w:r>
                  <w:r>
                    <w:rPr>
                      <w:rFonts w:hint="eastAsia" w:ascii="Times New Roman" w:hAnsi="Times New Roman" w:eastAsia="宋体" w:cs="Times New Roman"/>
                      <w:sz w:val="21"/>
                      <w:szCs w:val="21"/>
                      <w:highlight w:val="none"/>
                      <w:vertAlign w:val="baseline"/>
                      <w:lang w:val="en-US" w:eastAsia="zh-CN"/>
                    </w:rPr>
                    <w:t>工具室、办公室、卫生间，</w:t>
                  </w:r>
                  <w:r>
                    <w:rPr>
                      <w:rFonts w:hint="eastAsia" w:cs="Times New Roman"/>
                      <w:sz w:val="21"/>
                      <w:szCs w:val="21"/>
                      <w:highlight w:val="none"/>
                      <w:vertAlign w:val="baseline"/>
                      <w:lang w:val="en-US" w:eastAsia="zh-CN"/>
                    </w:rPr>
                    <w:t>西南角处</w:t>
                  </w:r>
                  <w:r>
                    <w:rPr>
                      <w:rFonts w:hint="eastAsia" w:ascii="Times New Roman" w:hAnsi="Times New Roman" w:eastAsia="宋体" w:cs="Times New Roman"/>
                      <w:sz w:val="21"/>
                      <w:szCs w:val="21"/>
                      <w:highlight w:val="none"/>
                      <w:vertAlign w:val="baseline"/>
                      <w:lang w:val="en-US" w:eastAsia="zh-CN"/>
                    </w:rPr>
                    <w:t>为办公室。</w:t>
                  </w:r>
                </w:p>
              </w:tc>
              <w:tc>
                <w:tcPr>
                  <w:tcW w:w="433" w:type="pct"/>
                  <w:tcBorders>
                    <w:tl2br w:val="nil"/>
                    <w:tr2bl w:val="nil"/>
                  </w:tcBorders>
                  <w:noWrap w:val="0"/>
                  <w:vAlign w:val="center"/>
                </w:tcPr>
                <w:p w14:paraId="3BDB7BA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新建</w:t>
                  </w:r>
                </w:p>
              </w:tc>
            </w:tr>
            <w:tr w14:paraId="3750BF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588" w:hRule="atLeast"/>
                <w:jc w:val="center"/>
              </w:trPr>
              <w:tc>
                <w:tcPr>
                  <w:tcW w:w="416" w:type="pct"/>
                  <w:vMerge w:val="continue"/>
                  <w:tcBorders>
                    <w:tl2br w:val="nil"/>
                    <w:tr2bl w:val="nil"/>
                  </w:tcBorders>
                  <w:noWrap w:val="0"/>
                  <w:vAlign w:val="center"/>
                </w:tcPr>
                <w:p w14:paraId="48D6E8C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tcBorders>
                    <w:tl2br w:val="nil"/>
                    <w:tr2bl w:val="nil"/>
                  </w:tcBorders>
                  <w:noWrap w:val="0"/>
                  <w:tcMar>
                    <w:left w:w="28" w:type="dxa"/>
                    <w:right w:w="28" w:type="dxa"/>
                  </w:tcMar>
                  <w:vAlign w:val="center"/>
                </w:tcPr>
                <w:p w14:paraId="0FEACEA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cs="Times New Roman"/>
                      <w:color w:val="000000"/>
                      <w:kern w:val="2"/>
                      <w:sz w:val="21"/>
                      <w:szCs w:val="21"/>
                      <w:highlight w:val="none"/>
                      <w:lang w:val="en-US" w:eastAsia="zh-CN" w:bidi="ar-SA"/>
                    </w:rPr>
                    <w:t>综合办公楼</w:t>
                  </w:r>
                </w:p>
              </w:tc>
              <w:tc>
                <w:tcPr>
                  <w:tcW w:w="3479" w:type="pct"/>
                  <w:gridSpan w:val="2"/>
                  <w:tcBorders>
                    <w:tl2br w:val="nil"/>
                    <w:tr2bl w:val="nil"/>
                  </w:tcBorders>
                  <w:noWrap w:val="0"/>
                  <w:vAlign w:val="center"/>
                </w:tcPr>
                <w:p w14:paraId="585BC8B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厂区西南角处建设1栋综合办公楼，长39m，宽10m，高15m，分为5层。</w:t>
                  </w:r>
                </w:p>
              </w:tc>
              <w:tc>
                <w:tcPr>
                  <w:tcW w:w="433" w:type="pct"/>
                  <w:tcBorders>
                    <w:tl2br w:val="nil"/>
                    <w:tr2bl w:val="nil"/>
                  </w:tcBorders>
                  <w:noWrap w:val="0"/>
                  <w:vAlign w:val="center"/>
                </w:tcPr>
                <w:p w14:paraId="6D1BD74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p>
              </w:tc>
            </w:tr>
            <w:tr w14:paraId="396774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588" w:hRule="atLeast"/>
                <w:jc w:val="center"/>
              </w:trPr>
              <w:tc>
                <w:tcPr>
                  <w:tcW w:w="416" w:type="pct"/>
                  <w:vMerge w:val="continue"/>
                  <w:tcBorders>
                    <w:tl2br w:val="nil"/>
                    <w:tr2bl w:val="nil"/>
                  </w:tcBorders>
                  <w:noWrap w:val="0"/>
                  <w:vAlign w:val="center"/>
                </w:tcPr>
                <w:p w14:paraId="23AFFE8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tcBorders>
                    <w:tl2br w:val="nil"/>
                    <w:tr2bl w:val="nil"/>
                  </w:tcBorders>
                  <w:noWrap w:val="0"/>
                  <w:tcMar>
                    <w:left w:w="28" w:type="dxa"/>
                    <w:right w:w="28" w:type="dxa"/>
                  </w:tcMar>
                  <w:vAlign w:val="center"/>
                </w:tcPr>
                <w:p w14:paraId="6BE944A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循环水系统</w:t>
                  </w:r>
                </w:p>
              </w:tc>
              <w:tc>
                <w:tcPr>
                  <w:tcW w:w="3479" w:type="pct"/>
                  <w:gridSpan w:val="2"/>
                  <w:tcBorders>
                    <w:tl2br w:val="nil"/>
                    <w:tr2bl w:val="nil"/>
                  </w:tcBorders>
                  <w:noWrap w:val="0"/>
                  <w:vAlign w:val="center"/>
                </w:tcPr>
                <w:p w14:paraId="1B1D956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露天冷却塔下方设置</w:t>
                  </w:r>
                  <w:r>
                    <w:rPr>
                      <w:rFonts w:hint="eastAsia" w:cs="Times New Roman"/>
                      <w:sz w:val="21"/>
                      <w:szCs w:val="21"/>
                      <w:highlight w:val="none"/>
                      <w:vertAlign w:val="baseline"/>
                      <w:lang w:val="en-US" w:eastAsia="zh-CN"/>
                    </w:rPr>
                    <w:t>1座</w:t>
                  </w:r>
                  <w:r>
                    <w:rPr>
                      <w:rFonts w:hint="eastAsia" w:ascii="Times New Roman" w:hAnsi="Times New Roman" w:eastAsia="宋体" w:cs="Times New Roman"/>
                      <w:sz w:val="21"/>
                      <w:szCs w:val="21"/>
                      <w:highlight w:val="none"/>
                      <w:vertAlign w:val="baseline"/>
                      <w:lang w:val="en-US" w:eastAsia="zh-CN"/>
                    </w:rPr>
                    <w:t>冷水池和</w:t>
                  </w:r>
                  <w:r>
                    <w:rPr>
                      <w:rFonts w:hint="eastAsia" w:cs="Times New Roman"/>
                      <w:sz w:val="21"/>
                      <w:szCs w:val="21"/>
                      <w:highlight w:val="none"/>
                      <w:vertAlign w:val="baseline"/>
                      <w:lang w:val="en-US" w:eastAsia="zh-CN"/>
                    </w:rPr>
                    <w:t>1座</w:t>
                  </w:r>
                  <w:r>
                    <w:rPr>
                      <w:rFonts w:hint="eastAsia" w:ascii="Times New Roman" w:hAnsi="Times New Roman" w:eastAsia="宋体" w:cs="Times New Roman"/>
                      <w:sz w:val="21"/>
                      <w:szCs w:val="21"/>
                      <w:highlight w:val="none"/>
                      <w:vertAlign w:val="baseline"/>
                      <w:lang w:val="en-US" w:eastAsia="zh-CN"/>
                    </w:rPr>
                    <w:t>热水池，</w:t>
                  </w:r>
                  <w:r>
                    <w:rPr>
                      <w:rFonts w:hint="eastAsia" w:cs="Times New Roman"/>
                      <w:sz w:val="21"/>
                      <w:szCs w:val="21"/>
                      <w:highlight w:val="none"/>
                      <w:vertAlign w:val="baseline"/>
                      <w:lang w:val="en-US" w:eastAsia="zh-CN"/>
                    </w:rPr>
                    <w:t>规格均为9m×9m×3.5m，</w:t>
                  </w:r>
                  <w:r>
                    <w:rPr>
                      <w:rFonts w:hint="eastAsia" w:ascii="Times New Roman" w:hAnsi="Times New Roman" w:eastAsia="宋体" w:cs="Times New Roman"/>
                      <w:sz w:val="21"/>
                      <w:szCs w:val="21"/>
                      <w:highlight w:val="none"/>
                      <w:vertAlign w:val="baseline"/>
                      <w:lang w:val="en-US" w:eastAsia="zh-CN"/>
                    </w:rPr>
                    <w:t>露天冷却塔东侧为一座半地下式循环水泵房</w:t>
                  </w:r>
                  <w:r>
                    <w:rPr>
                      <w:rFonts w:hint="eastAsia" w:cs="Times New Roman"/>
                      <w:sz w:val="21"/>
                      <w:szCs w:val="21"/>
                      <w:highlight w:val="none"/>
                      <w:vertAlign w:val="baseline"/>
                      <w:lang w:val="en-US" w:eastAsia="zh-CN"/>
                    </w:rPr>
                    <w:t>，规格为18m×9m×7m</w:t>
                  </w:r>
                  <w:r>
                    <w:rPr>
                      <w:rFonts w:hint="eastAsia" w:ascii="Times New Roman" w:hAnsi="Times New Roman" w:eastAsia="宋体" w:cs="Times New Roman"/>
                      <w:sz w:val="21"/>
                      <w:szCs w:val="21"/>
                      <w:highlight w:val="none"/>
                      <w:vertAlign w:val="baseline"/>
                      <w:lang w:val="en-US" w:eastAsia="zh-CN"/>
                    </w:rPr>
                    <w:t>。</w:t>
                  </w:r>
                </w:p>
              </w:tc>
              <w:tc>
                <w:tcPr>
                  <w:tcW w:w="433" w:type="pct"/>
                  <w:tcBorders>
                    <w:tl2br w:val="nil"/>
                    <w:tr2bl w:val="nil"/>
                  </w:tcBorders>
                  <w:noWrap w:val="0"/>
                  <w:vAlign w:val="center"/>
                </w:tcPr>
                <w:p w14:paraId="2CA8D15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新建</w:t>
                  </w:r>
                </w:p>
              </w:tc>
            </w:tr>
            <w:tr w14:paraId="1411A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460" w:hRule="atLeast"/>
                <w:jc w:val="center"/>
              </w:trPr>
              <w:tc>
                <w:tcPr>
                  <w:tcW w:w="416" w:type="pct"/>
                  <w:vMerge w:val="restart"/>
                  <w:tcBorders>
                    <w:tl2br w:val="nil"/>
                    <w:tr2bl w:val="nil"/>
                  </w:tcBorders>
                  <w:noWrap w:val="0"/>
                  <w:vAlign w:val="center"/>
                </w:tcPr>
                <w:p w14:paraId="3B13DE7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储运工程</w:t>
                  </w:r>
                </w:p>
              </w:tc>
              <w:tc>
                <w:tcPr>
                  <w:tcW w:w="671" w:type="pct"/>
                  <w:tcBorders>
                    <w:tl2br w:val="nil"/>
                    <w:tr2bl w:val="nil"/>
                  </w:tcBorders>
                  <w:noWrap w:val="0"/>
                  <w:tcMar>
                    <w:left w:w="28" w:type="dxa"/>
                    <w:right w:w="28" w:type="dxa"/>
                  </w:tcMar>
                  <w:vAlign w:val="center"/>
                </w:tcPr>
                <w:p w14:paraId="3C56B28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原料</w:t>
                  </w:r>
                  <w:r>
                    <w:rPr>
                      <w:rFonts w:hint="eastAsia" w:cs="Times New Roman"/>
                      <w:sz w:val="21"/>
                      <w:szCs w:val="21"/>
                      <w:highlight w:val="none"/>
                      <w:lang w:val="en-US" w:eastAsia="zh-CN"/>
                    </w:rPr>
                    <w:t>区</w:t>
                  </w:r>
                </w:p>
              </w:tc>
              <w:tc>
                <w:tcPr>
                  <w:tcW w:w="3479" w:type="pct"/>
                  <w:gridSpan w:val="2"/>
                  <w:tcBorders>
                    <w:tl2br w:val="nil"/>
                    <w:tr2bl w:val="nil"/>
                  </w:tcBorders>
                  <w:noWrap w:val="0"/>
                  <w:vAlign w:val="center"/>
                </w:tcPr>
                <w:p w14:paraId="4A7E00A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lang w:val="en-US" w:eastAsia="zh-CN"/>
                    </w:rPr>
                    <w:t>原料储存于</w:t>
                  </w:r>
                  <w:r>
                    <w:rPr>
                      <w:rFonts w:hint="eastAsia" w:ascii="Times New Roman" w:hAnsi="Times New Roman" w:eastAsia="宋体" w:cs="Times New Roman"/>
                      <w:sz w:val="21"/>
                      <w:szCs w:val="21"/>
                      <w:highlight w:val="none"/>
                      <w:lang w:val="en-US" w:eastAsia="zh-CN"/>
                    </w:rPr>
                    <w:t>生产车间一层</w:t>
                  </w:r>
                  <w:r>
                    <w:rPr>
                      <w:rFonts w:hint="eastAsia" w:cs="Times New Roman"/>
                      <w:sz w:val="21"/>
                      <w:szCs w:val="21"/>
                      <w:highlight w:val="none"/>
                      <w:lang w:val="en-US" w:eastAsia="zh-CN"/>
                    </w:rPr>
                    <w:t>原料处理区</w:t>
                  </w:r>
                  <w:r>
                    <w:rPr>
                      <w:rFonts w:hint="eastAsia" w:ascii="Times New Roman" w:hAnsi="Times New Roman" w:eastAsia="宋体" w:cs="Times New Roman"/>
                      <w:sz w:val="21"/>
                      <w:szCs w:val="21"/>
                      <w:highlight w:val="none"/>
                      <w:lang w:val="en-US" w:eastAsia="zh-CN"/>
                    </w:rPr>
                    <w:t>，占地面积约</w:t>
                  </w:r>
                  <w:r>
                    <w:rPr>
                      <w:rFonts w:hint="eastAsia" w:cs="Times New Roman"/>
                      <w:sz w:val="21"/>
                      <w:szCs w:val="21"/>
                      <w:highlight w:val="none"/>
                      <w:lang w:val="en-US" w:eastAsia="zh-CN"/>
                    </w:rPr>
                    <w:t>150</w:t>
                  </w:r>
                  <w:r>
                    <w:rPr>
                      <w:rFonts w:hint="eastAsia" w:ascii="Times New Roman" w:hAnsi="Times New Roman" w:eastAsia="宋体" w:cs="Times New Roman"/>
                      <w:sz w:val="21"/>
                      <w:szCs w:val="21"/>
                      <w:highlight w:val="none"/>
                      <w:lang w:val="en-US" w:eastAsia="zh-CN"/>
                    </w:rPr>
                    <w:t>m</w:t>
                  </w:r>
                  <w:r>
                    <w:rPr>
                      <w:rFonts w:hint="eastAsia" w:ascii="Times New Roman" w:hAnsi="Times New Roman" w:eastAsia="宋体" w:cs="Times New Roman"/>
                      <w:sz w:val="21"/>
                      <w:szCs w:val="21"/>
                      <w:highlight w:val="none"/>
                      <w:vertAlign w:val="superscript"/>
                      <w:lang w:val="en-US" w:eastAsia="zh-CN"/>
                    </w:rPr>
                    <w:t>2</w:t>
                  </w:r>
                  <w:r>
                    <w:rPr>
                      <w:rFonts w:hint="eastAsia" w:ascii="Times New Roman" w:hAnsi="Times New Roman" w:eastAsia="宋体" w:cs="Times New Roman"/>
                      <w:sz w:val="21"/>
                      <w:szCs w:val="21"/>
                      <w:highlight w:val="none"/>
                      <w:vertAlign w:val="baseline"/>
                      <w:lang w:val="en-US" w:eastAsia="zh-CN"/>
                    </w:rPr>
                    <w:t>。</w:t>
                  </w:r>
                </w:p>
              </w:tc>
              <w:tc>
                <w:tcPr>
                  <w:tcW w:w="433" w:type="pct"/>
                  <w:tcBorders>
                    <w:tl2br w:val="nil"/>
                    <w:tr2bl w:val="nil"/>
                  </w:tcBorders>
                  <w:noWrap w:val="0"/>
                  <w:vAlign w:val="center"/>
                </w:tcPr>
                <w:p w14:paraId="27685AD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新建</w:t>
                  </w:r>
                </w:p>
              </w:tc>
            </w:tr>
            <w:tr w14:paraId="7370E9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460" w:hRule="atLeast"/>
                <w:jc w:val="center"/>
              </w:trPr>
              <w:tc>
                <w:tcPr>
                  <w:tcW w:w="416" w:type="pct"/>
                  <w:vMerge w:val="continue"/>
                  <w:tcBorders>
                    <w:tl2br w:val="nil"/>
                    <w:tr2bl w:val="nil"/>
                  </w:tcBorders>
                  <w:noWrap w:val="0"/>
                  <w:vAlign w:val="center"/>
                </w:tcPr>
                <w:p w14:paraId="026D637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p>
              </w:tc>
              <w:tc>
                <w:tcPr>
                  <w:tcW w:w="671" w:type="pct"/>
                  <w:tcBorders>
                    <w:tl2br w:val="nil"/>
                    <w:tr2bl w:val="nil"/>
                  </w:tcBorders>
                  <w:noWrap w:val="0"/>
                  <w:tcMar>
                    <w:left w:w="28" w:type="dxa"/>
                    <w:right w:w="28" w:type="dxa"/>
                  </w:tcMar>
                  <w:vAlign w:val="center"/>
                </w:tcPr>
                <w:p w14:paraId="0417D49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成品</w:t>
                  </w:r>
                  <w:r>
                    <w:rPr>
                      <w:rFonts w:hint="eastAsia" w:cs="Times New Roman"/>
                      <w:sz w:val="21"/>
                      <w:szCs w:val="21"/>
                      <w:highlight w:val="none"/>
                      <w:lang w:val="en-US" w:eastAsia="zh-CN"/>
                    </w:rPr>
                    <w:t>区</w:t>
                  </w:r>
                </w:p>
              </w:tc>
              <w:tc>
                <w:tcPr>
                  <w:tcW w:w="3479" w:type="pct"/>
                  <w:gridSpan w:val="2"/>
                  <w:tcBorders>
                    <w:tl2br w:val="nil"/>
                    <w:tr2bl w:val="nil"/>
                  </w:tcBorders>
                  <w:noWrap w:val="0"/>
                  <w:vAlign w:val="center"/>
                </w:tcPr>
                <w:p w14:paraId="7F76ABF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位于生产车间二层，占地面积约</w:t>
                  </w:r>
                  <w:r>
                    <w:rPr>
                      <w:rFonts w:hint="eastAsia" w:cs="Times New Roman"/>
                      <w:sz w:val="21"/>
                      <w:szCs w:val="21"/>
                      <w:highlight w:val="none"/>
                      <w:lang w:val="en-US" w:eastAsia="zh-CN"/>
                    </w:rPr>
                    <w:t>1000</w:t>
                  </w:r>
                  <w:r>
                    <w:rPr>
                      <w:rFonts w:hint="eastAsia" w:ascii="Times New Roman" w:hAnsi="Times New Roman" w:eastAsia="宋体" w:cs="Times New Roman"/>
                      <w:sz w:val="21"/>
                      <w:szCs w:val="21"/>
                      <w:highlight w:val="none"/>
                      <w:lang w:val="en-US" w:eastAsia="zh-CN"/>
                    </w:rPr>
                    <w:t>m</w:t>
                  </w:r>
                  <w:r>
                    <w:rPr>
                      <w:rFonts w:hint="eastAsia" w:ascii="Times New Roman" w:hAnsi="Times New Roman" w:eastAsia="宋体" w:cs="Times New Roman"/>
                      <w:sz w:val="21"/>
                      <w:szCs w:val="21"/>
                      <w:highlight w:val="none"/>
                      <w:vertAlign w:val="superscript"/>
                      <w:lang w:val="en-US" w:eastAsia="zh-CN"/>
                    </w:rPr>
                    <w:t>2</w:t>
                  </w:r>
                  <w:r>
                    <w:rPr>
                      <w:rFonts w:hint="eastAsia" w:ascii="Times New Roman" w:hAnsi="Times New Roman" w:eastAsia="宋体" w:cs="Times New Roman"/>
                      <w:sz w:val="21"/>
                      <w:szCs w:val="21"/>
                      <w:highlight w:val="none"/>
                      <w:vertAlign w:val="baseline"/>
                      <w:lang w:val="en-US" w:eastAsia="zh-CN"/>
                    </w:rPr>
                    <w:t>。</w:t>
                  </w:r>
                </w:p>
              </w:tc>
              <w:tc>
                <w:tcPr>
                  <w:tcW w:w="433" w:type="pct"/>
                  <w:tcBorders>
                    <w:tl2br w:val="nil"/>
                    <w:tr2bl w:val="nil"/>
                  </w:tcBorders>
                  <w:noWrap w:val="0"/>
                  <w:vAlign w:val="center"/>
                </w:tcPr>
                <w:p w14:paraId="07521BC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新建</w:t>
                  </w:r>
                </w:p>
              </w:tc>
            </w:tr>
            <w:tr w14:paraId="55242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75" w:hRule="atLeast"/>
                <w:jc w:val="center"/>
              </w:trPr>
              <w:tc>
                <w:tcPr>
                  <w:tcW w:w="416" w:type="pct"/>
                  <w:vMerge w:val="restart"/>
                  <w:tcBorders>
                    <w:tl2br w:val="nil"/>
                    <w:tr2bl w:val="nil"/>
                  </w:tcBorders>
                  <w:noWrap w:val="0"/>
                  <w:vAlign w:val="center"/>
                </w:tcPr>
                <w:p w14:paraId="6EF48EE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公用</w:t>
                  </w:r>
                </w:p>
                <w:p w14:paraId="399603F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工程</w:t>
                  </w:r>
                </w:p>
              </w:tc>
              <w:tc>
                <w:tcPr>
                  <w:tcW w:w="671" w:type="pct"/>
                  <w:tcBorders>
                    <w:tl2br w:val="nil"/>
                    <w:tr2bl w:val="nil"/>
                  </w:tcBorders>
                  <w:noWrap w:val="0"/>
                  <w:tcMar>
                    <w:left w:w="28" w:type="dxa"/>
                    <w:right w:w="28" w:type="dxa"/>
                  </w:tcMar>
                  <w:vAlign w:val="center"/>
                </w:tcPr>
                <w:p w14:paraId="4870709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sz w:val="21"/>
                      <w:szCs w:val="21"/>
                      <w:highlight w:val="none"/>
                    </w:rPr>
                    <w:t>供电</w:t>
                  </w:r>
                </w:p>
              </w:tc>
              <w:tc>
                <w:tcPr>
                  <w:tcW w:w="3479" w:type="pct"/>
                  <w:gridSpan w:val="2"/>
                  <w:tcBorders>
                    <w:tl2br w:val="nil"/>
                    <w:tr2bl w:val="nil"/>
                  </w:tcBorders>
                  <w:noWrap w:val="0"/>
                  <w:vAlign w:val="center"/>
                </w:tcPr>
                <w:p w14:paraId="4C5FD2A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本项目用电由集店镇变电所接入，厂区设置120kVA的变压器。</w:t>
                  </w:r>
                </w:p>
              </w:tc>
              <w:tc>
                <w:tcPr>
                  <w:tcW w:w="433" w:type="pct"/>
                  <w:tcBorders>
                    <w:tl2br w:val="nil"/>
                    <w:tr2bl w:val="nil"/>
                  </w:tcBorders>
                  <w:noWrap w:val="0"/>
                  <w:vAlign w:val="center"/>
                </w:tcPr>
                <w:p w14:paraId="45C5E4E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000000"/>
                      <w:kern w:val="2"/>
                      <w:sz w:val="21"/>
                      <w:szCs w:val="21"/>
                      <w:highlight w:val="none"/>
                      <w:lang w:val="en-US" w:eastAsia="zh-CN" w:bidi="ar-SA"/>
                    </w:rPr>
                    <w:t>新建</w:t>
                  </w:r>
                </w:p>
              </w:tc>
            </w:tr>
            <w:tr w14:paraId="209156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410" w:hRule="atLeast"/>
                <w:jc w:val="center"/>
              </w:trPr>
              <w:tc>
                <w:tcPr>
                  <w:tcW w:w="416" w:type="pct"/>
                  <w:vMerge w:val="continue"/>
                  <w:tcBorders>
                    <w:tl2br w:val="nil"/>
                    <w:tr2bl w:val="nil"/>
                  </w:tcBorders>
                  <w:noWrap w:val="0"/>
                  <w:vAlign w:val="center"/>
                </w:tcPr>
                <w:p w14:paraId="3DC6D08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tcBorders>
                    <w:tl2br w:val="nil"/>
                    <w:tr2bl w:val="nil"/>
                  </w:tcBorders>
                  <w:noWrap w:val="0"/>
                  <w:tcMar>
                    <w:left w:w="28" w:type="dxa"/>
                    <w:right w:w="28" w:type="dxa"/>
                  </w:tcMar>
                  <w:vAlign w:val="center"/>
                </w:tcPr>
                <w:p w14:paraId="780AAC6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sz w:val="21"/>
                      <w:szCs w:val="21"/>
                      <w:highlight w:val="none"/>
                    </w:rPr>
                    <w:t>供水</w:t>
                  </w:r>
                </w:p>
              </w:tc>
              <w:tc>
                <w:tcPr>
                  <w:tcW w:w="3479" w:type="pct"/>
                  <w:gridSpan w:val="2"/>
                  <w:tcBorders>
                    <w:tl2br w:val="nil"/>
                    <w:tr2bl w:val="nil"/>
                  </w:tcBorders>
                  <w:noWrap w:val="0"/>
                  <w:vAlign w:val="center"/>
                </w:tcPr>
                <w:p w14:paraId="18B7B7C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生活用水</w:t>
                  </w:r>
                  <w:r>
                    <w:rPr>
                      <w:rFonts w:hint="eastAsia" w:cs="Times New Roman"/>
                      <w:sz w:val="21"/>
                      <w:szCs w:val="21"/>
                      <w:highlight w:val="none"/>
                      <w:lang w:val="en-US" w:eastAsia="zh-CN"/>
                    </w:rPr>
                    <w:t>由壶关经济开发区自来水管网供给</w:t>
                  </w:r>
                  <w:r>
                    <w:rPr>
                      <w:rFonts w:hint="eastAsia" w:ascii="Times New Roman" w:hAnsi="Times New Roman" w:eastAsia="宋体" w:cs="Times New Roman"/>
                      <w:sz w:val="21"/>
                      <w:szCs w:val="21"/>
                      <w:highlight w:val="none"/>
                      <w:lang w:val="en-US" w:eastAsia="zh-CN"/>
                    </w:rPr>
                    <w:t>，开发区建设了DN</w:t>
                  </w:r>
                  <w:r>
                    <w:rPr>
                      <w:rFonts w:hint="eastAsia" w:cs="Times New Roman"/>
                      <w:sz w:val="21"/>
                      <w:szCs w:val="21"/>
                      <w:highlight w:val="none"/>
                      <w:lang w:val="en-US" w:eastAsia="zh-CN"/>
                    </w:rPr>
                    <w:t>300</w:t>
                  </w:r>
                  <w:r>
                    <w:rPr>
                      <w:rFonts w:hint="eastAsia" w:ascii="Times New Roman" w:hAnsi="Times New Roman" w:eastAsia="宋体" w:cs="Times New Roman"/>
                      <w:sz w:val="21"/>
                      <w:szCs w:val="21"/>
                      <w:highlight w:val="none"/>
                      <w:lang w:val="en-US" w:eastAsia="zh-CN"/>
                    </w:rPr>
                    <w:t>的管道。生产用水接自县城再生水厂，开发区建设了DN100的管道。</w:t>
                  </w:r>
                </w:p>
              </w:tc>
              <w:tc>
                <w:tcPr>
                  <w:tcW w:w="433" w:type="pct"/>
                  <w:tcBorders>
                    <w:tl2br w:val="nil"/>
                    <w:tr2bl w:val="nil"/>
                  </w:tcBorders>
                  <w:noWrap w:val="0"/>
                  <w:vAlign w:val="center"/>
                </w:tcPr>
                <w:p w14:paraId="1F33157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000000"/>
                      <w:kern w:val="2"/>
                      <w:sz w:val="21"/>
                      <w:szCs w:val="21"/>
                      <w:highlight w:val="none"/>
                      <w:lang w:val="en-US" w:eastAsia="zh-CN" w:bidi="ar-SA"/>
                    </w:rPr>
                    <w:t>新建</w:t>
                  </w:r>
                </w:p>
              </w:tc>
            </w:tr>
            <w:tr w14:paraId="28CC4E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102" w:hRule="atLeast"/>
                <w:jc w:val="center"/>
              </w:trPr>
              <w:tc>
                <w:tcPr>
                  <w:tcW w:w="416" w:type="pct"/>
                  <w:vMerge w:val="continue"/>
                  <w:tcBorders>
                    <w:tl2br w:val="nil"/>
                    <w:tr2bl w:val="nil"/>
                  </w:tcBorders>
                  <w:noWrap w:val="0"/>
                  <w:vAlign w:val="center"/>
                </w:tcPr>
                <w:p w14:paraId="78352FA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tcBorders>
                    <w:tl2br w:val="nil"/>
                    <w:tr2bl w:val="nil"/>
                  </w:tcBorders>
                  <w:noWrap w:val="0"/>
                  <w:tcMar>
                    <w:left w:w="28" w:type="dxa"/>
                    <w:right w:w="28" w:type="dxa"/>
                  </w:tcMar>
                  <w:vAlign w:val="center"/>
                </w:tcPr>
                <w:p w14:paraId="146ED8B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sz w:val="21"/>
                      <w:szCs w:val="21"/>
                      <w:highlight w:val="none"/>
                      <w:lang w:eastAsia="zh-CN"/>
                    </w:rPr>
                    <w:t>供暖</w:t>
                  </w:r>
                </w:p>
              </w:tc>
              <w:tc>
                <w:tcPr>
                  <w:tcW w:w="3479" w:type="pct"/>
                  <w:gridSpan w:val="2"/>
                  <w:tcBorders>
                    <w:tl2br w:val="nil"/>
                    <w:tr2bl w:val="nil"/>
                  </w:tcBorders>
                  <w:noWrap w:val="0"/>
                  <w:vAlign w:val="center"/>
                </w:tcPr>
                <w:p w14:paraId="4BCE676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办公区采暖采用电空调供暖</w:t>
                  </w:r>
                  <w:r>
                    <w:rPr>
                      <w:rFonts w:hint="eastAsia" w:ascii="Times New Roman" w:hAnsi="Times New Roman" w:eastAsia="宋体" w:cs="Times New Roman"/>
                      <w:sz w:val="21"/>
                      <w:szCs w:val="21"/>
                      <w:highlight w:val="none"/>
                      <w:lang w:val="en-US" w:eastAsia="zh-CN"/>
                    </w:rPr>
                    <w:t>，生产区不供暖</w:t>
                  </w:r>
                  <w:r>
                    <w:rPr>
                      <w:rFonts w:hint="default" w:ascii="Times New Roman" w:hAnsi="Times New Roman" w:eastAsia="宋体" w:cs="Times New Roman"/>
                      <w:sz w:val="21"/>
                      <w:szCs w:val="21"/>
                      <w:highlight w:val="none"/>
                      <w:lang w:val="en-US" w:eastAsia="zh-CN"/>
                    </w:rPr>
                    <w:t>。</w:t>
                  </w:r>
                </w:p>
              </w:tc>
              <w:tc>
                <w:tcPr>
                  <w:tcW w:w="433" w:type="pct"/>
                  <w:tcBorders>
                    <w:tl2br w:val="nil"/>
                    <w:tr2bl w:val="nil"/>
                  </w:tcBorders>
                  <w:noWrap w:val="0"/>
                  <w:vAlign w:val="center"/>
                </w:tcPr>
                <w:p w14:paraId="2B90D0B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000000"/>
                      <w:kern w:val="2"/>
                      <w:sz w:val="21"/>
                      <w:szCs w:val="21"/>
                      <w:highlight w:val="none"/>
                      <w:lang w:val="en-US" w:eastAsia="zh-CN" w:bidi="ar-SA"/>
                    </w:rPr>
                    <w:t>新建</w:t>
                  </w:r>
                </w:p>
              </w:tc>
            </w:tr>
            <w:tr w14:paraId="6011B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restart"/>
                  <w:tcBorders>
                    <w:tl2br w:val="nil"/>
                    <w:tr2bl w:val="nil"/>
                  </w:tcBorders>
                  <w:noWrap w:val="0"/>
                  <w:vAlign w:val="center"/>
                </w:tcPr>
                <w:p w14:paraId="696E0B5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环保</w:t>
                  </w:r>
                </w:p>
                <w:p w14:paraId="662481D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工程</w:t>
                  </w:r>
                </w:p>
              </w:tc>
              <w:tc>
                <w:tcPr>
                  <w:tcW w:w="671" w:type="pct"/>
                  <w:vMerge w:val="restart"/>
                  <w:tcBorders>
                    <w:tl2br w:val="nil"/>
                    <w:tr2bl w:val="nil"/>
                  </w:tcBorders>
                  <w:noWrap w:val="0"/>
                  <w:tcMar>
                    <w:left w:w="28" w:type="dxa"/>
                    <w:right w:w="28" w:type="dxa"/>
                  </w:tcMar>
                  <w:vAlign w:val="center"/>
                </w:tcPr>
                <w:p w14:paraId="2C0B350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废气</w:t>
                  </w:r>
                </w:p>
              </w:tc>
              <w:tc>
                <w:tcPr>
                  <w:tcW w:w="936" w:type="pct"/>
                  <w:tcBorders>
                    <w:tl2br w:val="nil"/>
                    <w:tr2bl w:val="nil"/>
                  </w:tcBorders>
                  <w:noWrap w:val="0"/>
                  <w:vAlign w:val="center"/>
                </w:tcPr>
                <w:p w14:paraId="62C2CC3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除锈</w:t>
                  </w:r>
                  <w:r>
                    <w:rPr>
                      <w:rFonts w:hint="eastAsia" w:ascii="Times New Roman" w:hAnsi="Times New Roman" w:eastAsia="宋体" w:cs="Times New Roman"/>
                      <w:sz w:val="21"/>
                      <w:szCs w:val="21"/>
                      <w:highlight w:val="none"/>
                      <w:lang w:val="en-US" w:eastAsia="zh-CN"/>
                    </w:rPr>
                    <w:t>废气</w:t>
                  </w:r>
                </w:p>
              </w:tc>
              <w:tc>
                <w:tcPr>
                  <w:tcW w:w="2543" w:type="pct"/>
                  <w:tcBorders>
                    <w:tl2br w:val="nil"/>
                    <w:tr2bl w:val="nil"/>
                  </w:tcBorders>
                  <w:noWrap w:val="0"/>
                  <w:vAlign w:val="center"/>
                </w:tcPr>
                <w:p w14:paraId="5866AD4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设置集气罩，</w:t>
                  </w:r>
                  <w:r>
                    <w:rPr>
                      <w:rFonts w:hint="eastAsia" w:cs="Times New Roman"/>
                      <w:sz w:val="21"/>
                      <w:szCs w:val="21"/>
                      <w:highlight w:val="none"/>
                      <w:lang w:val="en-US" w:eastAsia="zh-CN"/>
                    </w:rPr>
                    <w:t>风机风量5500m</w:t>
                  </w:r>
                  <w:r>
                    <w:rPr>
                      <w:rFonts w:hint="eastAsia" w:cs="Times New Roman"/>
                      <w:sz w:val="21"/>
                      <w:szCs w:val="21"/>
                      <w:highlight w:val="none"/>
                      <w:vertAlign w:val="superscript"/>
                      <w:lang w:val="en-US" w:eastAsia="zh-CN"/>
                    </w:rPr>
                    <w:t>3</w:t>
                  </w:r>
                  <w:r>
                    <w:rPr>
                      <w:rFonts w:hint="eastAsia" w:cs="Times New Roman"/>
                      <w:sz w:val="21"/>
                      <w:szCs w:val="21"/>
                      <w:highlight w:val="none"/>
                      <w:vertAlign w:val="baseline"/>
                      <w:lang w:val="en-US" w:eastAsia="zh-CN"/>
                    </w:rPr>
                    <w:t>/h，</w:t>
                  </w:r>
                  <w:r>
                    <w:rPr>
                      <w:rFonts w:hint="eastAsia" w:ascii="Times New Roman" w:hAnsi="Times New Roman" w:eastAsia="宋体" w:cs="Times New Roman"/>
                      <w:sz w:val="21"/>
                      <w:szCs w:val="21"/>
                      <w:highlight w:val="none"/>
                      <w:lang w:val="en-US" w:eastAsia="zh-CN"/>
                    </w:rPr>
                    <w:t>废气收集后经袋式除尘器处理后经15m高排气筒排放。</w:t>
                  </w:r>
                </w:p>
              </w:tc>
              <w:tc>
                <w:tcPr>
                  <w:tcW w:w="433" w:type="pct"/>
                  <w:tcBorders>
                    <w:tl2br w:val="nil"/>
                    <w:tr2bl w:val="nil"/>
                  </w:tcBorders>
                  <w:noWrap w:val="0"/>
                  <w:vAlign w:val="center"/>
                </w:tcPr>
                <w:p w14:paraId="46EE925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新建</w:t>
                  </w:r>
                </w:p>
              </w:tc>
            </w:tr>
            <w:tr w14:paraId="482222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1CC5654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48B155F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6E3266A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color w:val="auto"/>
                      <w:spacing w:val="-6"/>
                      <w:kern w:val="0"/>
                      <w:sz w:val="21"/>
                      <w:szCs w:val="21"/>
                      <w:highlight w:val="none"/>
                      <w:vertAlign w:val="baseline"/>
                      <w:lang w:val="en-US" w:eastAsia="zh-CN" w:bidi="ar-SA"/>
                    </w:rPr>
                    <w:t>氢碎炉含尘废气</w:t>
                  </w:r>
                </w:p>
              </w:tc>
              <w:tc>
                <w:tcPr>
                  <w:tcW w:w="2543" w:type="pct"/>
                  <w:tcBorders>
                    <w:tl2br w:val="nil"/>
                    <w:tr2bl w:val="nil"/>
                  </w:tcBorders>
                  <w:noWrap w:val="0"/>
                  <w:vAlign w:val="center"/>
                </w:tcPr>
                <w:p w14:paraId="3F3E7B9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pacing w:val="0"/>
                      <w:kern w:val="0"/>
                      <w:sz w:val="21"/>
                      <w:szCs w:val="21"/>
                      <w:highlight w:val="none"/>
                      <w:lang w:val="en-US" w:eastAsia="zh-CN" w:bidi="ar-SA"/>
                    </w:rPr>
                    <w:t>脱氢过程产生的含尘废气经2台氢碎炉各自配备的</w:t>
                  </w:r>
                  <w:r>
                    <w:rPr>
                      <w:rFonts w:hint="default" w:ascii="Times New Roman" w:hAnsi="Times New Roman" w:eastAsia="宋体" w:cs="Times New Roman"/>
                      <w:color w:val="auto"/>
                      <w:spacing w:val="0"/>
                      <w:kern w:val="0"/>
                      <w:sz w:val="21"/>
                      <w:szCs w:val="21"/>
                      <w:highlight w:val="none"/>
                      <w:lang w:val="en-US" w:eastAsia="zh-CN" w:bidi="ar-SA"/>
                    </w:rPr>
                    <w:t>超细粉过滤器</w:t>
                  </w:r>
                  <w:r>
                    <w:rPr>
                      <w:rFonts w:hint="eastAsia" w:ascii="Times New Roman" w:hAnsi="Times New Roman" w:eastAsia="宋体" w:cs="Times New Roman"/>
                      <w:color w:val="auto"/>
                      <w:spacing w:val="0"/>
                      <w:kern w:val="0"/>
                      <w:sz w:val="21"/>
                      <w:szCs w:val="21"/>
                      <w:highlight w:val="none"/>
                      <w:lang w:val="en-US" w:eastAsia="zh-CN" w:bidi="ar-SA"/>
                    </w:rPr>
                    <w:t>过滤后</w:t>
                  </w:r>
                  <w:r>
                    <w:rPr>
                      <w:rFonts w:hint="eastAsia" w:cs="Times New Roman"/>
                      <w:color w:val="auto"/>
                      <w:spacing w:val="0"/>
                      <w:kern w:val="0"/>
                      <w:sz w:val="21"/>
                      <w:szCs w:val="21"/>
                      <w:highlight w:val="none"/>
                      <w:lang w:val="en-US" w:eastAsia="zh-CN" w:bidi="ar-SA"/>
                    </w:rPr>
                    <w:t>分别</w:t>
                  </w:r>
                  <w:r>
                    <w:rPr>
                      <w:rFonts w:hint="default" w:ascii="Times New Roman" w:hAnsi="Times New Roman" w:eastAsia="宋体" w:cs="Times New Roman"/>
                      <w:b w:val="0"/>
                      <w:bCs w:val="0"/>
                      <w:color w:val="auto"/>
                      <w:spacing w:val="0"/>
                      <w:kern w:val="0"/>
                      <w:sz w:val="21"/>
                      <w:szCs w:val="21"/>
                      <w:highlight w:val="none"/>
                      <w:vertAlign w:val="baseline"/>
                      <w:lang w:val="en-US" w:eastAsia="zh-CN" w:bidi="ar-SA"/>
                    </w:rPr>
                    <w:t>由</w:t>
                  </w:r>
                  <w:r>
                    <w:rPr>
                      <w:rFonts w:hint="eastAsia" w:ascii="Times New Roman" w:hAnsi="Times New Roman" w:eastAsia="宋体" w:cs="Times New Roman"/>
                      <w:b w:val="0"/>
                      <w:bCs w:val="0"/>
                      <w:color w:val="auto"/>
                      <w:spacing w:val="0"/>
                      <w:kern w:val="0"/>
                      <w:sz w:val="21"/>
                      <w:szCs w:val="21"/>
                      <w:highlight w:val="none"/>
                      <w:vertAlign w:val="baseline"/>
                      <w:lang w:val="en-US" w:eastAsia="zh-CN" w:bidi="ar-SA"/>
                    </w:rPr>
                    <w:t>15</w:t>
                  </w:r>
                  <w:r>
                    <w:rPr>
                      <w:rFonts w:hint="default" w:ascii="Times New Roman" w:hAnsi="Times New Roman" w:eastAsia="宋体" w:cs="Times New Roman"/>
                      <w:b w:val="0"/>
                      <w:bCs w:val="0"/>
                      <w:color w:val="auto"/>
                      <w:spacing w:val="0"/>
                      <w:kern w:val="0"/>
                      <w:sz w:val="21"/>
                      <w:szCs w:val="21"/>
                      <w:highlight w:val="none"/>
                      <w:vertAlign w:val="baseline"/>
                      <w:lang w:val="en-US" w:eastAsia="zh-CN" w:bidi="ar-SA"/>
                    </w:rPr>
                    <w:t>m高排气筒排放</w:t>
                  </w:r>
                  <w:r>
                    <w:rPr>
                      <w:rFonts w:hint="eastAsia" w:cs="Times New Roman"/>
                      <w:b w:val="0"/>
                      <w:bCs w:val="0"/>
                      <w:color w:val="auto"/>
                      <w:spacing w:val="0"/>
                      <w:kern w:val="0"/>
                      <w:sz w:val="21"/>
                      <w:szCs w:val="21"/>
                      <w:highlight w:val="none"/>
                      <w:vertAlign w:val="baseline"/>
                      <w:lang w:val="en-US" w:eastAsia="zh-CN" w:bidi="ar-SA"/>
                    </w:rPr>
                    <w:t>。</w:t>
                  </w:r>
                </w:p>
              </w:tc>
              <w:tc>
                <w:tcPr>
                  <w:tcW w:w="433" w:type="pct"/>
                  <w:tcBorders>
                    <w:tl2br w:val="nil"/>
                    <w:tr2bl w:val="nil"/>
                  </w:tcBorders>
                  <w:noWrap w:val="0"/>
                  <w:vAlign w:val="center"/>
                </w:tcPr>
                <w:p w14:paraId="763C533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新建</w:t>
                  </w:r>
                </w:p>
              </w:tc>
            </w:tr>
            <w:tr w14:paraId="46CC18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7FEA394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59949D1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576B835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烧结抽真空废气</w:t>
                  </w:r>
                </w:p>
              </w:tc>
              <w:tc>
                <w:tcPr>
                  <w:tcW w:w="2543" w:type="pct"/>
                  <w:tcBorders>
                    <w:tl2br w:val="nil"/>
                    <w:tr2bl w:val="nil"/>
                  </w:tcBorders>
                  <w:noWrap w:val="0"/>
                  <w:vAlign w:val="center"/>
                </w:tcPr>
                <w:p w14:paraId="7C68DA0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采用</w:t>
                  </w:r>
                  <w:r>
                    <w:rPr>
                      <w:rFonts w:hint="eastAsia" w:ascii="Times New Roman" w:hAnsi="Times New Roman" w:eastAsia="宋体" w:cs="Times New Roman"/>
                      <w:kern w:val="2"/>
                      <w:sz w:val="21"/>
                      <w:szCs w:val="21"/>
                      <w:highlight w:val="none"/>
                      <w:lang w:val="en-US" w:eastAsia="zh-CN" w:bidi="ar-SA"/>
                    </w:rPr>
                    <w:t>二级活性炭吸附</w:t>
                  </w:r>
                  <w:r>
                    <w:rPr>
                      <w:rFonts w:hint="default" w:ascii="Times New Roman" w:hAnsi="Times New Roman" w:eastAsia="宋体" w:cs="Times New Roman"/>
                      <w:kern w:val="2"/>
                      <w:sz w:val="21"/>
                      <w:szCs w:val="21"/>
                      <w:highlight w:val="none"/>
                      <w:lang w:val="en-US" w:eastAsia="zh-CN" w:bidi="ar-SA"/>
                    </w:rPr>
                    <w:t>的方法处理，各烧结炉抽真空废气汇总至</w:t>
                  </w:r>
                  <w:r>
                    <w:rPr>
                      <w:rFonts w:hint="eastAsia" w:cs="Times New Roman"/>
                      <w:kern w:val="2"/>
                      <w:sz w:val="21"/>
                      <w:szCs w:val="21"/>
                      <w:highlight w:val="none"/>
                      <w:lang w:val="en-US" w:eastAsia="zh-CN" w:bidi="ar-SA"/>
                    </w:rPr>
                    <w:t>1</w:t>
                  </w:r>
                  <w:r>
                    <w:rPr>
                      <w:rFonts w:hint="default" w:ascii="Times New Roman" w:hAnsi="Times New Roman" w:eastAsia="宋体" w:cs="Times New Roman"/>
                      <w:kern w:val="2"/>
                      <w:sz w:val="21"/>
                      <w:szCs w:val="21"/>
                      <w:highlight w:val="none"/>
                      <w:lang w:val="en-US" w:eastAsia="zh-CN" w:bidi="ar-SA"/>
                    </w:rPr>
                    <w:t>根总管后，再经处理达标后通过</w:t>
                  </w:r>
                  <w:r>
                    <w:rPr>
                      <w:rFonts w:hint="eastAsia" w:cs="Times New Roman"/>
                      <w:kern w:val="2"/>
                      <w:sz w:val="21"/>
                      <w:szCs w:val="21"/>
                      <w:highlight w:val="none"/>
                      <w:lang w:val="en-US" w:eastAsia="zh-CN" w:bidi="ar-SA"/>
                    </w:rPr>
                    <w:t>1</w:t>
                  </w:r>
                  <w:r>
                    <w:rPr>
                      <w:rFonts w:hint="default" w:ascii="Times New Roman" w:hAnsi="Times New Roman" w:eastAsia="宋体" w:cs="Times New Roman"/>
                      <w:kern w:val="2"/>
                      <w:sz w:val="21"/>
                      <w:szCs w:val="21"/>
                      <w:highlight w:val="none"/>
                      <w:lang w:val="en-US" w:eastAsia="zh-CN" w:bidi="ar-SA"/>
                    </w:rPr>
                    <w:t>根1</w:t>
                  </w:r>
                  <w:r>
                    <w:rPr>
                      <w:rFonts w:hint="eastAsia" w:ascii="Times New Roman" w:hAnsi="Times New Roman" w:eastAsia="宋体" w:cs="Times New Roman"/>
                      <w:kern w:val="2"/>
                      <w:sz w:val="21"/>
                      <w:szCs w:val="21"/>
                      <w:highlight w:val="none"/>
                      <w:lang w:val="en-US" w:eastAsia="zh-CN" w:bidi="ar-SA"/>
                    </w:rPr>
                    <w:t>5</w:t>
                  </w:r>
                  <w:r>
                    <w:rPr>
                      <w:rFonts w:hint="default" w:ascii="Times New Roman" w:hAnsi="Times New Roman" w:eastAsia="宋体" w:cs="Times New Roman"/>
                      <w:kern w:val="2"/>
                      <w:sz w:val="21"/>
                      <w:szCs w:val="21"/>
                      <w:highlight w:val="none"/>
                      <w:lang w:val="en-US" w:eastAsia="zh-CN" w:bidi="ar-SA"/>
                    </w:rPr>
                    <w:t>m高排气筒排放。</w:t>
                  </w:r>
                </w:p>
              </w:tc>
              <w:tc>
                <w:tcPr>
                  <w:tcW w:w="433" w:type="pct"/>
                  <w:tcBorders>
                    <w:tl2br w:val="nil"/>
                    <w:tr2bl w:val="nil"/>
                  </w:tcBorders>
                  <w:noWrap w:val="0"/>
                  <w:vAlign w:val="center"/>
                </w:tcPr>
                <w:p w14:paraId="014036F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新建</w:t>
                  </w:r>
                </w:p>
              </w:tc>
            </w:tr>
            <w:tr w14:paraId="58DE84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416" w:type="pct"/>
                  <w:vMerge w:val="continue"/>
                  <w:tcBorders>
                    <w:tl2br w:val="nil"/>
                    <w:tr2bl w:val="nil"/>
                  </w:tcBorders>
                  <w:noWrap w:val="0"/>
                  <w:vAlign w:val="center"/>
                </w:tcPr>
                <w:p w14:paraId="14BC2F2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58E3761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7E8B8F2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等静压工序</w:t>
                  </w:r>
                </w:p>
              </w:tc>
              <w:tc>
                <w:tcPr>
                  <w:tcW w:w="2543" w:type="pct"/>
                  <w:tcBorders>
                    <w:tl2br w:val="nil"/>
                    <w:tr2bl w:val="nil"/>
                  </w:tcBorders>
                  <w:noWrap w:val="0"/>
                  <w:vAlign w:val="center"/>
                </w:tcPr>
                <w:p w14:paraId="55FC327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采用</w:t>
                  </w:r>
                  <w:r>
                    <w:rPr>
                      <w:rFonts w:hint="eastAsia" w:ascii="Times New Roman" w:hAnsi="Times New Roman" w:eastAsia="宋体" w:cs="Times New Roman"/>
                      <w:kern w:val="2"/>
                      <w:sz w:val="21"/>
                      <w:szCs w:val="21"/>
                      <w:highlight w:val="none"/>
                      <w:lang w:val="en-US" w:eastAsia="zh-CN" w:bidi="ar-SA"/>
                    </w:rPr>
                    <w:t>二级活性炭吸附</w:t>
                  </w:r>
                  <w:r>
                    <w:rPr>
                      <w:rFonts w:hint="default" w:ascii="Times New Roman" w:hAnsi="Times New Roman" w:eastAsia="宋体" w:cs="Times New Roman"/>
                      <w:kern w:val="2"/>
                      <w:sz w:val="21"/>
                      <w:szCs w:val="21"/>
                      <w:highlight w:val="none"/>
                      <w:lang w:val="en-US" w:eastAsia="zh-CN" w:bidi="ar-SA"/>
                    </w:rPr>
                    <w:t>的方法处理达标后通过</w:t>
                  </w:r>
                  <w:r>
                    <w:rPr>
                      <w:rFonts w:hint="eastAsia" w:cs="Times New Roman"/>
                      <w:kern w:val="2"/>
                      <w:sz w:val="21"/>
                      <w:szCs w:val="21"/>
                      <w:highlight w:val="none"/>
                      <w:lang w:val="en-US" w:eastAsia="zh-CN" w:bidi="ar-SA"/>
                    </w:rPr>
                    <w:t>1</w:t>
                  </w:r>
                  <w:r>
                    <w:rPr>
                      <w:rFonts w:hint="default" w:ascii="Times New Roman" w:hAnsi="Times New Roman" w:eastAsia="宋体" w:cs="Times New Roman"/>
                      <w:kern w:val="2"/>
                      <w:sz w:val="21"/>
                      <w:szCs w:val="21"/>
                      <w:highlight w:val="none"/>
                      <w:lang w:val="en-US" w:eastAsia="zh-CN" w:bidi="ar-SA"/>
                    </w:rPr>
                    <w:t>根1</w:t>
                  </w:r>
                  <w:r>
                    <w:rPr>
                      <w:rFonts w:hint="eastAsia" w:ascii="Times New Roman" w:hAnsi="Times New Roman" w:eastAsia="宋体" w:cs="Times New Roman"/>
                      <w:kern w:val="2"/>
                      <w:sz w:val="21"/>
                      <w:szCs w:val="21"/>
                      <w:highlight w:val="none"/>
                      <w:lang w:val="en-US" w:eastAsia="zh-CN" w:bidi="ar-SA"/>
                    </w:rPr>
                    <w:t>5</w:t>
                  </w:r>
                  <w:r>
                    <w:rPr>
                      <w:rFonts w:hint="default" w:ascii="Times New Roman" w:hAnsi="Times New Roman" w:eastAsia="宋体" w:cs="Times New Roman"/>
                      <w:kern w:val="2"/>
                      <w:sz w:val="21"/>
                      <w:szCs w:val="21"/>
                      <w:highlight w:val="none"/>
                      <w:lang w:val="en-US" w:eastAsia="zh-CN" w:bidi="ar-SA"/>
                    </w:rPr>
                    <w:t>m高排气筒排放。</w:t>
                  </w:r>
                </w:p>
              </w:tc>
              <w:tc>
                <w:tcPr>
                  <w:tcW w:w="433" w:type="pct"/>
                  <w:tcBorders>
                    <w:tl2br w:val="nil"/>
                    <w:tr2bl w:val="nil"/>
                  </w:tcBorders>
                  <w:noWrap w:val="0"/>
                  <w:vAlign w:val="center"/>
                </w:tcPr>
                <w:p w14:paraId="02A5CCC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新建</w:t>
                  </w:r>
                </w:p>
              </w:tc>
            </w:tr>
            <w:tr w14:paraId="30288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10B2652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restart"/>
                  <w:tcBorders>
                    <w:tl2br w:val="nil"/>
                    <w:tr2bl w:val="nil"/>
                  </w:tcBorders>
                  <w:noWrap w:val="0"/>
                  <w:tcMar>
                    <w:left w:w="28" w:type="dxa"/>
                    <w:right w:w="28" w:type="dxa"/>
                  </w:tcMar>
                  <w:vAlign w:val="center"/>
                </w:tcPr>
                <w:p w14:paraId="21476E3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废水</w:t>
                  </w:r>
                </w:p>
              </w:tc>
              <w:tc>
                <w:tcPr>
                  <w:tcW w:w="936" w:type="pct"/>
                  <w:tcBorders>
                    <w:tl2br w:val="nil"/>
                    <w:tr2bl w:val="nil"/>
                  </w:tcBorders>
                  <w:noWrap w:val="0"/>
                  <w:vAlign w:val="center"/>
                </w:tcPr>
                <w:p w14:paraId="2B6D783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生活污水</w:t>
                  </w:r>
                </w:p>
              </w:tc>
              <w:tc>
                <w:tcPr>
                  <w:tcW w:w="2543" w:type="pct"/>
                  <w:tcBorders>
                    <w:tl2br w:val="nil"/>
                    <w:tr2bl w:val="nil"/>
                  </w:tcBorders>
                  <w:noWrap w:val="0"/>
                  <w:vAlign w:val="center"/>
                </w:tcPr>
                <w:p w14:paraId="2CB49B7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生活污水园区污水管网，经管网送第</w:t>
                  </w:r>
                  <w:r>
                    <w:rPr>
                      <w:rFonts w:hint="eastAsia" w:cs="Times New Roman"/>
                      <w:sz w:val="21"/>
                      <w:szCs w:val="21"/>
                      <w:highlight w:val="none"/>
                      <w:lang w:val="en-US" w:eastAsia="zh-CN"/>
                    </w:rPr>
                    <w:t>一</w:t>
                  </w:r>
                  <w:r>
                    <w:rPr>
                      <w:rFonts w:hint="eastAsia" w:ascii="Times New Roman" w:hAnsi="Times New Roman" w:eastAsia="宋体" w:cs="Times New Roman"/>
                      <w:sz w:val="21"/>
                      <w:szCs w:val="21"/>
                      <w:highlight w:val="none"/>
                      <w:lang w:val="en-US" w:eastAsia="zh-CN"/>
                    </w:rPr>
                    <w:t>污水处理厂处理。</w:t>
                  </w:r>
                </w:p>
              </w:tc>
              <w:tc>
                <w:tcPr>
                  <w:tcW w:w="433" w:type="pct"/>
                  <w:tcBorders>
                    <w:tl2br w:val="nil"/>
                    <w:tr2bl w:val="nil"/>
                  </w:tcBorders>
                  <w:noWrap w:val="0"/>
                  <w:vAlign w:val="center"/>
                </w:tcPr>
                <w:p w14:paraId="44FA9E8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新建</w:t>
                  </w:r>
                </w:p>
              </w:tc>
            </w:tr>
            <w:tr w14:paraId="126D09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6BDAD2F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01C836F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1B27010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冷却系统排水</w:t>
                  </w:r>
                </w:p>
              </w:tc>
              <w:tc>
                <w:tcPr>
                  <w:tcW w:w="2543" w:type="pct"/>
                  <w:tcBorders>
                    <w:tl2br w:val="nil"/>
                    <w:tr2bl w:val="nil"/>
                  </w:tcBorders>
                  <w:noWrap w:val="0"/>
                  <w:vAlign w:val="center"/>
                </w:tcPr>
                <w:p w14:paraId="62A5D8D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循环冷却水</w:t>
                  </w:r>
                  <w:r>
                    <w:rPr>
                      <w:rFonts w:hint="eastAsia" w:cs="Times New Roman"/>
                      <w:sz w:val="21"/>
                      <w:szCs w:val="21"/>
                      <w:highlight w:val="none"/>
                      <w:lang w:val="en-US" w:eastAsia="zh-CN"/>
                    </w:rPr>
                    <w:t>定排水用于办公区域地面清洁，不外排</w:t>
                  </w:r>
                </w:p>
              </w:tc>
              <w:tc>
                <w:tcPr>
                  <w:tcW w:w="433" w:type="pct"/>
                  <w:tcBorders>
                    <w:tl2br w:val="nil"/>
                    <w:tr2bl w:val="nil"/>
                  </w:tcBorders>
                  <w:noWrap w:val="0"/>
                  <w:vAlign w:val="center"/>
                </w:tcPr>
                <w:p w14:paraId="73280FE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新建</w:t>
                  </w:r>
                </w:p>
              </w:tc>
            </w:tr>
            <w:tr w14:paraId="6CEC99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02B4388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4608EC5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024AF24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湿法作业废水</w:t>
                  </w:r>
                </w:p>
              </w:tc>
              <w:tc>
                <w:tcPr>
                  <w:tcW w:w="2543" w:type="pct"/>
                  <w:tcBorders>
                    <w:tl2br w:val="nil"/>
                    <w:tr2bl w:val="nil"/>
                  </w:tcBorders>
                  <w:noWrap w:val="0"/>
                  <w:vAlign w:val="center"/>
                </w:tcPr>
                <w:p w14:paraId="1377907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磨床、切割的生产过程中湿法作业产生的废水经设备自带的循环系统沉淀后循环使用不外排。</w:t>
                  </w:r>
                </w:p>
              </w:tc>
              <w:tc>
                <w:tcPr>
                  <w:tcW w:w="433" w:type="pct"/>
                  <w:tcBorders>
                    <w:tl2br w:val="nil"/>
                    <w:tr2bl w:val="nil"/>
                  </w:tcBorders>
                  <w:noWrap w:val="0"/>
                  <w:vAlign w:val="center"/>
                </w:tcPr>
                <w:p w14:paraId="00FCEE2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01A312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42EA973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tcBorders>
                    <w:tl2br w:val="nil"/>
                    <w:tr2bl w:val="nil"/>
                  </w:tcBorders>
                  <w:noWrap w:val="0"/>
                  <w:tcMar>
                    <w:left w:w="28" w:type="dxa"/>
                    <w:right w:w="28" w:type="dxa"/>
                  </w:tcMar>
                  <w:vAlign w:val="center"/>
                </w:tcPr>
                <w:p w14:paraId="4EDE484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噪声</w:t>
                  </w:r>
                </w:p>
              </w:tc>
              <w:tc>
                <w:tcPr>
                  <w:tcW w:w="3479" w:type="pct"/>
                  <w:gridSpan w:val="2"/>
                  <w:tcBorders>
                    <w:tl2br w:val="nil"/>
                    <w:tr2bl w:val="nil"/>
                  </w:tcBorders>
                  <w:noWrap w:val="0"/>
                  <w:vAlign w:val="center"/>
                </w:tcPr>
                <w:p w14:paraId="1DFC3CC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vertAlign w:val="baseline"/>
                      <w:lang w:val="en-US" w:eastAsia="zh-CN"/>
                    </w:rPr>
                    <w:t>选用低噪设备、基础建筑、厂房隔声</w:t>
                  </w:r>
                </w:p>
              </w:tc>
              <w:tc>
                <w:tcPr>
                  <w:tcW w:w="433" w:type="pct"/>
                  <w:tcBorders>
                    <w:tl2br w:val="nil"/>
                    <w:tr2bl w:val="nil"/>
                  </w:tcBorders>
                  <w:noWrap w:val="0"/>
                  <w:vAlign w:val="center"/>
                </w:tcPr>
                <w:p w14:paraId="00A916A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66C1FA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416" w:type="pct"/>
                  <w:vMerge w:val="continue"/>
                  <w:tcBorders>
                    <w:tl2br w:val="nil"/>
                    <w:tr2bl w:val="nil"/>
                  </w:tcBorders>
                  <w:noWrap w:val="0"/>
                  <w:vAlign w:val="center"/>
                </w:tcPr>
                <w:p w14:paraId="10F7780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restart"/>
                  <w:tcBorders>
                    <w:tl2br w:val="nil"/>
                    <w:tr2bl w:val="nil"/>
                  </w:tcBorders>
                  <w:noWrap w:val="0"/>
                  <w:tcMar>
                    <w:left w:w="28" w:type="dxa"/>
                    <w:right w:w="28" w:type="dxa"/>
                  </w:tcMar>
                  <w:vAlign w:val="center"/>
                </w:tcPr>
                <w:p w14:paraId="0271E14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固废</w:t>
                  </w:r>
                </w:p>
              </w:tc>
              <w:tc>
                <w:tcPr>
                  <w:tcW w:w="936" w:type="pct"/>
                  <w:tcBorders>
                    <w:tl2br w:val="nil"/>
                    <w:tr2bl w:val="nil"/>
                  </w:tcBorders>
                  <w:noWrap w:val="0"/>
                  <w:vAlign w:val="center"/>
                </w:tcPr>
                <w:p w14:paraId="4C322BB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真空泵废油</w:t>
                  </w:r>
                </w:p>
              </w:tc>
              <w:tc>
                <w:tcPr>
                  <w:tcW w:w="2543" w:type="pct"/>
                  <w:vMerge w:val="restart"/>
                  <w:tcBorders>
                    <w:tl2br w:val="nil"/>
                    <w:tr2bl w:val="nil"/>
                  </w:tcBorders>
                  <w:noWrap w:val="0"/>
                  <w:vAlign w:val="center"/>
                </w:tcPr>
                <w:p w14:paraId="1752AD2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暂存于危废贮存库内，委托有资质单位合理处置。</w:t>
                  </w:r>
                </w:p>
              </w:tc>
              <w:tc>
                <w:tcPr>
                  <w:tcW w:w="433" w:type="pct"/>
                  <w:tcBorders>
                    <w:tl2br w:val="nil"/>
                    <w:tr2bl w:val="nil"/>
                  </w:tcBorders>
                  <w:noWrap w:val="0"/>
                  <w:vAlign w:val="center"/>
                </w:tcPr>
                <w:p w14:paraId="2D9382C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新建</w:t>
                  </w:r>
                </w:p>
              </w:tc>
            </w:tr>
            <w:tr w14:paraId="4C4041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416" w:type="pct"/>
                  <w:vMerge w:val="continue"/>
                  <w:tcBorders>
                    <w:tl2br w:val="nil"/>
                    <w:tr2bl w:val="nil"/>
                  </w:tcBorders>
                  <w:noWrap w:val="0"/>
                  <w:vAlign w:val="center"/>
                </w:tcPr>
                <w:p w14:paraId="609435D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7350B15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p>
              </w:tc>
              <w:tc>
                <w:tcPr>
                  <w:tcW w:w="936" w:type="pct"/>
                  <w:tcBorders>
                    <w:tl2br w:val="nil"/>
                    <w:tr2bl w:val="nil"/>
                  </w:tcBorders>
                  <w:noWrap w:val="0"/>
                  <w:vAlign w:val="center"/>
                </w:tcPr>
                <w:p w14:paraId="036EFEB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废液压油</w:t>
                  </w:r>
                </w:p>
              </w:tc>
              <w:tc>
                <w:tcPr>
                  <w:tcW w:w="2543" w:type="pct"/>
                  <w:vMerge w:val="continue"/>
                  <w:tcBorders>
                    <w:tl2br w:val="nil"/>
                    <w:tr2bl w:val="nil"/>
                  </w:tcBorders>
                  <w:noWrap w:val="0"/>
                  <w:vAlign w:val="center"/>
                </w:tcPr>
                <w:p w14:paraId="569009B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p>
              </w:tc>
              <w:tc>
                <w:tcPr>
                  <w:tcW w:w="433" w:type="pct"/>
                  <w:tcBorders>
                    <w:tl2br w:val="nil"/>
                    <w:tr2bl w:val="nil"/>
                  </w:tcBorders>
                  <w:noWrap w:val="0"/>
                  <w:vAlign w:val="center"/>
                </w:tcPr>
                <w:p w14:paraId="72A7512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61709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5BA8B27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3BE4C59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p>
              </w:tc>
              <w:tc>
                <w:tcPr>
                  <w:tcW w:w="936" w:type="pct"/>
                  <w:tcBorders>
                    <w:tl2br w:val="nil"/>
                    <w:tr2bl w:val="nil"/>
                  </w:tcBorders>
                  <w:noWrap w:val="0"/>
                  <w:vAlign w:val="center"/>
                </w:tcPr>
                <w:p w14:paraId="18FC127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废活性炭</w:t>
                  </w:r>
                </w:p>
              </w:tc>
              <w:tc>
                <w:tcPr>
                  <w:tcW w:w="2543" w:type="pct"/>
                  <w:vMerge w:val="continue"/>
                  <w:tcBorders>
                    <w:tl2br w:val="nil"/>
                    <w:tr2bl w:val="nil"/>
                  </w:tcBorders>
                  <w:noWrap w:val="0"/>
                  <w:vAlign w:val="center"/>
                </w:tcPr>
                <w:p w14:paraId="397B097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p>
              </w:tc>
              <w:tc>
                <w:tcPr>
                  <w:tcW w:w="433" w:type="pct"/>
                  <w:tcBorders>
                    <w:tl2br w:val="nil"/>
                    <w:tr2bl w:val="nil"/>
                  </w:tcBorders>
                  <w:noWrap w:val="0"/>
                  <w:vAlign w:val="center"/>
                </w:tcPr>
                <w:p w14:paraId="028BD3D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0BFE84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0E1723E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209C886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p>
              </w:tc>
              <w:tc>
                <w:tcPr>
                  <w:tcW w:w="936" w:type="pct"/>
                  <w:tcBorders>
                    <w:tl2br w:val="nil"/>
                    <w:tr2bl w:val="nil"/>
                  </w:tcBorders>
                  <w:noWrap w:val="0"/>
                  <w:vAlign w:val="center"/>
                </w:tcPr>
                <w:p w14:paraId="747E03C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等静压工序</w:t>
                  </w:r>
                  <w:r>
                    <w:rPr>
                      <w:rFonts w:hint="eastAsia" w:cs="Times New Roman"/>
                      <w:sz w:val="21"/>
                      <w:szCs w:val="21"/>
                      <w:highlight w:val="none"/>
                      <w:lang w:val="en-US" w:eastAsia="zh-CN"/>
                    </w:rPr>
                    <w:t>产生的含油</w:t>
                  </w:r>
                  <w:r>
                    <w:rPr>
                      <w:rFonts w:hint="eastAsia" w:ascii="Times New Roman" w:hAnsi="Times New Roman" w:eastAsia="宋体" w:cs="Times New Roman"/>
                      <w:sz w:val="21"/>
                      <w:szCs w:val="21"/>
                      <w:highlight w:val="none"/>
                      <w:lang w:val="en-US" w:eastAsia="zh-CN"/>
                    </w:rPr>
                    <w:t>废袋</w:t>
                  </w:r>
                </w:p>
              </w:tc>
              <w:tc>
                <w:tcPr>
                  <w:tcW w:w="2543" w:type="pct"/>
                  <w:vMerge w:val="continue"/>
                  <w:tcBorders>
                    <w:tl2br w:val="nil"/>
                    <w:tr2bl w:val="nil"/>
                  </w:tcBorders>
                  <w:noWrap w:val="0"/>
                  <w:vAlign w:val="center"/>
                </w:tcPr>
                <w:p w14:paraId="562FE0F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lang w:val="en-US" w:eastAsia="zh-CN" w:bidi="ar-SA"/>
                    </w:rPr>
                  </w:pPr>
                </w:p>
              </w:tc>
              <w:tc>
                <w:tcPr>
                  <w:tcW w:w="433" w:type="pct"/>
                  <w:tcBorders>
                    <w:tl2br w:val="nil"/>
                    <w:tr2bl w:val="nil"/>
                  </w:tcBorders>
                  <w:noWrap w:val="0"/>
                  <w:vAlign w:val="center"/>
                </w:tcPr>
                <w:p w14:paraId="3A778D7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3D4A4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2812903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0C65F58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012F77C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废润滑油</w:t>
                  </w:r>
                </w:p>
              </w:tc>
              <w:tc>
                <w:tcPr>
                  <w:tcW w:w="2543" w:type="pct"/>
                  <w:vMerge w:val="continue"/>
                  <w:tcBorders>
                    <w:tl2br w:val="nil"/>
                    <w:tr2bl w:val="nil"/>
                  </w:tcBorders>
                  <w:noWrap w:val="0"/>
                  <w:vAlign w:val="center"/>
                </w:tcPr>
                <w:p w14:paraId="689B208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p>
              </w:tc>
              <w:tc>
                <w:tcPr>
                  <w:tcW w:w="433" w:type="pct"/>
                  <w:tcBorders>
                    <w:tl2br w:val="nil"/>
                    <w:tr2bl w:val="nil"/>
                  </w:tcBorders>
                  <w:noWrap w:val="0"/>
                  <w:vAlign w:val="center"/>
                </w:tcPr>
                <w:p w14:paraId="64318C0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64FCEF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6202840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0C73981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6F28E1D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除尘器废布袋</w:t>
                  </w:r>
                </w:p>
              </w:tc>
              <w:tc>
                <w:tcPr>
                  <w:tcW w:w="2543" w:type="pct"/>
                  <w:tcBorders>
                    <w:tl2br w:val="nil"/>
                    <w:tr2bl w:val="nil"/>
                  </w:tcBorders>
                  <w:noWrap w:val="0"/>
                  <w:vAlign w:val="center"/>
                </w:tcPr>
                <w:p w14:paraId="774E0D0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由除尘器布袋企业回收处理。</w:t>
                  </w:r>
                </w:p>
              </w:tc>
              <w:tc>
                <w:tcPr>
                  <w:tcW w:w="433" w:type="pct"/>
                  <w:tcBorders>
                    <w:tl2br w:val="nil"/>
                    <w:tr2bl w:val="nil"/>
                  </w:tcBorders>
                  <w:noWrap w:val="0"/>
                  <w:vAlign w:val="center"/>
                </w:tcPr>
                <w:p w14:paraId="714ABC4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新建</w:t>
                  </w:r>
                </w:p>
              </w:tc>
            </w:tr>
            <w:tr w14:paraId="631D03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23AC833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17F197B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1EF9E01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磨泥</w:t>
                  </w:r>
                </w:p>
              </w:tc>
              <w:tc>
                <w:tcPr>
                  <w:tcW w:w="2543" w:type="pct"/>
                  <w:tcBorders>
                    <w:tl2br w:val="nil"/>
                    <w:tr2bl w:val="nil"/>
                  </w:tcBorders>
                  <w:noWrap w:val="0"/>
                  <w:vAlign w:val="center"/>
                </w:tcPr>
                <w:p w14:paraId="49BA195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经压滤脱水后，集中收集水封桶装保存，外卖给原料厂家重新提炼金属。</w:t>
                  </w:r>
                </w:p>
              </w:tc>
              <w:tc>
                <w:tcPr>
                  <w:tcW w:w="433" w:type="pct"/>
                  <w:tcBorders>
                    <w:tl2br w:val="nil"/>
                    <w:tr2bl w:val="nil"/>
                  </w:tcBorders>
                  <w:noWrap w:val="0"/>
                  <w:vAlign w:val="center"/>
                </w:tcPr>
                <w:p w14:paraId="6F2E76C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新建</w:t>
                  </w:r>
                </w:p>
              </w:tc>
            </w:tr>
            <w:tr w14:paraId="27FC86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73C0011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7923720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1959821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废边角料</w:t>
                  </w:r>
                  <w:r>
                    <w:rPr>
                      <w:rFonts w:hint="eastAsia" w:cs="Times New Roman"/>
                      <w:sz w:val="21"/>
                      <w:szCs w:val="21"/>
                      <w:highlight w:val="none"/>
                      <w:lang w:val="en-US" w:eastAsia="zh-CN"/>
                    </w:rPr>
                    <w:t>、废氧化铁屑</w:t>
                  </w:r>
                </w:p>
              </w:tc>
              <w:tc>
                <w:tcPr>
                  <w:tcW w:w="2543" w:type="pct"/>
                  <w:tcBorders>
                    <w:tl2br w:val="nil"/>
                    <w:tr2bl w:val="nil"/>
                  </w:tcBorders>
                  <w:noWrap w:val="0"/>
                  <w:vAlign w:val="center"/>
                </w:tcPr>
                <w:p w14:paraId="3BC8CBC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原料厂家定期进行回收再生产原料。</w:t>
                  </w:r>
                </w:p>
              </w:tc>
              <w:tc>
                <w:tcPr>
                  <w:tcW w:w="433" w:type="pct"/>
                  <w:tcBorders>
                    <w:tl2br w:val="nil"/>
                    <w:tr2bl w:val="nil"/>
                  </w:tcBorders>
                  <w:noWrap w:val="0"/>
                  <w:vAlign w:val="center"/>
                </w:tcPr>
                <w:p w14:paraId="3846A98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r w14:paraId="38E19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23" w:hRule="atLeast"/>
                <w:jc w:val="center"/>
              </w:trPr>
              <w:tc>
                <w:tcPr>
                  <w:tcW w:w="416" w:type="pct"/>
                  <w:vMerge w:val="continue"/>
                  <w:tcBorders>
                    <w:tl2br w:val="nil"/>
                    <w:tr2bl w:val="nil"/>
                  </w:tcBorders>
                  <w:noWrap w:val="0"/>
                  <w:vAlign w:val="center"/>
                </w:tcPr>
                <w:p w14:paraId="2607FDC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671" w:type="pct"/>
                  <w:vMerge w:val="continue"/>
                  <w:tcBorders>
                    <w:tl2br w:val="nil"/>
                    <w:tr2bl w:val="nil"/>
                  </w:tcBorders>
                  <w:noWrap w:val="0"/>
                  <w:tcMar>
                    <w:left w:w="28" w:type="dxa"/>
                    <w:right w:w="28" w:type="dxa"/>
                  </w:tcMar>
                  <w:vAlign w:val="center"/>
                </w:tcPr>
                <w:p w14:paraId="4C2BCBC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rPr>
                  </w:pPr>
                </w:p>
              </w:tc>
              <w:tc>
                <w:tcPr>
                  <w:tcW w:w="936" w:type="pct"/>
                  <w:tcBorders>
                    <w:tl2br w:val="nil"/>
                    <w:tr2bl w:val="nil"/>
                  </w:tcBorders>
                  <w:noWrap w:val="0"/>
                  <w:vAlign w:val="center"/>
                </w:tcPr>
                <w:p w14:paraId="3CFDCC6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废包装材料</w:t>
                  </w:r>
                </w:p>
              </w:tc>
              <w:tc>
                <w:tcPr>
                  <w:tcW w:w="2543" w:type="pct"/>
                  <w:tcBorders>
                    <w:tl2br w:val="nil"/>
                    <w:tr2bl w:val="nil"/>
                  </w:tcBorders>
                  <w:noWrap w:val="0"/>
                  <w:vAlign w:val="center"/>
                </w:tcPr>
                <w:p w14:paraId="6944E6D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原料厂家回收再利用。</w:t>
                  </w:r>
                </w:p>
              </w:tc>
              <w:tc>
                <w:tcPr>
                  <w:tcW w:w="433" w:type="pct"/>
                  <w:tcBorders>
                    <w:tl2br w:val="nil"/>
                    <w:tr2bl w:val="nil"/>
                  </w:tcBorders>
                  <w:noWrap w:val="0"/>
                  <w:vAlign w:val="center"/>
                </w:tcPr>
                <w:p w14:paraId="71E2037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新建</w:t>
                  </w:r>
                </w:p>
              </w:tc>
            </w:tr>
          </w:tbl>
          <w:p w14:paraId="259191BE">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2、主要原辅材料</w:t>
            </w:r>
          </w:p>
          <w:p w14:paraId="649985BC">
            <w:pPr>
              <w:pStyle w:val="4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表2-2  项目主要原辅材料一览表</w:t>
            </w:r>
          </w:p>
          <w:tbl>
            <w:tblPr>
              <w:tblStyle w:val="2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535"/>
              <w:gridCol w:w="955"/>
              <w:gridCol w:w="1394"/>
              <w:gridCol w:w="1697"/>
              <w:gridCol w:w="745"/>
              <w:gridCol w:w="609"/>
              <w:gridCol w:w="2007"/>
            </w:tblGrid>
            <w:tr w14:paraId="563EAF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6C6EFC54">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序号</w:t>
                  </w:r>
                </w:p>
              </w:tc>
              <w:tc>
                <w:tcPr>
                  <w:tcW w:w="0" w:type="auto"/>
                  <w:tcBorders>
                    <w:tl2br w:val="nil"/>
                    <w:tr2bl w:val="nil"/>
                  </w:tcBorders>
                  <w:noWrap w:val="0"/>
                  <w:vAlign w:val="center"/>
                </w:tcPr>
                <w:p w14:paraId="03E7D02C">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名称</w:t>
                  </w:r>
                </w:p>
              </w:tc>
              <w:tc>
                <w:tcPr>
                  <w:tcW w:w="0" w:type="auto"/>
                  <w:tcBorders>
                    <w:tl2br w:val="nil"/>
                    <w:tr2bl w:val="nil"/>
                  </w:tcBorders>
                  <w:noWrap w:val="0"/>
                  <w:vAlign w:val="center"/>
                </w:tcPr>
                <w:p w14:paraId="0EC89E10">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规格</w:t>
                  </w:r>
                </w:p>
              </w:tc>
              <w:tc>
                <w:tcPr>
                  <w:tcW w:w="0" w:type="auto"/>
                  <w:tcBorders>
                    <w:tl2br w:val="nil"/>
                    <w:tr2bl w:val="nil"/>
                  </w:tcBorders>
                  <w:noWrap w:val="0"/>
                  <w:vAlign w:val="center"/>
                </w:tcPr>
                <w:p w14:paraId="071E8305">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存储方式</w:t>
                  </w:r>
                </w:p>
              </w:tc>
              <w:tc>
                <w:tcPr>
                  <w:tcW w:w="0" w:type="auto"/>
                  <w:tcBorders>
                    <w:tl2br w:val="nil"/>
                    <w:tr2bl w:val="nil"/>
                  </w:tcBorders>
                  <w:noWrap w:val="0"/>
                  <w:vAlign w:val="center"/>
                </w:tcPr>
                <w:p w14:paraId="058DD246">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年用量</w:t>
                  </w:r>
                </w:p>
              </w:tc>
              <w:tc>
                <w:tcPr>
                  <w:tcW w:w="0" w:type="auto"/>
                  <w:tcBorders>
                    <w:tl2br w:val="nil"/>
                    <w:tr2bl w:val="nil"/>
                  </w:tcBorders>
                  <w:noWrap w:val="0"/>
                  <w:vAlign w:val="center"/>
                </w:tcPr>
                <w:p w14:paraId="058B9FEE">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单位</w:t>
                  </w:r>
                </w:p>
              </w:tc>
              <w:tc>
                <w:tcPr>
                  <w:tcW w:w="0" w:type="auto"/>
                  <w:tcBorders>
                    <w:tl2br w:val="nil"/>
                    <w:tr2bl w:val="nil"/>
                  </w:tcBorders>
                  <w:noWrap w:val="0"/>
                  <w:vAlign w:val="center"/>
                </w:tcPr>
                <w:p w14:paraId="6DCACF2A">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来源</w:t>
                  </w:r>
                </w:p>
              </w:tc>
            </w:tr>
            <w:tr w14:paraId="6B4903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2CB2BF2B">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w:t>
                  </w:r>
                </w:p>
              </w:tc>
              <w:tc>
                <w:tcPr>
                  <w:tcW w:w="0" w:type="auto"/>
                  <w:tcBorders>
                    <w:tl2br w:val="nil"/>
                    <w:tr2bl w:val="nil"/>
                  </w:tcBorders>
                  <w:noWrap w:val="0"/>
                  <w:vAlign w:val="center"/>
                </w:tcPr>
                <w:p w14:paraId="14FE6E67">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纯铁</w:t>
                  </w:r>
                </w:p>
              </w:tc>
              <w:tc>
                <w:tcPr>
                  <w:tcW w:w="0" w:type="auto"/>
                  <w:tcBorders>
                    <w:tl2br w:val="nil"/>
                    <w:tr2bl w:val="nil"/>
                  </w:tcBorders>
                  <w:noWrap w:val="0"/>
                  <w:vAlign w:val="center"/>
                </w:tcPr>
                <w:p w14:paraId="7655130D">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圆柱状，</w:t>
                  </w:r>
                  <w:r>
                    <w:rPr>
                      <w:rFonts w:hint="eastAsia" w:ascii="Times New Roman" w:hAnsi="Times New Roman" w:eastAsia="宋体" w:cs="Times New Roman"/>
                      <w:color w:val="000000"/>
                      <w:kern w:val="2"/>
                      <w:sz w:val="21"/>
                      <w:szCs w:val="21"/>
                      <w:highlight w:val="none"/>
                      <w:vertAlign w:val="baseline"/>
                      <w:lang w:val="en-US" w:eastAsia="zh-CN" w:bidi="ar-SA"/>
                    </w:rPr>
                    <w:t>99%</w:t>
                  </w:r>
                </w:p>
              </w:tc>
              <w:tc>
                <w:tcPr>
                  <w:tcW w:w="0" w:type="auto"/>
                  <w:tcBorders>
                    <w:tl2br w:val="nil"/>
                    <w:tr2bl w:val="nil"/>
                  </w:tcBorders>
                  <w:noWrap w:val="0"/>
                  <w:vAlign w:val="center"/>
                </w:tcPr>
                <w:p w14:paraId="352AE8F1">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袋装1000kg/袋</w:t>
                  </w:r>
                </w:p>
              </w:tc>
              <w:tc>
                <w:tcPr>
                  <w:tcW w:w="0" w:type="auto"/>
                  <w:tcBorders>
                    <w:tl2br w:val="nil"/>
                    <w:tr2bl w:val="nil"/>
                  </w:tcBorders>
                  <w:noWrap w:val="0"/>
                  <w:vAlign w:val="center"/>
                </w:tcPr>
                <w:p w14:paraId="1BE7D08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700</w:t>
                  </w:r>
                </w:p>
              </w:tc>
              <w:tc>
                <w:tcPr>
                  <w:tcW w:w="0" w:type="auto"/>
                  <w:tcBorders>
                    <w:tl2br w:val="nil"/>
                    <w:tr2bl w:val="nil"/>
                  </w:tcBorders>
                  <w:noWrap w:val="0"/>
                  <w:vAlign w:val="center"/>
                </w:tcPr>
                <w:p w14:paraId="79208473">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吨</w:t>
                  </w:r>
                </w:p>
              </w:tc>
              <w:tc>
                <w:tcPr>
                  <w:tcW w:w="0" w:type="auto"/>
                  <w:tcBorders>
                    <w:tl2br w:val="nil"/>
                    <w:tr2bl w:val="nil"/>
                  </w:tcBorders>
                  <w:noWrap w:val="0"/>
                  <w:vAlign w:val="center"/>
                </w:tcPr>
                <w:p w14:paraId="05986B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外购</w:t>
                  </w:r>
                </w:p>
              </w:tc>
            </w:tr>
            <w:tr w14:paraId="2210B3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58C1594B">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2</w:t>
                  </w:r>
                </w:p>
              </w:tc>
              <w:tc>
                <w:tcPr>
                  <w:tcW w:w="0" w:type="auto"/>
                  <w:tcBorders>
                    <w:tl2br w:val="nil"/>
                    <w:tr2bl w:val="nil"/>
                  </w:tcBorders>
                  <w:noWrap w:val="0"/>
                  <w:vAlign w:val="center"/>
                </w:tcPr>
                <w:p w14:paraId="6C571CEA">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金属钕</w:t>
                  </w:r>
                </w:p>
              </w:tc>
              <w:tc>
                <w:tcPr>
                  <w:tcW w:w="0" w:type="auto"/>
                  <w:tcBorders>
                    <w:tl2br w:val="nil"/>
                    <w:tr2bl w:val="nil"/>
                  </w:tcBorders>
                  <w:noWrap w:val="0"/>
                  <w:vAlign w:val="center"/>
                </w:tcPr>
                <w:p w14:paraId="3A048EA3">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块状，</w:t>
                  </w:r>
                  <w:r>
                    <w:rPr>
                      <w:rFonts w:hint="eastAsia" w:ascii="Times New Roman" w:hAnsi="Times New Roman" w:eastAsia="宋体" w:cs="Times New Roman"/>
                      <w:color w:val="000000"/>
                      <w:kern w:val="2"/>
                      <w:sz w:val="21"/>
                      <w:szCs w:val="21"/>
                      <w:highlight w:val="none"/>
                      <w:vertAlign w:val="baseline"/>
                      <w:lang w:val="en-US" w:eastAsia="zh-CN" w:bidi="ar-SA"/>
                    </w:rPr>
                    <w:t>98%</w:t>
                  </w:r>
                </w:p>
              </w:tc>
              <w:tc>
                <w:tcPr>
                  <w:tcW w:w="0" w:type="auto"/>
                  <w:tcBorders>
                    <w:tl2br w:val="nil"/>
                    <w:tr2bl w:val="nil"/>
                  </w:tcBorders>
                  <w:noWrap w:val="0"/>
                  <w:vAlign w:val="center"/>
                </w:tcPr>
                <w:p w14:paraId="4D709257">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铁桶密封50kg/桶</w:t>
                  </w:r>
                </w:p>
              </w:tc>
              <w:tc>
                <w:tcPr>
                  <w:tcW w:w="0" w:type="auto"/>
                  <w:tcBorders>
                    <w:tl2br w:val="nil"/>
                    <w:tr2bl w:val="nil"/>
                  </w:tcBorders>
                  <w:noWrap w:val="0"/>
                  <w:vAlign w:val="center"/>
                </w:tcPr>
                <w:p w14:paraId="0CF244C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260</w:t>
                  </w:r>
                </w:p>
              </w:tc>
              <w:tc>
                <w:tcPr>
                  <w:tcW w:w="0" w:type="auto"/>
                  <w:tcBorders>
                    <w:tl2br w:val="nil"/>
                    <w:tr2bl w:val="nil"/>
                  </w:tcBorders>
                  <w:noWrap w:val="0"/>
                  <w:vAlign w:val="center"/>
                </w:tcPr>
                <w:p w14:paraId="1344CD56">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吨</w:t>
                  </w:r>
                </w:p>
              </w:tc>
              <w:tc>
                <w:tcPr>
                  <w:tcW w:w="0" w:type="auto"/>
                  <w:tcBorders>
                    <w:tl2br w:val="nil"/>
                    <w:tr2bl w:val="nil"/>
                  </w:tcBorders>
                  <w:noWrap w:val="0"/>
                  <w:vAlign w:val="center"/>
                </w:tcPr>
                <w:p w14:paraId="267DBA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外购</w:t>
                  </w:r>
                </w:p>
              </w:tc>
            </w:tr>
            <w:tr w14:paraId="6C72F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73D369A2">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3</w:t>
                  </w:r>
                </w:p>
              </w:tc>
              <w:tc>
                <w:tcPr>
                  <w:tcW w:w="0" w:type="auto"/>
                  <w:tcBorders>
                    <w:tl2br w:val="nil"/>
                    <w:tr2bl w:val="nil"/>
                  </w:tcBorders>
                  <w:noWrap w:val="0"/>
                  <w:vAlign w:val="center"/>
                </w:tcPr>
                <w:p w14:paraId="497DCB83">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硼铁</w:t>
                  </w:r>
                </w:p>
              </w:tc>
              <w:tc>
                <w:tcPr>
                  <w:tcW w:w="0" w:type="auto"/>
                  <w:tcBorders>
                    <w:tl2br w:val="nil"/>
                    <w:tr2bl w:val="nil"/>
                  </w:tcBorders>
                  <w:noWrap w:val="0"/>
                  <w:vAlign w:val="center"/>
                </w:tcPr>
                <w:p w14:paraId="472E81F4">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颗粒状，</w:t>
                  </w:r>
                  <w:r>
                    <w:rPr>
                      <w:rFonts w:hint="eastAsia" w:ascii="Times New Roman" w:hAnsi="Times New Roman" w:eastAsia="宋体" w:cs="Times New Roman"/>
                      <w:color w:val="000000"/>
                      <w:kern w:val="2"/>
                      <w:sz w:val="21"/>
                      <w:szCs w:val="21"/>
                      <w:highlight w:val="none"/>
                      <w:vertAlign w:val="baseline"/>
                      <w:lang w:val="en-US" w:eastAsia="zh-CN" w:bidi="ar-SA"/>
                    </w:rPr>
                    <w:t>98%</w:t>
                  </w:r>
                </w:p>
              </w:tc>
              <w:tc>
                <w:tcPr>
                  <w:tcW w:w="0" w:type="auto"/>
                  <w:tcBorders>
                    <w:tl2br w:val="nil"/>
                    <w:tr2bl w:val="nil"/>
                  </w:tcBorders>
                  <w:noWrap w:val="0"/>
                  <w:vAlign w:val="center"/>
                </w:tcPr>
                <w:p w14:paraId="370F5139">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铁桶密封50kg/桶</w:t>
                  </w:r>
                </w:p>
              </w:tc>
              <w:tc>
                <w:tcPr>
                  <w:tcW w:w="0" w:type="auto"/>
                  <w:tcBorders>
                    <w:tl2br w:val="nil"/>
                    <w:tr2bl w:val="nil"/>
                  </w:tcBorders>
                  <w:noWrap w:val="0"/>
                  <w:vAlign w:val="center"/>
                </w:tcPr>
                <w:p w14:paraId="4EF2755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60</w:t>
                  </w:r>
                </w:p>
              </w:tc>
              <w:tc>
                <w:tcPr>
                  <w:tcW w:w="0" w:type="auto"/>
                  <w:tcBorders>
                    <w:tl2br w:val="nil"/>
                    <w:tr2bl w:val="nil"/>
                  </w:tcBorders>
                  <w:noWrap w:val="0"/>
                  <w:vAlign w:val="center"/>
                </w:tcPr>
                <w:p w14:paraId="53FC22B3">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吨</w:t>
                  </w:r>
                </w:p>
              </w:tc>
              <w:tc>
                <w:tcPr>
                  <w:tcW w:w="0" w:type="auto"/>
                  <w:tcBorders>
                    <w:tl2br w:val="nil"/>
                    <w:tr2bl w:val="nil"/>
                  </w:tcBorders>
                  <w:noWrap w:val="0"/>
                  <w:vAlign w:val="center"/>
                </w:tcPr>
                <w:p w14:paraId="38E5B8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外购</w:t>
                  </w:r>
                </w:p>
              </w:tc>
            </w:tr>
            <w:tr w14:paraId="470911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3820042A">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4</w:t>
                  </w:r>
                </w:p>
              </w:tc>
              <w:tc>
                <w:tcPr>
                  <w:tcW w:w="0" w:type="auto"/>
                  <w:tcBorders>
                    <w:tl2br w:val="nil"/>
                    <w:tr2bl w:val="nil"/>
                  </w:tcBorders>
                  <w:noWrap w:val="0"/>
                  <w:vAlign w:val="center"/>
                </w:tcPr>
                <w:p w14:paraId="0C03D370">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氮气</w:t>
                  </w:r>
                </w:p>
              </w:tc>
              <w:tc>
                <w:tcPr>
                  <w:tcW w:w="0" w:type="auto"/>
                  <w:tcBorders>
                    <w:tl2br w:val="nil"/>
                    <w:tr2bl w:val="nil"/>
                  </w:tcBorders>
                  <w:noWrap w:val="0"/>
                  <w:vAlign w:val="center"/>
                </w:tcPr>
                <w:p w14:paraId="6D44CC36">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sz w:val="21"/>
                      <w:szCs w:val="21"/>
                      <w:highlight w:val="none"/>
                    </w:rPr>
                    <w:t>纯度＞99.85%</w:t>
                  </w:r>
                </w:p>
              </w:tc>
              <w:tc>
                <w:tcPr>
                  <w:tcW w:w="0" w:type="auto"/>
                  <w:tcBorders>
                    <w:tl2br w:val="nil"/>
                    <w:tr2bl w:val="nil"/>
                  </w:tcBorders>
                  <w:noWrap w:val="0"/>
                  <w:vAlign w:val="center"/>
                </w:tcPr>
                <w:p w14:paraId="2F0BBAC6">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000000"/>
                      <w:sz w:val="21"/>
                      <w:szCs w:val="21"/>
                      <w:highlight w:val="none"/>
                    </w:rPr>
                  </w:pPr>
                  <w:r>
                    <w:rPr>
                      <w:rFonts w:hint="eastAsia" w:ascii="Times New Roman" w:hAnsi="Times New Roman" w:cs="Times New Roman"/>
                      <w:sz w:val="21"/>
                      <w:szCs w:val="21"/>
                      <w:highlight w:val="none"/>
                      <w:vertAlign w:val="baseline"/>
                      <w:lang w:val="en-US" w:eastAsia="zh-CN"/>
                    </w:rPr>
                    <w:t>罐装</w:t>
                  </w:r>
                </w:p>
              </w:tc>
              <w:tc>
                <w:tcPr>
                  <w:tcW w:w="0" w:type="auto"/>
                  <w:tcBorders>
                    <w:tl2br w:val="nil"/>
                    <w:tr2bl w:val="nil"/>
                  </w:tcBorders>
                  <w:noWrap w:val="0"/>
                  <w:vAlign w:val="center"/>
                </w:tcPr>
                <w:p w14:paraId="11D2074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15</w:t>
                  </w:r>
                </w:p>
              </w:tc>
              <w:tc>
                <w:tcPr>
                  <w:tcW w:w="0" w:type="auto"/>
                  <w:tcBorders>
                    <w:tl2br w:val="nil"/>
                    <w:tr2bl w:val="nil"/>
                  </w:tcBorders>
                  <w:noWrap w:val="0"/>
                  <w:vAlign w:val="center"/>
                </w:tcPr>
                <w:p w14:paraId="0B3EAAA2">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万m</w:t>
                  </w:r>
                  <w:r>
                    <w:rPr>
                      <w:rFonts w:hint="eastAsia" w:ascii="Times New Roman" w:hAnsi="Times New Roman" w:cs="Times New Roman"/>
                      <w:sz w:val="21"/>
                      <w:szCs w:val="21"/>
                      <w:highlight w:val="none"/>
                      <w:vertAlign w:val="superscript"/>
                      <w:lang w:val="en-US" w:eastAsia="zh-CN"/>
                    </w:rPr>
                    <w:t>3</w:t>
                  </w:r>
                </w:p>
              </w:tc>
              <w:tc>
                <w:tcPr>
                  <w:tcW w:w="0" w:type="auto"/>
                  <w:tcBorders>
                    <w:tl2br w:val="nil"/>
                    <w:tr2bl w:val="nil"/>
                  </w:tcBorders>
                  <w:noWrap w:val="0"/>
                  <w:vAlign w:val="center"/>
                </w:tcPr>
                <w:p w14:paraId="38FE8519">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外购，用于制粉工序</w:t>
                  </w:r>
                </w:p>
              </w:tc>
            </w:tr>
            <w:tr w14:paraId="7E0DCD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731813F8">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5</w:t>
                  </w:r>
                </w:p>
              </w:tc>
              <w:tc>
                <w:tcPr>
                  <w:tcW w:w="0" w:type="auto"/>
                  <w:tcBorders>
                    <w:tl2br w:val="nil"/>
                    <w:tr2bl w:val="nil"/>
                  </w:tcBorders>
                  <w:noWrap w:val="0"/>
                  <w:vAlign w:val="center"/>
                </w:tcPr>
                <w:p w14:paraId="276A032A">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氩气</w:t>
                  </w:r>
                </w:p>
              </w:tc>
              <w:tc>
                <w:tcPr>
                  <w:tcW w:w="0" w:type="auto"/>
                  <w:tcBorders>
                    <w:tl2br w:val="nil"/>
                    <w:tr2bl w:val="nil"/>
                  </w:tcBorders>
                  <w:noWrap w:val="0"/>
                  <w:vAlign w:val="center"/>
                </w:tcPr>
                <w:p w14:paraId="221A7219">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sz w:val="21"/>
                      <w:szCs w:val="21"/>
                      <w:highlight w:val="none"/>
                    </w:rPr>
                    <w:t>纯度＞99.95%</w:t>
                  </w:r>
                </w:p>
              </w:tc>
              <w:tc>
                <w:tcPr>
                  <w:tcW w:w="0" w:type="auto"/>
                  <w:tcBorders>
                    <w:tl2br w:val="nil"/>
                    <w:tr2bl w:val="nil"/>
                  </w:tcBorders>
                  <w:noWrap w:val="0"/>
                  <w:vAlign w:val="center"/>
                </w:tcPr>
                <w:p w14:paraId="4ABA7414">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000000"/>
                      <w:sz w:val="21"/>
                      <w:szCs w:val="21"/>
                      <w:highlight w:val="none"/>
                    </w:rPr>
                  </w:pPr>
                  <w:r>
                    <w:rPr>
                      <w:rFonts w:hint="eastAsia" w:ascii="Times New Roman" w:hAnsi="Times New Roman" w:cs="Times New Roman"/>
                      <w:sz w:val="21"/>
                      <w:szCs w:val="21"/>
                      <w:highlight w:val="none"/>
                      <w:vertAlign w:val="baseline"/>
                      <w:lang w:val="en-US" w:eastAsia="zh-CN"/>
                    </w:rPr>
                    <w:t>罐装</w:t>
                  </w:r>
                </w:p>
              </w:tc>
              <w:tc>
                <w:tcPr>
                  <w:tcW w:w="0" w:type="auto"/>
                  <w:tcBorders>
                    <w:tl2br w:val="nil"/>
                    <w:tr2bl w:val="nil"/>
                  </w:tcBorders>
                  <w:noWrap w:val="0"/>
                  <w:vAlign w:val="center"/>
                </w:tcPr>
                <w:p w14:paraId="76AE3BD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45</w:t>
                  </w:r>
                </w:p>
              </w:tc>
              <w:tc>
                <w:tcPr>
                  <w:tcW w:w="0" w:type="auto"/>
                  <w:tcBorders>
                    <w:tl2br w:val="nil"/>
                    <w:tr2bl w:val="nil"/>
                  </w:tcBorders>
                  <w:noWrap w:val="0"/>
                  <w:vAlign w:val="center"/>
                </w:tcPr>
                <w:p w14:paraId="50E4D77F">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吨</w:t>
                  </w:r>
                </w:p>
              </w:tc>
              <w:tc>
                <w:tcPr>
                  <w:tcW w:w="0" w:type="auto"/>
                  <w:tcBorders>
                    <w:tl2br w:val="nil"/>
                    <w:tr2bl w:val="nil"/>
                  </w:tcBorders>
                  <w:noWrap w:val="0"/>
                  <w:vAlign w:val="center"/>
                </w:tcPr>
                <w:p w14:paraId="5CDE4DEB">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外购</w:t>
                  </w:r>
                  <w:r>
                    <w:rPr>
                      <w:rFonts w:hint="eastAsia" w:ascii="Times New Roman" w:hAnsi="Times New Roman" w:eastAsia="宋体" w:cs="Times New Roman"/>
                      <w:kern w:val="0"/>
                      <w:sz w:val="21"/>
                      <w:szCs w:val="21"/>
                      <w:highlight w:val="none"/>
                      <w:lang w:val="en-US" w:eastAsia="zh-CN"/>
                    </w:rPr>
                    <w:t>，用于</w:t>
                  </w:r>
                  <w:r>
                    <w:rPr>
                      <w:rFonts w:hint="default" w:ascii="Times New Roman" w:hAnsi="Times New Roman" w:eastAsia="宋体" w:cs="Times New Roman"/>
                      <w:kern w:val="0"/>
                      <w:sz w:val="21"/>
                      <w:szCs w:val="21"/>
                      <w:highlight w:val="none"/>
                    </w:rPr>
                    <w:t>铸片炉</w:t>
                  </w:r>
                </w:p>
              </w:tc>
            </w:tr>
            <w:tr w14:paraId="37C4C5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1AACEC58">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w:t>
                  </w:r>
                </w:p>
              </w:tc>
              <w:tc>
                <w:tcPr>
                  <w:tcW w:w="0" w:type="auto"/>
                  <w:tcBorders>
                    <w:tl2br w:val="nil"/>
                    <w:tr2bl w:val="nil"/>
                  </w:tcBorders>
                  <w:noWrap w:val="0"/>
                  <w:vAlign w:val="center"/>
                </w:tcPr>
                <w:p w14:paraId="46543BF9">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氢气</w:t>
                  </w:r>
                </w:p>
              </w:tc>
              <w:tc>
                <w:tcPr>
                  <w:tcW w:w="0" w:type="auto"/>
                  <w:tcBorders>
                    <w:tl2br w:val="nil"/>
                    <w:tr2bl w:val="nil"/>
                  </w:tcBorders>
                  <w:noWrap w:val="0"/>
                  <w:vAlign w:val="center"/>
                </w:tcPr>
                <w:p w14:paraId="44FC661F">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sz w:val="21"/>
                      <w:szCs w:val="21"/>
                      <w:highlight w:val="none"/>
                    </w:rPr>
                    <w:t>纯度＞99.95%</w:t>
                  </w:r>
                </w:p>
              </w:tc>
              <w:tc>
                <w:tcPr>
                  <w:tcW w:w="0" w:type="auto"/>
                  <w:tcBorders>
                    <w:tl2br w:val="nil"/>
                    <w:tr2bl w:val="nil"/>
                  </w:tcBorders>
                  <w:noWrap w:val="0"/>
                  <w:vAlign w:val="center"/>
                </w:tcPr>
                <w:p w14:paraId="53F8A072">
                  <w:pPr>
                    <w:keepNext w:val="0"/>
                    <w:keepLines w:val="0"/>
                    <w:pageBreakBefore w:val="0"/>
                    <w:widowControl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000000"/>
                      <w:sz w:val="21"/>
                      <w:szCs w:val="21"/>
                      <w:highlight w:val="none"/>
                    </w:rPr>
                  </w:pPr>
                  <w:r>
                    <w:rPr>
                      <w:rFonts w:hint="eastAsia" w:ascii="Times New Roman" w:hAnsi="Times New Roman" w:cs="Times New Roman"/>
                      <w:sz w:val="21"/>
                      <w:szCs w:val="21"/>
                      <w:highlight w:val="none"/>
                      <w:vertAlign w:val="baseline"/>
                      <w:lang w:val="en-US" w:eastAsia="zh-CN"/>
                    </w:rPr>
                    <w:t>罐装</w:t>
                  </w:r>
                </w:p>
              </w:tc>
              <w:tc>
                <w:tcPr>
                  <w:tcW w:w="0" w:type="auto"/>
                  <w:tcBorders>
                    <w:tl2br w:val="nil"/>
                    <w:tr2bl w:val="nil"/>
                  </w:tcBorders>
                  <w:noWrap w:val="0"/>
                  <w:vAlign w:val="center"/>
                </w:tcPr>
                <w:p w14:paraId="5AC2B2C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7</w:t>
                  </w:r>
                </w:p>
              </w:tc>
              <w:tc>
                <w:tcPr>
                  <w:tcW w:w="0" w:type="auto"/>
                  <w:tcBorders>
                    <w:tl2br w:val="nil"/>
                    <w:tr2bl w:val="nil"/>
                  </w:tcBorders>
                  <w:noWrap w:val="0"/>
                  <w:vAlign w:val="center"/>
                </w:tcPr>
                <w:p w14:paraId="240D760C">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万m</w:t>
                  </w:r>
                  <w:r>
                    <w:rPr>
                      <w:rFonts w:hint="eastAsia" w:ascii="Times New Roman" w:hAnsi="Times New Roman" w:cs="Times New Roman"/>
                      <w:sz w:val="21"/>
                      <w:szCs w:val="21"/>
                      <w:highlight w:val="none"/>
                      <w:vertAlign w:val="superscript"/>
                      <w:lang w:val="en-US" w:eastAsia="zh-CN"/>
                    </w:rPr>
                    <w:t>3</w:t>
                  </w:r>
                </w:p>
              </w:tc>
              <w:tc>
                <w:tcPr>
                  <w:tcW w:w="0" w:type="auto"/>
                  <w:tcBorders>
                    <w:tl2br w:val="nil"/>
                    <w:tr2bl w:val="nil"/>
                  </w:tcBorders>
                  <w:noWrap w:val="0"/>
                  <w:vAlign w:val="center"/>
                </w:tcPr>
                <w:p w14:paraId="759004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外购，用于制粉工序</w:t>
                  </w:r>
                </w:p>
              </w:tc>
            </w:tr>
            <w:tr w14:paraId="30F770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258379A1">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w:t>
                  </w:r>
                </w:p>
              </w:tc>
              <w:tc>
                <w:tcPr>
                  <w:tcW w:w="0" w:type="auto"/>
                  <w:tcBorders>
                    <w:tl2br w:val="nil"/>
                    <w:tr2bl w:val="nil"/>
                  </w:tcBorders>
                  <w:noWrap w:val="0"/>
                  <w:vAlign w:val="center"/>
                </w:tcPr>
                <w:p w14:paraId="0228EF37">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液压油</w:t>
                  </w:r>
                </w:p>
              </w:tc>
              <w:tc>
                <w:tcPr>
                  <w:tcW w:w="0" w:type="auto"/>
                  <w:tcBorders>
                    <w:tl2br w:val="nil"/>
                    <w:tr2bl w:val="nil"/>
                  </w:tcBorders>
                  <w:noWrap w:val="0"/>
                  <w:vAlign w:val="center"/>
                </w:tcPr>
                <w:p w14:paraId="3F0824E1">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w:t>
                  </w:r>
                </w:p>
              </w:tc>
              <w:tc>
                <w:tcPr>
                  <w:tcW w:w="0" w:type="auto"/>
                  <w:tcBorders>
                    <w:tl2br w:val="nil"/>
                    <w:tr2bl w:val="nil"/>
                  </w:tcBorders>
                  <w:noWrap w:val="0"/>
                  <w:vAlign w:val="center"/>
                </w:tcPr>
                <w:p w14:paraId="3A5B1FDE">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170kg/桶</w:t>
                  </w:r>
                </w:p>
              </w:tc>
              <w:tc>
                <w:tcPr>
                  <w:tcW w:w="0" w:type="auto"/>
                  <w:tcBorders>
                    <w:tl2br w:val="nil"/>
                    <w:tr2bl w:val="nil"/>
                  </w:tcBorders>
                  <w:noWrap w:val="0"/>
                  <w:vAlign w:val="center"/>
                </w:tcPr>
                <w:p w14:paraId="13C6C97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9.4</w:t>
                  </w:r>
                </w:p>
              </w:tc>
              <w:tc>
                <w:tcPr>
                  <w:tcW w:w="0" w:type="auto"/>
                  <w:tcBorders>
                    <w:tl2br w:val="nil"/>
                    <w:tr2bl w:val="nil"/>
                  </w:tcBorders>
                  <w:noWrap w:val="0"/>
                  <w:vAlign w:val="center"/>
                </w:tcPr>
                <w:p w14:paraId="7E716151">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吨</w:t>
                  </w:r>
                </w:p>
              </w:tc>
              <w:tc>
                <w:tcPr>
                  <w:tcW w:w="0" w:type="auto"/>
                  <w:tcBorders>
                    <w:tl2br w:val="nil"/>
                    <w:tr2bl w:val="nil"/>
                  </w:tcBorders>
                  <w:noWrap w:val="0"/>
                  <w:vAlign w:val="center"/>
                </w:tcPr>
                <w:p w14:paraId="05DBFF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用于</w:t>
                  </w:r>
                  <w:r>
                    <w:rPr>
                      <w:rFonts w:hint="eastAsia" w:cs="Times New Roman"/>
                      <w:sz w:val="21"/>
                      <w:szCs w:val="21"/>
                      <w:highlight w:val="none"/>
                      <w:vertAlign w:val="baseline"/>
                      <w:lang w:val="en-US" w:eastAsia="zh-CN"/>
                    </w:rPr>
                    <w:t>成型</w:t>
                  </w:r>
                  <w:r>
                    <w:rPr>
                      <w:rFonts w:hint="eastAsia" w:ascii="Times New Roman" w:hAnsi="Times New Roman" w:cs="Times New Roman"/>
                      <w:sz w:val="21"/>
                      <w:szCs w:val="21"/>
                      <w:highlight w:val="none"/>
                      <w:vertAlign w:val="baseline"/>
                      <w:lang w:val="en-US" w:eastAsia="zh-CN"/>
                    </w:rPr>
                    <w:t>工序</w:t>
                  </w:r>
                </w:p>
              </w:tc>
            </w:tr>
            <w:tr w14:paraId="351996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37B96100">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8</w:t>
                  </w:r>
                </w:p>
              </w:tc>
              <w:tc>
                <w:tcPr>
                  <w:tcW w:w="0" w:type="auto"/>
                  <w:tcBorders>
                    <w:tl2br w:val="nil"/>
                    <w:tr2bl w:val="nil"/>
                  </w:tcBorders>
                  <w:noWrap w:val="0"/>
                  <w:vAlign w:val="center"/>
                </w:tcPr>
                <w:p w14:paraId="58D40444">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真空泵油</w:t>
                  </w:r>
                </w:p>
              </w:tc>
              <w:tc>
                <w:tcPr>
                  <w:tcW w:w="0" w:type="auto"/>
                  <w:tcBorders>
                    <w:tl2br w:val="nil"/>
                    <w:tr2bl w:val="nil"/>
                  </w:tcBorders>
                  <w:noWrap w:val="0"/>
                  <w:vAlign w:val="center"/>
                </w:tcPr>
                <w:p w14:paraId="7B9AFB1D">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w:t>
                  </w:r>
                </w:p>
              </w:tc>
              <w:tc>
                <w:tcPr>
                  <w:tcW w:w="0" w:type="auto"/>
                  <w:tcBorders>
                    <w:tl2br w:val="nil"/>
                    <w:tr2bl w:val="nil"/>
                  </w:tcBorders>
                  <w:noWrap w:val="0"/>
                  <w:vAlign w:val="center"/>
                </w:tcPr>
                <w:p w14:paraId="07CC4726">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170kg/桶</w:t>
                  </w:r>
                </w:p>
              </w:tc>
              <w:tc>
                <w:tcPr>
                  <w:tcW w:w="0" w:type="auto"/>
                  <w:tcBorders>
                    <w:tl2br w:val="nil"/>
                    <w:tr2bl w:val="nil"/>
                  </w:tcBorders>
                  <w:noWrap w:val="0"/>
                  <w:vAlign w:val="center"/>
                </w:tcPr>
                <w:p w14:paraId="66E5DE8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1.04</w:t>
                  </w:r>
                </w:p>
              </w:tc>
              <w:tc>
                <w:tcPr>
                  <w:tcW w:w="0" w:type="auto"/>
                  <w:tcBorders>
                    <w:tl2br w:val="nil"/>
                    <w:tr2bl w:val="nil"/>
                  </w:tcBorders>
                  <w:noWrap w:val="0"/>
                  <w:vAlign w:val="center"/>
                </w:tcPr>
                <w:p w14:paraId="07D59FF9">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吨</w:t>
                  </w:r>
                </w:p>
              </w:tc>
              <w:tc>
                <w:tcPr>
                  <w:tcW w:w="0" w:type="auto"/>
                  <w:tcBorders>
                    <w:tl2br w:val="nil"/>
                    <w:tr2bl w:val="nil"/>
                  </w:tcBorders>
                  <w:noWrap w:val="0"/>
                  <w:vAlign w:val="center"/>
                </w:tcPr>
                <w:p w14:paraId="3DC54E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用于烧结工序真空泵</w:t>
                  </w:r>
                </w:p>
              </w:tc>
            </w:tr>
          </w:tbl>
          <w:p w14:paraId="54230A0A">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液压油：</w:t>
            </w:r>
            <w:r>
              <w:rPr>
                <w:rFonts w:hint="default" w:ascii="Times New Roman" w:hAnsi="Times New Roman" w:eastAsia="宋体" w:cs="Times New Roman"/>
                <w:kern w:val="0"/>
                <w:sz w:val="24"/>
                <w:szCs w:val="24"/>
                <w:highlight w:val="none"/>
              </w:rPr>
              <w:t>利用液体压力能的液压系统使用的液压介质，在液压系统中起着能量传递、抗磨、系统润滑、防腐、防锈、冷却等作用。</w:t>
            </w:r>
          </w:p>
          <w:p w14:paraId="29621F68">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真空泵油：</w:t>
            </w:r>
            <w:r>
              <w:rPr>
                <w:rFonts w:hint="eastAsia" w:ascii="Times New Roman" w:hAnsi="Times New Roman" w:eastAsia="宋体" w:cs="Times New Roman"/>
                <w:b w:val="0"/>
                <w:bCs w:val="0"/>
                <w:sz w:val="24"/>
                <w:szCs w:val="24"/>
                <w:highlight w:val="none"/>
                <w:lang w:val="en-US" w:eastAsia="zh-CN"/>
              </w:rPr>
              <w:t>是高度提炼的矿物油和添加剂组成混合物，为琥珀色</w:t>
            </w:r>
            <w:r>
              <w:rPr>
                <w:rFonts w:hint="eastAsia" w:cs="Times New Roman"/>
                <w:b w:val="0"/>
                <w:bCs w:val="0"/>
                <w:sz w:val="24"/>
                <w:szCs w:val="24"/>
                <w:highlight w:val="none"/>
                <w:lang w:val="en-US" w:eastAsia="zh-CN"/>
              </w:rPr>
              <w:t>黏性</w:t>
            </w:r>
            <w:r>
              <w:rPr>
                <w:rFonts w:hint="eastAsia" w:ascii="Times New Roman" w:hAnsi="Times New Roman" w:eastAsia="宋体" w:cs="Times New Roman"/>
                <w:b w:val="0"/>
                <w:bCs w:val="0"/>
                <w:sz w:val="24"/>
                <w:szCs w:val="24"/>
                <w:highlight w:val="none"/>
                <w:lang w:val="en-US" w:eastAsia="zh-CN"/>
              </w:rPr>
              <w:t>液体。</w:t>
            </w:r>
          </w:p>
          <w:p w14:paraId="22BF14A2">
            <w:pPr>
              <w:keepNext w:val="0"/>
              <w:keepLines w:val="0"/>
              <w:pageBreakBefore w:val="0"/>
              <w:widowControl w:val="0"/>
              <w:suppressLineNumbers w:val="0"/>
              <w:kinsoku/>
              <w:wordWrap/>
              <w:overflowPunct/>
              <w:topLinePunct w:val="0"/>
              <w:autoSpaceDE/>
              <w:autoSpaceDN/>
              <w:bidi w:val="0"/>
              <w:adjustRightInd/>
              <w:snapToGrid/>
              <w:spacing w:line="360" w:lineRule="auto"/>
              <w:ind w:firstLine="422" w:firstLineChars="200"/>
              <w:jc w:val="both"/>
              <w:textAlignment w:val="auto"/>
              <w:rPr>
                <w:rFonts w:hint="default" w:ascii="Times New Roman" w:hAnsi="Times New Roman" w:eastAsia="宋体" w:cs="Times New Roman"/>
                <w:b/>
                <w:bCs/>
                <w:highlight w:val="none"/>
                <w:lang w:val="en-US" w:eastAsia="zh-CN"/>
              </w:rPr>
            </w:pPr>
            <w:r>
              <w:rPr>
                <w:rFonts w:hint="eastAsia" w:ascii="Times New Roman" w:hAnsi="Times New Roman" w:eastAsia="宋体" w:cs="Times New Roman"/>
                <w:b/>
                <w:bCs/>
                <w:highlight w:val="none"/>
                <w:lang w:val="en-US" w:eastAsia="zh-CN"/>
              </w:rPr>
              <w:t>3、主要产品方案</w:t>
            </w:r>
          </w:p>
          <w:p w14:paraId="25EB814C">
            <w:pPr>
              <w:pStyle w:val="41"/>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表2-3  产品方案一览表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2740"/>
              <w:gridCol w:w="1534"/>
              <w:gridCol w:w="2137"/>
              <w:gridCol w:w="1534"/>
            </w:tblGrid>
            <w:tr w14:paraId="4EEC2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69A6C7E1">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产品名称</w:t>
                  </w:r>
                </w:p>
              </w:tc>
              <w:tc>
                <w:tcPr>
                  <w:tcW w:w="0" w:type="auto"/>
                  <w:tcBorders>
                    <w:tl2br w:val="nil"/>
                    <w:tr2bl w:val="nil"/>
                  </w:tcBorders>
                  <w:noWrap w:val="0"/>
                  <w:vAlign w:val="center"/>
                </w:tcPr>
                <w:p w14:paraId="033110E7">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单位</w:t>
                  </w:r>
                </w:p>
              </w:tc>
              <w:tc>
                <w:tcPr>
                  <w:tcW w:w="0" w:type="auto"/>
                  <w:tcBorders>
                    <w:tl2br w:val="nil"/>
                    <w:tr2bl w:val="nil"/>
                  </w:tcBorders>
                  <w:noWrap w:val="0"/>
                  <w:vAlign w:val="center"/>
                </w:tcPr>
                <w:p w14:paraId="6DD7B2A6">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年产量</w:t>
                  </w:r>
                </w:p>
              </w:tc>
              <w:tc>
                <w:tcPr>
                  <w:tcW w:w="0" w:type="auto"/>
                  <w:tcBorders>
                    <w:tl2br w:val="nil"/>
                    <w:tr2bl w:val="nil"/>
                  </w:tcBorders>
                  <w:noWrap w:val="0"/>
                  <w:vAlign w:val="center"/>
                </w:tcPr>
                <w:p w14:paraId="407901FB">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备注</w:t>
                  </w:r>
                </w:p>
              </w:tc>
            </w:tr>
            <w:tr w14:paraId="39B1E1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jc w:val="center"/>
              </w:trPr>
              <w:tc>
                <w:tcPr>
                  <w:tcW w:w="0" w:type="auto"/>
                  <w:tcBorders>
                    <w:tl2br w:val="nil"/>
                    <w:tr2bl w:val="nil"/>
                  </w:tcBorders>
                  <w:noWrap w:val="0"/>
                  <w:vAlign w:val="center"/>
                </w:tcPr>
                <w:p w14:paraId="5F8DFA7C">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钕铁硼</w:t>
                  </w:r>
                </w:p>
              </w:tc>
              <w:tc>
                <w:tcPr>
                  <w:tcW w:w="0" w:type="auto"/>
                  <w:tcBorders>
                    <w:tl2br w:val="nil"/>
                    <w:tr2bl w:val="nil"/>
                  </w:tcBorders>
                  <w:noWrap w:val="0"/>
                  <w:vAlign w:val="center"/>
                </w:tcPr>
                <w:p w14:paraId="267B6F87">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吨</w:t>
                  </w:r>
                </w:p>
              </w:tc>
              <w:tc>
                <w:tcPr>
                  <w:tcW w:w="0" w:type="auto"/>
                  <w:tcBorders>
                    <w:tl2br w:val="nil"/>
                    <w:tr2bl w:val="nil"/>
                  </w:tcBorders>
                  <w:noWrap w:val="0"/>
                  <w:vAlign w:val="center"/>
                </w:tcPr>
                <w:p w14:paraId="185B8DFE">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1000</w:t>
                  </w:r>
                </w:p>
              </w:tc>
              <w:tc>
                <w:tcPr>
                  <w:tcW w:w="0" w:type="auto"/>
                  <w:tcBorders>
                    <w:tl2br w:val="nil"/>
                    <w:tr2bl w:val="nil"/>
                  </w:tcBorders>
                  <w:noWrap w:val="0"/>
                  <w:vAlign w:val="center"/>
                </w:tcPr>
                <w:p w14:paraId="2BFCD36B">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r>
          </w:tbl>
          <w:p w14:paraId="323BCE3F">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主要产品为N35、N38、N40、N42、35H、38H、40H系列钕铁硼永磁</w:t>
            </w:r>
            <w:r>
              <w:rPr>
                <w:rFonts w:hint="eastAsia" w:ascii="Times New Roman" w:hAnsi="Times New Roman" w:cs="Times New Roman"/>
                <w:sz w:val="24"/>
                <w:szCs w:val="24"/>
                <w:highlight w:val="none"/>
                <w:lang w:val="en-US" w:eastAsia="zh-CN"/>
              </w:rPr>
              <w:t>体</w:t>
            </w:r>
            <w:r>
              <w:rPr>
                <w:rFonts w:hint="default" w:ascii="Times New Roman" w:hAnsi="Times New Roman" w:eastAsia="宋体" w:cs="Times New Roman"/>
                <w:sz w:val="24"/>
                <w:szCs w:val="24"/>
                <w:highlight w:val="none"/>
                <w:lang w:val="en-US" w:eastAsia="zh-CN"/>
              </w:rPr>
              <w:t>。</w:t>
            </w:r>
          </w:p>
          <w:p w14:paraId="722EF14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产品规格型号：φ3-φ30之间。</w:t>
            </w:r>
          </w:p>
          <w:p w14:paraId="5A49699B">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长度：25～36mm。</w:t>
            </w:r>
          </w:p>
          <w:p w14:paraId="36424EA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质量标准：《烧结钕铁硼永磁材料》（GB/T13560-20</w:t>
            </w:r>
            <w:r>
              <w:rPr>
                <w:rFonts w:hint="eastAsia" w:ascii="Times New Roman" w:hAnsi="Times New Roman" w:cs="Times New Roman"/>
                <w:sz w:val="24"/>
                <w:szCs w:val="24"/>
                <w:highlight w:val="none"/>
                <w:lang w:val="en-US" w:eastAsia="zh-CN"/>
              </w:rPr>
              <w:t>17</w:t>
            </w:r>
            <w:r>
              <w:rPr>
                <w:rFonts w:hint="default" w:ascii="Times New Roman" w:hAnsi="Times New Roman" w:eastAsia="宋体" w:cs="Times New Roman"/>
                <w:sz w:val="24"/>
                <w:szCs w:val="24"/>
                <w:highlight w:val="none"/>
                <w:lang w:val="en-US" w:eastAsia="zh-CN"/>
              </w:rPr>
              <w:t>）。</w:t>
            </w:r>
          </w:p>
          <w:p w14:paraId="494E247E">
            <w:pPr>
              <w:pStyle w:val="41"/>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表2-4  物料平衡情况一览表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986"/>
              <w:gridCol w:w="1378"/>
              <w:gridCol w:w="3202"/>
              <w:gridCol w:w="1379"/>
            </w:tblGrid>
            <w:tr w14:paraId="3801DB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gridSpan w:val="2"/>
                  <w:tcBorders>
                    <w:tl2br w:val="nil"/>
                    <w:tr2bl w:val="nil"/>
                  </w:tcBorders>
                  <w:noWrap w:val="0"/>
                  <w:vAlign w:val="center"/>
                </w:tcPr>
                <w:p w14:paraId="71BC40A3">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投入</w:t>
                  </w:r>
                  <w:r>
                    <w:rPr>
                      <w:rFonts w:hint="eastAsia" w:ascii="Times New Roman" w:hAnsi="Times New Roman" w:eastAsia="宋体" w:cs="Times New Roman"/>
                      <w:sz w:val="21"/>
                      <w:szCs w:val="21"/>
                      <w:highlight w:val="none"/>
                      <w:vertAlign w:val="baseline"/>
                      <w:lang w:val="en-US" w:eastAsia="zh-CN"/>
                    </w:rPr>
                    <w:t>（t/a）</w:t>
                  </w:r>
                </w:p>
              </w:tc>
              <w:tc>
                <w:tcPr>
                  <w:tcW w:w="0" w:type="auto"/>
                  <w:gridSpan w:val="2"/>
                  <w:tcBorders>
                    <w:tl2br w:val="nil"/>
                    <w:tr2bl w:val="nil"/>
                  </w:tcBorders>
                  <w:noWrap w:val="0"/>
                  <w:vAlign w:val="center"/>
                </w:tcPr>
                <w:p w14:paraId="5521AEF1">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产出</w:t>
                  </w:r>
                  <w:r>
                    <w:rPr>
                      <w:rFonts w:hint="eastAsia" w:ascii="Times New Roman" w:hAnsi="Times New Roman" w:eastAsia="宋体" w:cs="Times New Roman"/>
                      <w:sz w:val="21"/>
                      <w:szCs w:val="21"/>
                      <w:highlight w:val="none"/>
                      <w:vertAlign w:val="baseline"/>
                      <w:lang w:val="en-US" w:eastAsia="zh-CN"/>
                    </w:rPr>
                    <w:t>（t/a）</w:t>
                  </w:r>
                </w:p>
              </w:tc>
            </w:tr>
            <w:tr w14:paraId="37AFAD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noWrap w:val="0"/>
                  <w:vAlign w:val="center"/>
                </w:tcPr>
                <w:p w14:paraId="25ADEF4D">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名称</w:t>
                  </w:r>
                </w:p>
              </w:tc>
              <w:tc>
                <w:tcPr>
                  <w:tcW w:w="0" w:type="auto"/>
                  <w:tcBorders>
                    <w:tl2br w:val="nil"/>
                    <w:tr2bl w:val="nil"/>
                  </w:tcBorders>
                  <w:noWrap w:val="0"/>
                  <w:vAlign w:val="center"/>
                </w:tcPr>
                <w:p w14:paraId="4C295902">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数量</w:t>
                  </w:r>
                </w:p>
              </w:tc>
              <w:tc>
                <w:tcPr>
                  <w:tcW w:w="0" w:type="auto"/>
                  <w:tcBorders>
                    <w:tl2br w:val="nil"/>
                    <w:tr2bl w:val="nil"/>
                  </w:tcBorders>
                  <w:noWrap w:val="0"/>
                  <w:vAlign w:val="center"/>
                </w:tcPr>
                <w:p w14:paraId="61B6500B">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名称</w:t>
                  </w:r>
                </w:p>
              </w:tc>
              <w:tc>
                <w:tcPr>
                  <w:tcW w:w="0" w:type="auto"/>
                  <w:tcBorders>
                    <w:tl2br w:val="nil"/>
                    <w:tr2bl w:val="nil"/>
                  </w:tcBorders>
                  <w:noWrap w:val="0"/>
                  <w:vAlign w:val="center"/>
                </w:tcPr>
                <w:p w14:paraId="376F905E">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数量</w:t>
                  </w:r>
                </w:p>
              </w:tc>
            </w:tr>
            <w:tr w14:paraId="69C632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noWrap w:val="0"/>
                  <w:vAlign w:val="center"/>
                </w:tcPr>
                <w:p w14:paraId="2D2F2EC5">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纯铁</w:t>
                  </w:r>
                </w:p>
              </w:tc>
              <w:tc>
                <w:tcPr>
                  <w:tcW w:w="0" w:type="auto"/>
                  <w:tcBorders>
                    <w:tl2br w:val="nil"/>
                    <w:tr2bl w:val="nil"/>
                  </w:tcBorders>
                  <w:noWrap w:val="0"/>
                  <w:vAlign w:val="center"/>
                </w:tcPr>
                <w:p w14:paraId="04B0C87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700</w:t>
                  </w:r>
                </w:p>
              </w:tc>
              <w:tc>
                <w:tcPr>
                  <w:tcW w:w="0" w:type="auto"/>
                  <w:tcBorders>
                    <w:tl2br w:val="nil"/>
                    <w:tr2bl w:val="nil"/>
                  </w:tcBorders>
                  <w:noWrap w:val="0"/>
                  <w:vAlign w:val="center"/>
                </w:tcPr>
                <w:p w14:paraId="565B2B3C">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钕铁硼</w:t>
                  </w:r>
                </w:p>
              </w:tc>
              <w:tc>
                <w:tcPr>
                  <w:tcW w:w="0" w:type="auto"/>
                  <w:tcBorders>
                    <w:tl2br w:val="nil"/>
                    <w:tr2bl w:val="nil"/>
                  </w:tcBorders>
                  <w:noWrap w:val="0"/>
                  <w:vAlign w:val="center"/>
                </w:tcPr>
                <w:p w14:paraId="01E86C5E">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1000</w:t>
                  </w:r>
                </w:p>
              </w:tc>
            </w:tr>
            <w:tr w14:paraId="561FB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shd w:val="clear" w:color="auto" w:fill="auto"/>
                  <w:noWrap w:val="0"/>
                  <w:vAlign w:val="center"/>
                </w:tcPr>
                <w:p w14:paraId="4077FAAD">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金属钕</w:t>
                  </w:r>
                </w:p>
              </w:tc>
              <w:tc>
                <w:tcPr>
                  <w:tcW w:w="0" w:type="auto"/>
                  <w:tcBorders>
                    <w:tl2br w:val="nil"/>
                    <w:tr2bl w:val="nil"/>
                  </w:tcBorders>
                  <w:shd w:val="clear" w:color="auto" w:fill="auto"/>
                  <w:noWrap w:val="0"/>
                  <w:vAlign w:val="center"/>
                </w:tcPr>
                <w:p w14:paraId="49BD856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260</w:t>
                  </w:r>
                </w:p>
              </w:tc>
              <w:tc>
                <w:tcPr>
                  <w:tcW w:w="0" w:type="auto"/>
                  <w:tcBorders>
                    <w:tl2br w:val="nil"/>
                    <w:tr2bl w:val="nil"/>
                  </w:tcBorders>
                  <w:noWrap w:val="0"/>
                  <w:vAlign w:val="center"/>
                </w:tcPr>
                <w:p w14:paraId="4C19BE5E">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有组织粉尘</w:t>
                  </w:r>
                </w:p>
              </w:tc>
              <w:tc>
                <w:tcPr>
                  <w:tcW w:w="0" w:type="auto"/>
                  <w:tcBorders>
                    <w:tl2br w:val="nil"/>
                    <w:tr2bl w:val="nil"/>
                  </w:tcBorders>
                  <w:noWrap w:val="0"/>
                  <w:vAlign w:val="center"/>
                </w:tcPr>
                <w:p w14:paraId="5F8D11BC">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0.13</w:t>
                  </w:r>
                </w:p>
              </w:tc>
            </w:tr>
            <w:tr w14:paraId="29158A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shd w:val="clear" w:color="auto" w:fill="auto"/>
                  <w:noWrap w:val="0"/>
                  <w:vAlign w:val="center"/>
                </w:tcPr>
                <w:p w14:paraId="70AA553B">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硼铁</w:t>
                  </w:r>
                </w:p>
              </w:tc>
              <w:tc>
                <w:tcPr>
                  <w:tcW w:w="0" w:type="auto"/>
                  <w:tcBorders>
                    <w:tl2br w:val="nil"/>
                    <w:tr2bl w:val="nil"/>
                  </w:tcBorders>
                  <w:shd w:val="clear" w:color="auto" w:fill="auto"/>
                  <w:noWrap w:val="0"/>
                  <w:vAlign w:val="center"/>
                </w:tcPr>
                <w:p w14:paraId="5CE788E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60</w:t>
                  </w:r>
                </w:p>
              </w:tc>
              <w:tc>
                <w:tcPr>
                  <w:tcW w:w="0" w:type="auto"/>
                  <w:tcBorders>
                    <w:tl2br w:val="nil"/>
                    <w:tr2bl w:val="nil"/>
                  </w:tcBorders>
                  <w:noWrap w:val="0"/>
                  <w:vAlign w:val="center"/>
                </w:tcPr>
                <w:p w14:paraId="7E16868A">
                  <w:pPr>
                    <w:keepNext w:val="0"/>
                    <w:keepLines w:val="0"/>
                    <w:pageBreakBefore w:val="0"/>
                    <w:widowControl w:val="0"/>
                    <w:kinsoku/>
                    <w:wordWrap/>
                    <w:overflowPunct/>
                    <w:topLinePunct w:val="0"/>
                    <w:autoSpaceDE/>
                    <w:autoSpaceDN/>
                    <w:bidi w:val="0"/>
                    <w:spacing w:line="24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无组织粉尘</w:t>
                  </w:r>
                </w:p>
              </w:tc>
              <w:tc>
                <w:tcPr>
                  <w:tcW w:w="0" w:type="auto"/>
                  <w:tcBorders>
                    <w:tl2br w:val="nil"/>
                    <w:tr2bl w:val="nil"/>
                  </w:tcBorders>
                  <w:noWrap w:val="0"/>
                  <w:vAlign w:val="center"/>
                </w:tcPr>
                <w:p w14:paraId="66B738BE">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0.17</w:t>
                  </w:r>
                </w:p>
              </w:tc>
            </w:tr>
            <w:tr w14:paraId="046E27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shd w:val="clear" w:color="auto" w:fill="auto"/>
                  <w:noWrap w:val="0"/>
                  <w:vAlign w:val="center"/>
                </w:tcPr>
                <w:p w14:paraId="78FD1281">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p>
              </w:tc>
              <w:tc>
                <w:tcPr>
                  <w:tcW w:w="0" w:type="auto"/>
                  <w:tcBorders>
                    <w:tl2br w:val="nil"/>
                    <w:tr2bl w:val="nil"/>
                  </w:tcBorders>
                  <w:shd w:val="clear" w:color="auto" w:fill="auto"/>
                  <w:noWrap w:val="0"/>
                  <w:vAlign w:val="center"/>
                </w:tcPr>
                <w:p w14:paraId="5282013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p>
              </w:tc>
              <w:tc>
                <w:tcPr>
                  <w:tcW w:w="0" w:type="auto"/>
                  <w:tcBorders>
                    <w:tl2br w:val="nil"/>
                    <w:tr2bl w:val="nil"/>
                  </w:tcBorders>
                  <w:noWrap w:val="0"/>
                  <w:vAlign w:val="center"/>
                </w:tcPr>
                <w:p w14:paraId="271296E6">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废边角料</w:t>
                  </w:r>
                </w:p>
              </w:tc>
              <w:tc>
                <w:tcPr>
                  <w:tcW w:w="0" w:type="auto"/>
                  <w:tcBorders>
                    <w:tl2br w:val="nil"/>
                    <w:tr2bl w:val="nil"/>
                  </w:tcBorders>
                  <w:noWrap w:val="0"/>
                  <w:vAlign w:val="center"/>
                </w:tcPr>
                <w:p w14:paraId="65531F42">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14.1</w:t>
                  </w:r>
                </w:p>
              </w:tc>
            </w:tr>
            <w:tr w14:paraId="49F16E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shd w:val="clear" w:color="auto" w:fill="auto"/>
                  <w:noWrap w:val="0"/>
                  <w:vAlign w:val="center"/>
                </w:tcPr>
                <w:p w14:paraId="3BC84BE2">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p>
              </w:tc>
              <w:tc>
                <w:tcPr>
                  <w:tcW w:w="0" w:type="auto"/>
                  <w:tcBorders>
                    <w:tl2br w:val="nil"/>
                    <w:tr2bl w:val="nil"/>
                  </w:tcBorders>
                  <w:shd w:val="clear" w:color="auto" w:fill="auto"/>
                  <w:noWrap w:val="0"/>
                  <w:vAlign w:val="center"/>
                </w:tcPr>
                <w:p w14:paraId="24BA651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00"/>
                      <w:kern w:val="2"/>
                      <w:sz w:val="21"/>
                      <w:szCs w:val="21"/>
                      <w:highlight w:val="none"/>
                      <w:vertAlign w:val="baseline"/>
                      <w:lang w:val="en-US" w:eastAsia="zh-CN" w:bidi="ar-SA"/>
                    </w:rPr>
                  </w:pPr>
                </w:p>
              </w:tc>
              <w:tc>
                <w:tcPr>
                  <w:tcW w:w="0" w:type="auto"/>
                  <w:tcBorders>
                    <w:tl2br w:val="nil"/>
                    <w:tr2bl w:val="nil"/>
                  </w:tcBorders>
                  <w:noWrap w:val="0"/>
                  <w:vAlign w:val="center"/>
                </w:tcPr>
                <w:p w14:paraId="7B537E96">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废氧化铁屑</w:t>
                  </w:r>
                </w:p>
              </w:tc>
              <w:tc>
                <w:tcPr>
                  <w:tcW w:w="0" w:type="auto"/>
                  <w:tcBorders>
                    <w:tl2br w:val="nil"/>
                    <w:tr2bl w:val="nil"/>
                  </w:tcBorders>
                  <w:noWrap w:val="0"/>
                  <w:vAlign w:val="center"/>
                </w:tcPr>
                <w:p w14:paraId="76779CA1">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3.1</w:t>
                  </w:r>
                </w:p>
              </w:tc>
            </w:tr>
            <w:tr w14:paraId="1163A1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noWrap w:val="0"/>
                  <w:vAlign w:val="center"/>
                </w:tcPr>
                <w:p w14:paraId="1D502466">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p>
              </w:tc>
              <w:tc>
                <w:tcPr>
                  <w:tcW w:w="0" w:type="auto"/>
                  <w:tcBorders>
                    <w:tl2br w:val="nil"/>
                    <w:tr2bl w:val="nil"/>
                  </w:tcBorders>
                  <w:noWrap w:val="0"/>
                  <w:vAlign w:val="center"/>
                </w:tcPr>
                <w:p w14:paraId="42F7945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0" w:type="auto"/>
                  <w:tcBorders>
                    <w:tl2br w:val="nil"/>
                    <w:tr2bl w:val="nil"/>
                  </w:tcBorders>
                  <w:noWrap w:val="0"/>
                  <w:vAlign w:val="center"/>
                </w:tcPr>
                <w:p w14:paraId="7F4D146A">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磨泥</w:t>
                  </w:r>
                </w:p>
              </w:tc>
              <w:tc>
                <w:tcPr>
                  <w:tcW w:w="0" w:type="auto"/>
                  <w:tcBorders>
                    <w:tl2br w:val="nil"/>
                    <w:tr2bl w:val="nil"/>
                  </w:tcBorders>
                  <w:noWrap w:val="0"/>
                  <w:vAlign w:val="center"/>
                </w:tcPr>
                <w:p w14:paraId="00823644">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2.5</w:t>
                  </w:r>
                </w:p>
              </w:tc>
            </w:tr>
            <w:tr w14:paraId="6FE312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noWrap w:val="0"/>
                  <w:vAlign w:val="center"/>
                </w:tcPr>
                <w:p w14:paraId="1942D985">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合计</w:t>
                  </w:r>
                </w:p>
              </w:tc>
              <w:tc>
                <w:tcPr>
                  <w:tcW w:w="0" w:type="auto"/>
                  <w:tcBorders>
                    <w:tl2br w:val="nil"/>
                    <w:tr2bl w:val="nil"/>
                  </w:tcBorders>
                  <w:noWrap w:val="0"/>
                  <w:vAlign w:val="center"/>
                </w:tcPr>
                <w:p w14:paraId="2ACEB42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1020</w:t>
                  </w:r>
                </w:p>
              </w:tc>
              <w:tc>
                <w:tcPr>
                  <w:tcW w:w="0" w:type="auto"/>
                  <w:tcBorders>
                    <w:tl2br w:val="nil"/>
                    <w:tr2bl w:val="nil"/>
                  </w:tcBorders>
                  <w:noWrap w:val="0"/>
                  <w:vAlign w:val="center"/>
                </w:tcPr>
                <w:p w14:paraId="2D5A29E5">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合计</w:t>
                  </w:r>
                </w:p>
              </w:tc>
              <w:tc>
                <w:tcPr>
                  <w:tcW w:w="0" w:type="auto"/>
                  <w:tcBorders>
                    <w:tl2br w:val="nil"/>
                    <w:tr2bl w:val="nil"/>
                  </w:tcBorders>
                  <w:noWrap w:val="0"/>
                  <w:vAlign w:val="center"/>
                </w:tcPr>
                <w:p w14:paraId="4B57AA8C">
                  <w:pPr>
                    <w:keepNext w:val="0"/>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1020</w:t>
                  </w:r>
                </w:p>
              </w:tc>
            </w:tr>
          </w:tbl>
          <w:p w14:paraId="0BA0FBD2">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4、项目平面布置</w:t>
            </w:r>
          </w:p>
          <w:p w14:paraId="1EB61E5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山西华晋磁材科技有限公司年产1000吨钕铁硼生产线项目，</w:t>
            </w:r>
            <w:r>
              <w:rPr>
                <w:rFonts w:hint="eastAsia" w:cs="Times New Roman"/>
                <w:sz w:val="24"/>
                <w:szCs w:val="24"/>
                <w:highlight w:val="none"/>
                <w:lang w:val="en-US" w:eastAsia="zh-CN"/>
              </w:rPr>
              <w:t>项目分为生产车间及氢碎车间，生产车间</w:t>
            </w:r>
            <w:r>
              <w:rPr>
                <w:rFonts w:hint="eastAsia" w:ascii="Times New Roman" w:hAnsi="Times New Roman" w:eastAsia="宋体" w:cs="Times New Roman"/>
                <w:sz w:val="24"/>
                <w:szCs w:val="24"/>
                <w:highlight w:val="none"/>
                <w:lang w:val="en-US" w:eastAsia="zh-CN"/>
              </w:rPr>
              <w:t>内主要划分</w:t>
            </w:r>
            <w:r>
              <w:rPr>
                <w:rFonts w:hint="eastAsia" w:ascii="Times New Roman" w:hAnsi="Times New Roman" w:eastAsia="宋体" w:cs="Times New Roman"/>
                <w:sz w:val="24"/>
                <w:szCs w:val="24"/>
                <w:highlight w:val="none"/>
                <w:vertAlign w:val="baseline"/>
                <w:lang w:val="en-US" w:eastAsia="zh-CN"/>
              </w:rPr>
              <w:t>合金工序区、制粉工序区、成型工序区、烧结工序区、机加工工序区等</w:t>
            </w:r>
            <w:r>
              <w:rPr>
                <w:rFonts w:hint="eastAsia" w:ascii="Times New Roman" w:hAnsi="Times New Roman" w:eastAsia="宋体" w:cs="Times New Roman"/>
                <w:sz w:val="24"/>
                <w:szCs w:val="24"/>
                <w:highlight w:val="none"/>
                <w:lang w:val="en-US" w:eastAsia="zh-CN"/>
              </w:rPr>
              <w:t>。本项目占地面积大致呈长方形，在厂区东侧单独设置氢碎车间，车间全封闭；本项目对车间的总平面进行合理规划和布置，使生产车间内功能分区明确，有利于安全生产，减轻了对声环境的影响，车间总平面布置合理。项目占地面积1</w:t>
            </w:r>
            <w:r>
              <w:rPr>
                <w:rFonts w:hint="eastAsia" w:cs="Times New Roman"/>
                <w:sz w:val="24"/>
                <w:szCs w:val="24"/>
                <w:highlight w:val="none"/>
                <w:lang w:val="en-US" w:eastAsia="zh-CN"/>
              </w:rPr>
              <w:t>3</w:t>
            </w:r>
            <w:r>
              <w:rPr>
                <w:rFonts w:hint="eastAsia" w:ascii="Times New Roman" w:hAnsi="Times New Roman" w:eastAsia="宋体" w:cs="Times New Roman"/>
                <w:sz w:val="24"/>
                <w:szCs w:val="24"/>
                <w:highlight w:val="none"/>
                <w:lang w:val="en-US" w:eastAsia="zh-CN"/>
              </w:rPr>
              <w:t>000m</w:t>
            </w:r>
            <w:r>
              <w:rPr>
                <w:rFonts w:hint="eastAsia" w:ascii="Times New Roman" w:hAnsi="Times New Roman" w:eastAsia="宋体" w:cs="Times New Roman"/>
                <w:sz w:val="24"/>
                <w:szCs w:val="24"/>
                <w:highlight w:val="none"/>
                <w:vertAlign w:val="superscript"/>
                <w:lang w:val="en-US" w:eastAsia="zh-CN"/>
              </w:rPr>
              <w:t>2</w:t>
            </w:r>
            <w:r>
              <w:rPr>
                <w:rFonts w:hint="eastAsia" w:ascii="Times New Roman" w:hAnsi="Times New Roman" w:eastAsia="宋体" w:cs="Times New Roman"/>
                <w:sz w:val="24"/>
                <w:szCs w:val="24"/>
                <w:highlight w:val="none"/>
                <w:vertAlign w:val="baseline"/>
                <w:lang w:val="en-US" w:eastAsia="zh-CN"/>
              </w:rPr>
              <w:t>，厂区地势平坦，根据项目工艺特点，</w:t>
            </w:r>
            <w:r>
              <w:rPr>
                <w:rFonts w:hint="eastAsia" w:ascii="Times New Roman" w:hAnsi="Times New Roman" w:eastAsia="宋体" w:cs="Times New Roman"/>
                <w:sz w:val="24"/>
                <w:szCs w:val="24"/>
                <w:highlight w:val="none"/>
                <w:lang w:val="en-US" w:eastAsia="zh-CN"/>
              </w:rPr>
              <w:t>各生产工序衔接紧凑，原料与产品周转距离短。</w:t>
            </w:r>
          </w:p>
          <w:p w14:paraId="43F77FF1">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5、主要设备</w:t>
            </w:r>
          </w:p>
          <w:p w14:paraId="3822EEFD">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本项目主要生产设备具体见下表：</w:t>
            </w:r>
          </w:p>
          <w:p w14:paraId="2259DED4">
            <w:pPr>
              <w:pStyle w:val="41"/>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sz w:val="21"/>
                <w:szCs w:val="21"/>
                <w:highlight w:val="none"/>
                <w:lang w:val="en-US" w:eastAsia="zh-CN"/>
              </w:rPr>
            </w:pPr>
            <w:r>
              <w:rPr>
                <w:rFonts w:hint="eastAsia"/>
                <w:sz w:val="21"/>
                <w:szCs w:val="21"/>
                <w:highlight w:val="none"/>
                <w:lang w:val="en-US" w:eastAsia="zh-CN"/>
              </w:rPr>
              <w:t>表</w:t>
            </w:r>
            <w:r>
              <w:rPr>
                <w:rFonts w:hint="default"/>
                <w:sz w:val="21"/>
                <w:szCs w:val="21"/>
                <w:highlight w:val="none"/>
                <w:lang w:val="en-US" w:eastAsia="zh-CN"/>
              </w:rPr>
              <w:t>2-</w:t>
            </w:r>
            <w:r>
              <w:rPr>
                <w:rFonts w:hint="eastAsia"/>
                <w:sz w:val="21"/>
                <w:szCs w:val="21"/>
                <w:highlight w:val="none"/>
                <w:lang w:val="en-US" w:eastAsia="zh-CN"/>
              </w:rPr>
              <w:t xml:space="preserve">5 </w:t>
            </w:r>
            <w:r>
              <w:rPr>
                <w:rFonts w:hint="default"/>
                <w:sz w:val="21"/>
                <w:szCs w:val="21"/>
                <w:highlight w:val="none"/>
                <w:lang w:val="en-US" w:eastAsia="zh-CN"/>
              </w:rPr>
              <w:t xml:space="preserve"> </w:t>
            </w:r>
            <w:r>
              <w:rPr>
                <w:rFonts w:hint="eastAsia"/>
                <w:sz w:val="21"/>
                <w:szCs w:val="21"/>
                <w:highlight w:val="none"/>
                <w:lang w:val="en-US" w:eastAsia="zh-CN"/>
              </w:rPr>
              <w:t>主要生产设备一览表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476"/>
              <w:gridCol w:w="2576"/>
              <w:gridCol w:w="3152"/>
              <w:gridCol w:w="476"/>
              <w:gridCol w:w="1173"/>
            </w:tblGrid>
            <w:tr w14:paraId="5AACA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tblHeader/>
                <w:jc w:val="center"/>
              </w:trPr>
              <w:tc>
                <w:tcPr>
                  <w:tcW w:w="0" w:type="auto"/>
                  <w:tcBorders>
                    <w:tl2br w:val="nil"/>
                    <w:tr2bl w:val="nil"/>
                  </w:tcBorders>
                  <w:noWrap w:val="0"/>
                  <w:vAlign w:val="center"/>
                </w:tcPr>
                <w:p w14:paraId="5A5D98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序号</w:t>
                  </w:r>
                </w:p>
              </w:tc>
              <w:tc>
                <w:tcPr>
                  <w:tcW w:w="0" w:type="auto"/>
                  <w:tcBorders>
                    <w:tl2br w:val="nil"/>
                    <w:tr2bl w:val="nil"/>
                  </w:tcBorders>
                  <w:noWrap w:val="0"/>
                  <w:vAlign w:val="center"/>
                </w:tcPr>
                <w:p w14:paraId="710036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设备名称</w:t>
                  </w:r>
                </w:p>
              </w:tc>
              <w:tc>
                <w:tcPr>
                  <w:tcW w:w="0" w:type="auto"/>
                  <w:tcBorders>
                    <w:tl2br w:val="nil"/>
                    <w:tr2bl w:val="nil"/>
                  </w:tcBorders>
                  <w:noWrap w:val="0"/>
                  <w:vAlign w:val="center"/>
                </w:tcPr>
                <w:p w14:paraId="3EA74C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设备规格</w:t>
                  </w:r>
                </w:p>
              </w:tc>
              <w:tc>
                <w:tcPr>
                  <w:tcW w:w="0" w:type="auto"/>
                  <w:tcBorders>
                    <w:tl2br w:val="nil"/>
                    <w:tr2bl w:val="nil"/>
                  </w:tcBorders>
                  <w:noWrap w:val="0"/>
                  <w:vAlign w:val="center"/>
                </w:tcPr>
                <w:p w14:paraId="1DBC72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数量</w:t>
                  </w:r>
                </w:p>
              </w:tc>
              <w:tc>
                <w:tcPr>
                  <w:tcW w:w="0" w:type="auto"/>
                  <w:tcBorders>
                    <w:tl2br w:val="nil"/>
                    <w:tr2bl w:val="nil"/>
                  </w:tcBorders>
                  <w:noWrap w:val="0"/>
                  <w:vAlign w:val="center"/>
                </w:tcPr>
                <w:p w14:paraId="497513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备注</w:t>
                  </w:r>
                </w:p>
              </w:tc>
            </w:tr>
            <w:tr w14:paraId="3B8B08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gridSpan w:val="5"/>
                  <w:tcBorders>
                    <w:tl2br w:val="nil"/>
                    <w:tr2bl w:val="nil"/>
                  </w:tcBorders>
                  <w:noWrap w:val="0"/>
                  <w:vAlign w:val="center"/>
                </w:tcPr>
                <w:p w14:paraId="2DA630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一</w:t>
                  </w:r>
                  <w:r>
                    <w:rPr>
                      <w:rFonts w:hint="eastAsia" w:cs="Times New Roman"/>
                      <w:kern w:val="0"/>
                      <w:sz w:val="21"/>
                      <w:szCs w:val="21"/>
                      <w:highlight w:val="none"/>
                      <w:lang w:eastAsia="zh-CN"/>
                    </w:rPr>
                    <w:t>、</w:t>
                  </w:r>
                  <w:r>
                    <w:rPr>
                      <w:rFonts w:hint="eastAsia" w:cs="Times New Roman"/>
                      <w:kern w:val="0"/>
                      <w:sz w:val="21"/>
                      <w:szCs w:val="21"/>
                      <w:highlight w:val="none"/>
                      <w:lang w:val="en-US" w:eastAsia="zh-CN"/>
                    </w:rPr>
                    <w:t>原料处理</w:t>
                  </w:r>
                </w:p>
              </w:tc>
            </w:tr>
            <w:tr w14:paraId="0380DE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1DDA38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p>
              </w:tc>
              <w:tc>
                <w:tcPr>
                  <w:tcW w:w="0" w:type="auto"/>
                  <w:tcBorders>
                    <w:tl2br w:val="nil"/>
                    <w:tr2bl w:val="nil"/>
                  </w:tcBorders>
                  <w:noWrap w:val="0"/>
                  <w:vAlign w:val="center"/>
                </w:tcPr>
                <w:p w14:paraId="0A4660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eastAsia="zh-CN"/>
                    </w:rPr>
                  </w:pPr>
                  <w:r>
                    <w:rPr>
                      <w:rFonts w:hint="eastAsia" w:cs="Times New Roman"/>
                      <w:kern w:val="0"/>
                      <w:sz w:val="21"/>
                      <w:szCs w:val="21"/>
                      <w:highlight w:val="none"/>
                      <w:lang w:val="en-US" w:eastAsia="zh-CN"/>
                    </w:rPr>
                    <w:t>抛丸机</w:t>
                  </w:r>
                </w:p>
              </w:tc>
              <w:tc>
                <w:tcPr>
                  <w:tcW w:w="0" w:type="auto"/>
                  <w:tcBorders>
                    <w:tl2br w:val="nil"/>
                    <w:tr2bl w:val="nil"/>
                  </w:tcBorders>
                  <w:noWrap w:val="0"/>
                  <w:vAlign w:val="center"/>
                </w:tcPr>
                <w:p w14:paraId="789EE2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0" w:type="auto"/>
                  <w:tcBorders>
                    <w:tl2br w:val="nil"/>
                    <w:tr2bl w:val="nil"/>
                  </w:tcBorders>
                  <w:noWrap w:val="0"/>
                  <w:vAlign w:val="center"/>
                </w:tcPr>
                <w:p w14:paraId="203934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7CAB79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53D224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gridSpan w:val="5"/>
                  <w:tcBorders>
                    <w:tl2br w:val="nil"/>
                    <w:tr2bl w:val="nil"/>
                  </w:tcBorders>
                  <w:noWrap w:val="0"/>
                  <w:vAlign w:val="center"/>
                </w:tcPr>
                <w:p w14:paraId="7CAC15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二、浇铸工序</w:t>
                  </w:r>
                </w:p>
              </w:tc>
            </w:tr>
            <w:tr w14:paraId="5EBB39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552E3A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1</w:t>
                  </w:r>
                </w:p>
              </w:tc>
              <w:tc>
                <w:tcPr>
                  <w:tcW w:w="0" w:type="auto"/>
                  <w:tcBorders>
                    <w:tl2br w:val="nil"/>
                    <w:tr2bl w:val="nil"/>
                  </w:tcBorders>
                  <w:noWrap w:val="0"/>
                  <w:vAlign w:val="center"/>
                </w:tcPr>
                <w:p w14:paraId="106DBD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800kg 真空连续速凝铸片炉</w:t>
                  </w:r>
                </w:p>
              </w:tc>
              <w:tc>
                <w:tcPr>
                  <w:tcW w:w="0" w:type="auto"/>
                  <w:tcBorders>
                    <w:tl2br w:val="nil"/>
                    <w:tr2bl w:val="nil"/>
                  </w:tcBorders>
                  <w:noWrap w:val="0"/>
                  <w:vAlign w:val="center"/>
                </w:tcPr>
                <w:p w14:paraId="367279A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定制</w:t>
                  </w:r>
                </w:p>
              </w:tc>
              <w:tc>
                <w:tcPr>
                  <w:tcW w:w="0" w:type="auto"/>
                  <w:tcBorders>
                    <w:tl2br w:val="nil"/>
                    <w:tr2bl w:val="nil"/>
                  </w:tcBorders>
                  <w:noWrap w:val="0"/>
                  <w:vAlign w:val="center"/>
                </w:tcPr>
                <w:p w14:paraId="2F0C85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38FDFF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800kg/炉</w:t>
                  </w:r>
                </w:p>
              </w:tc>
            </w:tr>
            <w:tr w14:paraId="336902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gridSpan w:val="5"/>
                  <w:tcBorders>
                    <w:tl2br w:val="nil"/>
                    <w:tr2bl w:val="nil"/>
                  </w:tcBorders>
                  <w:noWrap w:val="0"/>
                  <w:vAlign w:val="center"/>
                </w:tcPr>
                <w:p w14:paraId="3162AA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三、氢碎工序</w:t>
                  </w:r>
                </w:p>
              </w:tc>
            </w:tr>
            <w:tr w14:paraId="00357E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379E74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p>
              </w:tc>
              <w:tc>
                <w:tcPr>
                  <w:tcW w:w="0" w:type="auto"/>
                  <w:tcBorders>
                    <w:tl2br w:val="nil"/>
                    <w:tr2bl w:val="nil"/>
                  </w:tcBorders>
                  <w:noWrap w:val="0"/>
                  <w:vAlign w:val="center"/>
                </w:tcPr>
                <w:p w14:paraId="6B99CC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eastAsia" w:cs="Times New Roman"/>
                      <w:kern w:val="0"/>
                      <w:sz w:val="21"/>
                      <w:szCs w:val="21"/>
                      <w:highlight w:val="none"/>
                      <w:lang w:val="en-US" w:eastAsia="zh-CN"/>
                    </w:rPr>
                    <w:t>18</w:t>
                  </w:r>
                  <w:r>
                    <w:rPr>
                      <w:rFonts w:hint="default" w:ascii="Times New Roman" w:hAnsi="Times New Roman" w:eastAsia="宋体" w:cs="Times New Roman"/>
                      <w:kern w:val="0"/>
                      <w:sz w:val="21"/>
                      <w:szCs w:val="21"/>
                      <w:highlight w:val="none"/>
                    </w:rPr>
                    <w:t>00kg 真空氢处理炉</w:t>
                  </w:r>
                </w:p>
              </w:tc>
              <w:tc>
                <w:tcPr>
                  <w:tcW w:w="0" w:type="auto"/>
                  <w:tcBorders>
                    <w:tl2br w:val="nil"/>
                    <w:tr2bl w:val="nil"/>
                  </w:tcBorders>
                  <w:noWrap w:val="0"/>
                  <w:vAlign w:val="center"/>
                </w:tcPr>
                <w:p w14:paraId="264F00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定制</w:t>
                  </w:r>
                </w:p>
              </w:tc>
              <w:tc>
                <w:tcPr>
                  <w:tcW w:w="0" w:type="auto"/>
                  <w:tcBorders>
                    <w:tl2br w:val="nil"/>
                    <w:tr2bl w:val="nil"/>
                  </w:tcBorders>
                  <w:noWrap w:val="0"/>
                  <w:vAlign w:val="center"/>
                </w:tcPr>
                <w:p w14:paraId="2E5DAE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29D59CC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1800kg/炉</w:t>
                  </w:r>
                </w:p>
              </w:tc>
            </w:tr>
            <w:tr w14:paraId="33C62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gridSpan w:val="5"/>
                  <w:tcBorders>
                    <w:tl2br w:val="nil"/>
                    <w:tr2bl w:val="nil"/>
                  </w:tcBorders>
                  <w:noWrap w:val="0"/>
                  <w:vAlign w:val="center"/>
                </w:tcPr>
                <w:p w14:paraId="4AEAE4B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四、制粉工序</w:t>
                  </w:r>
                </w:p>
              </w:tc>
            </w:tr>
            <w:tr w14:paraId="478A69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64DA07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p>
              </w:tc>
              <w:tc>
                <w:tcPr>
                  <w:tcW w:w="0" w:type="auto"/>
                  <w:tcBorders>
                    <w:tl2br w:val="nil"/>
                    <w:tr2bl w:val="nil"/>
                  </w:tcBorders>
                  <w:noWrap w:val="0"/>
                  <w:vAlign w:val="center"/>
                </w:tcPr>
                <w:p w14:paraId="038124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振动筛分机</w:t>
                  </w:r>
                </w:p>
              </w:tc>
              <w:tc>
                <w:tcPr>
                  <w:tcW w:w="0" w:type="auto"/>
                  <w:tcBorders>
                    <w:tl2br w:val="nil"/>
                    <w:tr2bl w:val="nil"/>
                  </w:tcBorders>
                  <w:noWrap w:val="0"/>
                  <w:vAlign w:val="center"/>
                </w:tcPr>
                <w:p w14:paraId="3534B0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ZSΦ600-1</w:t>
                  </w:r>
                </w:p>
              </w:tc>
              <w:tc>
                <w:tcPr>
                  <w:tcW w:w="0" w:type="auto"/>
                  <w:tcBorders>
                    <w:tl2br w:val="nil"/>
                    <w:tr2bl w:val="nil"/>
                  </w:tcBorders>
                  <w:noWrap w:val="0"/>
                  <w:vAlign w:val="center"/>
                </w:tcPr>
                <w:p w14:paraId="32EE5A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3BE49A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15B0BC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155987D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3</w:t>
                  </w:r>
                </w:p>
              </w:tc>
              <w:tc>
                <w:tcPr>
                  <w:tcW w:w="0" w:type="auto"/>
                  <w:tcBorders>
                    <w:tl2br w:val="nil"/>
                    <w:tr2bl w:val="nil"/>
                  </w:tcBorders>
                  <w:noWrap w:val="0"/>
                  <w:vAlign w:val="center"/>
                </w:tcPr>
                <w:p w14:paraId="67FDAF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混料机</w:t>
                  </w:r>
                </w:p>
              </w:tc>
              <w:tc>
                <w:tcPr>
                  <w:tcW w:w="0" w:type="auto"/>
                  <w:tcBorders>
                    <w:tl2br w:val="nil"/>
                    <w:tr2bl w:val="nil"/>
                  </w:tcBorders>
                  <w:noWrap w:val="0"/>
                  <w:vAlign w:val="center"/>
                </w:tcPr>
                <w:p w14:paraId="41A61C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600KG</w:t>
                  </w:r>
                </w:p>
              </w:tc>
              <w:tc>
                <w:tcPr>
                  <w:tcW w:w="0" w:type="auto"/>
                  <w:tcBorders>
                    <w:tl2br w:val="nil"/>
                    <w:tr2bl w:val="nil"/>
                  </w:tcBorders>
                  <w:noWrap w:val="0"/>
                  <w:vAlign w:val="center"/>
                </w:tcPr>
                <w:p w14:paraId="2000C9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478711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1F1A5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2DD99D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4</w:t>
                  </w:r>
                </w:p>
              </w:tc>
              <w:tc>
                <w:tcPr>
                  <w:tcW w:w="0" w:type="auto"/>
                  <w:tcBorders>
                    <w:tl2br w:val="nil"/>
                    <w:tr2bl w:val="nil"/>
                  </w:tcBorders>
                  <w:noWrap w:val="0"/>
                  <w:vAlign w:val="center"/>
                </w:tcPr>
                <w:p w14:paraId="62E205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气流磨</w:t>
                  </w:r>
                </w:p>
              </w:tc>
              <w:tc>
                <w:tcPr>
                  <w:tcW w:w="0" w:type="auto"/>
                  <w:tcBorders>
                    <w:tl2br w:val="nil"/>
                    <w:tr2bl w:val="nil"/>
                  </w:tcBorders>
                  <w:noWrap w:val="0"/>
                  <w:vAlign w:val="center"/>
                </w:tcPr>
                <w:p w14:paraId="48123E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QLMR-400G</w:t>
                  </w:r>
                </w:p>
              </w:tc>
              <w:tc>
                <w:tcPr>
                  <w:tcW w:w="0" w:type="auto"/>
                  <w:tcBorders>
                    <w:tl2br w:val="nil"/>
                    <w:tr2bl w:val="nil"/>
                  </w:tcBorders>
                  <w:noWrap w:val="0"/>
                  <w:vAlign w:val="center"/>
                </w:tcPr>
                <w:p w14:paraId="27FE52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2D2DF9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300~500kg/h</w:t>
                  </w:r>
                </w:p>
              </w:tc>
            </w:tr>
            <w:tr w14:paraId="673E92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gridSpan w:val="5"/>
                  <w:tcBorders>
                    <w:tl2br w:val="nil"/>
                    <w:tr2bl w:val="nil"/>
                  </w:tcBorders>
                  <w:noWrap w:val="0"/>
                  <w:vAlign w:val="center"/>
                </w:tcPr>
                <w:p w14:paraId="020BD0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eastAsia" w:cs="Times New Roman"/>
                      <w:kern w:val="0"/>
                      <w:sz w:val="21"/>
                      <w:szCs w:val="21"/>
                      <w:highlight w:val="none"/>
                      <w:lang w:val="en-US" w:eastAsia="zh-CN"/>
                    </w:rPr>
                    <w:t>五、磁场取向、</w:t>
                  </w:r>
                  <w:r>
                    <w:rPr>
                      <w:rFonts w:hint="default" w:ascii="Times New Roman" w:hAnsi="Times New Roman" w:eastAsia="宋体" w:cs="Times New Roman"/>
                      <w:kern w:val="0"/>
                      <w:sz w:val="21"/>
                      <w:szCs w:val="21"/>
                      <w:highlight w:val="none"/>
                    </w:rPr>
                    <w:t>成型工序</w:t>
                  </w:r>
                </w:p>
              </w:tc>
            </w:tr>
            <w:tr w14:paraId="5328B2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294DDF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p>
              </w:tc>
              <w:tc>
                <w:tcPr>
                  <w:tcW w:w="0" w:type="auto"/>
                  <w:tcBorders>
                    <w:tl2br w:val="nil"/>
                    <w:tr2bl w:val="nil"/>
                  </w:tcBorders>
                  <w:noWrap w:val="0"/>
                  <w:vAlign w:val="center"/>
                </w:tcPr>
                <w:p w14:paraId="1B916D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钢丝缠绕等静压机</w:t>
                  </w:r>
                </w:p>
              </w:tc>
              <w:tc>
                <w:tcPr>
                  <w:tcW w:w="0" w:type="auto"/>
                  <w:tcBorders>
                    <w:tl2br w:val="nil"/>
                    <w:tr2bl w:val="nil"/>
                  </w:tcBorders>
                  <w:noWrap w:val="0"/>
                  <w:vAlign w:val="center"/>
                </w:tcPr>
                <w:p w14:paraId="148A8B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DJY2100-350</w:t>
                  </w:r>
                </w:p>
              </w:tc>
              <w:tc>
                <w:tcPr>
                  <w:tcW w:w="0" w:type="auto"/>
                  <w:tcBorders>
                    <w:tl2br w:val="nil"/>
                    <w:tr2bl w:val="nil"/>
                  </w:tcBorders>
                  <w:noWrap w:val="0"/>
                  <w:vAlign w:val="center"/>
                </w:tcPr>
                <w:p w14:paraId="7C8BEF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435D17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45831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7620B7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p>
              </w:tc>
              <w:tc>
                <w:tcPr>
                  <w:tcW w:w="0" w:type="auto"/>
                  <w:tcBorders>
                    <w:tl2br w:val="nil"/>
                    <w:tr2bl w:val="nil"/>
                  </w:tcBorders>
                  <w:noWrap w:val="0"/>
                  <w:vAlign w:val="center"/>
                </w:tcPr>
                <w:p w14:paraId="25E079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稀土永磁浮动成型压机</w:t>
                  </w:r>
                </w:p>
              </w:tc>
              <w:tc>
                <w:tcPr>
                  <w:tcW w:w="0" w:type="auto"/>
                  <w:tcBorders>
                    <w:tl2br w:val="nil"/>
                    <w:tr2bl w:val="nil"/>
                  </w:tcBorders>
                  <w:noWrap w:val="0"/>
                  <w:vAlign w:val="center"/>
                </w:tcPr>
                <w:p w14:paraId="5D84F1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YAN72F-200</w:t>
                  </w:r>
                </w:p>
              </w:tc>
              <w:tc>
                <w:tcPr>
                  <w:tcW w:w="0" w:type="auto"/>
                  <w:tcBorders>
                    <w:tl2br w:val="nil"/>
                    <w:tr2bl w:val="nil"/>
                  </w:tcBorders>
                  <w:noWrap w:val="0"/>
                  <w:vAlign w:val="center"/>
                </w:tcPr>
                <w:p w14:paraId="15AB9F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5BA509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419EDE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83" w:hRule="atLeast"/>
                <w:jc w:val="center"/>
              </w:trPr>
              <w:tc>
                <w:tcPr>
                  <w:tcW w:w="0" w:type="auto"/>
                  <w:tcBorders>
                    <w:tl2br w:val="nil"/>
                    <w:tr2bl w:val="nil"/>
                  </w:tcBorders>
                  <w:noWrap w:val="0"/>
                  <w:vAlign w:val="center"/>
                </w:tcPr>
                <w:p w14:paraId="5FAEA9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3</w:t>
                  </w:r>
                </w:p>
              </w:tc>
              <w:tc>
                <w:tcPr>
                  <w:tcW w:w="0" w:type="auto"/>
                  <w:tcBorders>
                    <w:tl2br w:val="nil"/>
                    <w:tr2bl w:val="nil"/>
                  </w:tcBorders>
                  <w:noWrap w:val="0"/>
                  <w:vAlign w:val="center"/>
                </w:tcPr>
                <w:p w14:paraId="554BED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磁场成型压机</w:t>
                  </w:r>
                </w:p>
              </w:tc>
              <w:tc>
                <w:tcPr>
                  <w:tcW w:w="0" w:type="auto"/>
                  <w:tcBorders>
                    <w:tl2br w:val="nil"/>
                    <w:tr2bl w:val="nil"/>
                  </w:tcBorders>
                  <w:noWrap w:val="0"/>
                  <w:vAlign w:val="center"/>
                </w:tcPr>
                <w:p w14:paraId="444029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BDM-350PS</w:t>
                  </w:r>
                </w:p>
              </w:tc>
              <w:tc>
                <w:tcPr>
                  <w:tcW w:w="0" w:type="auto"/>
                  <w:tcBorders>
                    <w:tl2br w:val="nil"/>
                    <w:tr2bl w:val="nil"/>
                  </w:tcBorders>
                  <w:noWrap w:val="0"/>
                  <w:vAlign w:val="center"/>
                </w:tcPr>
                <w:p w14:paraId="778D55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4</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6BFC1C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p>
              </w:tc>
            </w:tr>
            <w:tr w14:paraId="019E0C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647231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4</w:t>
                  </w:r>
                </w:p>
              </w:tc>
              <w:tc>
                <w:tcPr>
                  <w:tcW w:w="0" w:type="auto"/>
                  <w:tcBorders>
                    <w:tl2br w:val="nil"/>
                    <w:tr2bl w:val="nil"/>
                  </w:tcBorders>
                  <w:noWrap w:val="0"/>
                  <w:vAlign w:val="center"/>
                </w:tcPr>
                <w:p w14:paraId="2F616A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全电动磁场成型压机</w:t>
                  </w:r>
                </w:p>
              </w:tc>
              <w:tc>
                <w:tcPr>
                  <w:tcW w:w="0" w:type="auto"/>
                  <w:tcBorders>
                    <w:tl2br w:val="nil"/>
                    <w:tr2bl w:val="nil"/>
                  </w:tcBorders>
                  <w:noWrap w:val="0"/>
                  <w:vAlign w:val="center"/>
                </w:tcPr>
                <w:p w14:paraId="495592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BDES-350/400KN</w:t>
                  </w:r>
                </w:p>
              </w:tc>
              <w:tc>
                <w:tcPr>
                  <w:tcW w:w="0" w:type="auto"/>
                  <w:tcBorders>
                    <w:tl2br w:val="nil"/>
                    <w:tr2bl w:val="nil"/>
                  </w:tcBorders>
                  <w:noWrap w:val="0"/>
                  <w:vAlign w:val="center"/>
                </w:tcPr>
                <w:p w14:paraId="052C0C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4</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2246A5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p>
              </w:tc>
            </w:tr>
            <w:tr w14:paraId="539C7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gridSpan w:val="5"/>
                  <w:tcBorders>
                    <w:tl2br w:val="nil"/>
                    <w:tr2bl w:val="nil"/>
                  </w:tcBorders>
                  <w:noWrap w:val="0"/>
                  <w:vAlign w:val="center"/>
                </w:tcPr>
                <w:p w14:paraId="3C8BCD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eastAsia" w:cs="Times New Roman"/>
                      <w:kern w:val="0"/>
                      <w:sz w:val="21"/>
                      <w:szCs w:val="21"/>
                      <w:highlight w:val="none"/>
                      <w:lang w:val="en-US" w:eastAsia="zh-CN"/>
                    </w:rPr>
                    <w:t>六、</w:t>
                  </w:r>
                  <w:r>
                    <w:rPr>
                      <w:rFonts w:hint="default" w:ascii="Times New Roman" w:hAnsi="Times New Roman" w:eastAsia="宋体" w:cs="Times New Roman"/>
                      <w:kern w:val="0"/>
                      <w:sz w:val="21"/>
                      <w:szCs w:val="21"/>
                      <w:highlight w:val="none"/>
                    </w:rPr>
                    <w:t>烧结工序</w:t>
                  </w:r>
                </w:p>
              </w:tc>
            </w:tr>
            <w:tr w14:paraId="5488DE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6A6916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p>
              </w:tc>
              <w:tc>
                <w:tcPr>
                  <w:tcW w:w="0" w:type="auto"/>
                  <w:tcBorders>
                    <w:tl2br w:val="nil"/>
                    <w:tr2bl w:val="nil"/>
                  </w:tcBorders>
                  <w:noWrap w:val="0"/>
                  <w:vAlign w:val="center"/>
                </w:tcPr>
                <w:p w14:paraId="474D08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600k</w:t>
                  </w:r>
                  <w:r>
                    <w:rPr>
                      <w:rFonts w:hint="eastAsia" w:ascii="Times New Roman" w:hAnsi="Times New Roman" w:eastAsia="宋体" w:cs="Times New Roman"/>
                      <w:kern w:val="0"/>
                      <w:sz w:val="21"/>
                      <w:szCs w:val="21"/>
                      <w:highlight w:val="none"/>
                      <w:lang w:val="en-US" w:eastAsia="zh-CN"/>
                    </w:rPr>
                    <w:t>g</w:t>
                  </w:r>
                  <w:r>
                    <w:rPr>
                      <w:rFonts w:hint="default" w:ascii="Times New Roman" w:hAnsi="Times New Roman" w:eastAsia="宋体" w:cs="Times New Roman"/>
                      <w:kern w:val="0"/>
                      <w:sz w:val="21"/>
                      <w:szCs w:val="21"/>
                      <w:highlight w:val="none"/>
                    </w:rPr>
                    <w:t>外循环真空烧结炉</w:t>
                  </w:r>
                </w:p>
              </w:tc>
              <w:tc>
                <w:tcPr>
                  <w:tcW w:w="0" w:type="auto"/>
                  <w:tcBorders>
                    <w:tl2br w:val="nil"/>
                    <w:tr2bl w:val="nil"/>
                  </w:tcBorders>
                  <w:noWrap w:val="0"/>
                  <w:vAlign w:val="center"/>
                </w:tcPr>
                <w:p w14:paraId="691917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定制</w:t>
                  </w:r>
                </w:p>
              </w:tc>
              <w:tc>
                <w:tcPr>
                  <w:tcW w:w="0" w:type="auto"/>
                  <w:tcBorders>
                    <w:tl2br w:val="nil"/>
                    <w:tr2bl w:val="nil"/>
                  </w:tcBorders>
                  <w:noWrap w:val="0"/>
                  <w:vAlign w:val="center"/>
                </w:tcPr>
                <w:p w14:paraId="083F00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lang w:val="zh-TW"/>
                    </w:rPr>
                    <w:t>8</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1E5A45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600kg/炉</w:t>
                  </w:r>
                </w:p>
              </w:tc>
            </w:tr>
            <w:tr w14:paraId="44C36A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gridSpan w:val="5"/>
                  <w:tcBorders>
                    <w:tl2br w:val="nil"/>
                    <w:tr2bl w:val="nil"/>
                  </w:tcBorders>
                  <w:noWrap w:val="0"/>
                  <w:vAlign w:val="center"/>
                </w:tcPr>
                <w:p w14:paraId="5B5DD0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eastAsia" w:cs="Times New Roman"/>
                      <w:kern w:val="0"/>
                      <w:sz w:val="21"/>
                      <w:szCs w:val="21"/>
                      <w:highlight w:val="none"/>
                      <w:lang w:val="en-US" w:eastAsia="zh-CN"/>
                    </w:rPr>
                    <w:t>七、</w:t>
                  </w:r>
                  <w:r>
                    <w:rPr>
                      <w:rFonts w:hint="default" w:ascii="Times New Roman" w:hAnsi="Times New Roman" w:eastAsia="宋体" w:cs="Times New Roman"/>
                      <w:kern w:val="0"/>
                      <w:sz w:val="21"/>
                      <w:szCs w:val="21"/>
                      <w:highlight w:val="none"/>
                    </w:rPr>
                    <w:t>机加工工序</w:t>
                  </w:r>
                </w:p>
              </w:tc>
            </w:tr>
            <w:tr w14:paraId="5A15DE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39032E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p>
              </w:tc>
              <w:tc>
                <w:tcPr>
                  <w:tcW w:w="0" w:type="auto"/>
                  <w:tcBorders>
                    <w:tl2br w:val="nil"/>
                    <w:tr2bl w:val="nil"/>
                  </w:tcBorders>
                  <w:noWrap w:val="0"/>
                  <w:vAlign w:val="center"/>
                </w:tcPr>
                <w:p w14:paraId="4F9C5F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无心磨床</w:t>
                  </w:r>
                </w:p>
              </w:tc>
              <w:tc>
                <w:tcPr>
                  <w:tcW w:w="0" w:type="auto"/>
                  <w:tcBorders>
                    <w:tl2br w:val="nil"/>
                    <w:tr2bl w:val="nil"/>
                  </w:tcBorders>
                  <w:noWrap w:val="0"/>
                  <w:vAlign w:val="center"/>
                </w:tcPr>
                <w:p w14:paraId="6B0F14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M1050A</w:t>
                  </w:r>
                </w:p>
              </w:tc>
              <w:tc>
                <w:tcPr>
                  <w:tcW w:w="0" w:type="auto"/>
                  <w:tcBorders>
                    <w:tl2br w:val="nil"/>
                    <w:tr2bl w:val="nil"/>
                  </w:tcBorders>
                  <w:noWrap w:val="0"/>
                  <w:vAlign w:val="center"/>
                </w:tcPr>
                <w:p w14:paraId="2BDCDB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0EF9B81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3D79A1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7AC3E4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p>
              </w:tc>
              <w:tc>
                <w:tcPr>
                  <w:tcW w:w="0" w:type="auto"/>
                  <w:tcBorders>
                    <w:tl2br w:val="nil"/>
                    <w:tr2bl w:val="nil"/>
                  </w:tcBorders>
                  <w:noWrap w:val="0"/>
                  <w:vAlign w:val="center"/>
                </w:tcPr>
                <w:p w14:paraId="65313B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无心磨床</w:t>
                  </w:r>
                </w:p>
              </w:tc>
              <w:tc>
                <w:tcPr>
                  <w:tcW w:w="0" w:type="auto"/>
                  <w:tcBorders>
                    <w:tl2br w:val="nil"/>
                    <w:tr2bl w:val="nil"/>
                  </w:tcBorders>
                  <w:noWrap w:val="0"/>
                  <w:vAlign w:val="center"/>
                </w:tcPr>
                <w:p w14:paraId="6AE006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M1080</w:t>
                  </w:r>
                </w:p>
              </w:tc>
              <w:tc>
                <w:tcPr>
                  <w:tcW w:w="0" w:type="auto"/>
                  <w:tcBorders>
                    <w:tl2br w:val="nil"/>
                    <w:tr2bl w:val="nil"/>
                  </w:tcBorders>
                  <w:noWrap w:val="0"/>
                  <w:vAlign w:val="center"/>
                </w:tcPr>
                <w:p w14:paraId="1EC33A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5C465C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6D1839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3C4317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3</w:t>
                  </w:r>
                </w:p>
              </w:tc>
              <w:tc>
                <w:tcPr>
                  <w:tcW w:w="0" w:type="auto"/>
                  <w:tcBorders>
                    <w:tl2br w:val="nil"/>
                    <w:tr2bl w:val="nil"/>
                  </w:tcBorders>
                  <w:noWrap w:val="0"/>
                  <w:vAlign w:val="center"/>
                </w:tcPr>
                <w:p w14:paraId="7C548C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平磨</w:t>
                  </w:r>
                </w:p>
              </w:tc>
              <w:tc>
                <w:tcPr>
                  <w:tcW w:w="0" w:type="auto"/>
                  <w:tcBorders>
                    <w:tl2br w:val="nil"/>
                    <w:tr2bl w:val="nil"/>
                  </w:tcBorders>
                  <w:noWrap w:val="0"/>
                  <w:vAlign w:val="center"/>
                </w:tcPr>
                <w:p w14:paraId="110484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M7475B</w:t>
                  </w:r>
                </w:p>
              </w:tc>
              <w:tc>
                <w:tcPr>
                  <w:tcW w:w="0" w:type="auto"/>
                  <w:tcBorders>
                    <w:tl2br w:val="nil"/>
                    <w:tr2bl w:val="nil"/>
                  </w:tcBorders>
                  <w:noWrap w:val="0"/>
                  <w:vAlign w:val="center"/>
                </w:tcPr>
                <w:p w14:paraId="1BF8D8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4</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135CFD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11E415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7D6E0A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4</w:t>
                  </w:r>
                </w:p>
              </w:tc>
              <w:tc>
                <w:tcPr>
                  <w:tcW w:w="0" w:type="auto"/>
                  <w:tcBorders>
                    <w:tl2br w:val="nil"/>
                    <w:tr2bl w:val="nil"/>
                  </w:tcBorders>
                  <w:noWrap w:val="0"/>
                  <w:vAlign w:val="center"/>
                </w:tcPr>
                <w:p w14:paraId="512134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平磨</w:t>
                  </w:r>
                </w:p>
              </w:tc>
              <w:tc>
                <w:tcPr>
                  <w:tcW w:w="0" w:type="auto"/>
                  <w:tcBorders>
                    <w:tl2br w:val="nil"/>
                    <w:tr2bl w:val="nil"/>
                  </w:tcBorders>
                  <w:noWrap w:val="0"/>
                  <w:vAlign w:val="center"/>
                </w:tcPr>
                <w:p w14:paraId="38A140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M7130H</w:t>
                  </w:r>
                </w:p>
              </w:tc>
              <w:tc>
                <w:tcPr>
                  <w:tcW w:w="0" w:type="auto"/>
                  <w:tcBorders>
                    <w:tl2br w:val="nil"/>
                    <w:tr2bl w:val="nil"/>
                  </w:tcBorders>
                  <w:noWrap w:val="0"/>
                  <w:vAlign w:val="center"/>
                </w:tcPr>
                <w:p w14:paraId="764A61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7B56DE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1F7EAA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6543D4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5</w:t>
                  </w:r>
                </w:p>
              </w:tc>
              <w:tc>
                <w:tcPr>
                  <w:tcW w:w="0" w:type="auto"/>
                  <w:tcBorders>
                    <w:tl2br w:val="nil"/>
                    <w:tr2bl w:val="nil"/>
                  </w:tcBorders>
                  <w:noWrap w:val="0"/>
                  <w:vAlign w:val="center"/>
                </w:tcPr>
                <w:p w14:paraId="02D6FE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磨床</w:t>
                  </w:r>
                </w:p>
              </w:tc>
              <w:tc>
                <w:tcPr>
                  <w:tcW w:w="0" w:type="auto"/>
                  <w:tcBorders>
                    <w:tl2br w:val="nil"/>
                    <w:tr2bl w:val="nil"/>
                  </w:tcBorders>
                  <w:noWrap w:val="0"/>
                  <w:vAlign w:val="center"/>
                </w:tcPr>
                <w:p w14:paraId="7F016B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M1080B</w:t>
                  </w:r>
                </w:p>
              </w:tc>
              <w:tc>
                <w:tcPr>
                  <w:tcW w:w="0" w:type="auto"/>
                  <w:tcBorders>
                    <w:tl2br w:val="nil"/>
                    <w:tr2bl w:val="nil"/>
                  </w:tcBorders>
                  <w:noWrap w:val="0"/>
                  <w:vAlign w:val="center"/>
                </w:tcPr>
                <w:p w14:paraId="24E01A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6CB1E8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295925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3BA785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6</w:t>
                  </w:r>
                </w:p>
              </w:tc>
              <w:tc>
                <w:tcPr>
                  <w:tcW w:w="0" w:type="auto"/>
                  <w:tcBorders>
                    <w:tl2br w:val="nil"/>
                    <w:tr2bl w:val="nil"/>
                  </w:tcBorders>
                  <w:noWrap w:val="0"/>
                  <w:vAlign w:val="center"/>
                </w:tcPr>
                <w:p w14:paraId="484E22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直通式双端面磨床</w:t>
                  </w:r>
                </w:p>
              </w:tc>
              <w:tc>
                <w:tcPr>
                  <w:tcW w:w="0" w:type="auto"/>
                  <w:tcBorders>
                    <w:tl2br w:val="nil"/>
                    <w:tr2bl w:val="nil"/>
                  </w:tcBorders>
                  <w:noWrap w:val="0"/>
                  <w:vAlign w:val="center"/>
                </w:tcPr>
                <w:p w14:paraId="08BCB7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MD7660</w:t>
                  </w:r>
                </w:p>
              </w:tc>
              <w:tc>
                <w:tcPr>
                  <w:tcW w:w="0" w:type="auto"/>
                  <w:tcBorders>
                    <w:tl2br w:val="nil"/>
                    <w:tr2bl w:val="nil"/>
                  </w:tcBorders>
                  <w:noWrap w:val="0"/>
                  <w:vAlign w:val="center"/>
                </w:tcPr>
                <w:p w14:paraId="34B1C8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4</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0F1DD4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354213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55E53B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7</w:t>
                  </w:r>
                </w:p>
              </w:tc>
              <w:tc>
                <w:tcPr>
                  <w:tcW w:w="0" w:type="auto"/>
                  <w:tcBorders>
                    <w:tl2br w:val="nil"/>
                    <w:tr2bl w:val="nil"/>
                  </w:tcBorders>
                  <w:noWrap w:val="0"/>
                  <w:vAlign w:val="center"/>
                </w:tcPr>
                <w:p w14:paraId="318A6CA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双端面磨床</w:t>
                  </w:r>
                </w:p>
              </w:tc>
              <w:tc>
                <w:tcPr>
                  <w:tcW w:w="0" w:type="auto"/>
                  <w:tcBorders>
                    <w:tl2br w:val="nil"/>
                    <w:tr2bl w:val="nil"/>
                  </w:tcBorders>
                  <w:noWrap w:val="0"/>
                  <w:vAlign w:val="center"/>
                </w:tcPr>
                <w:p w14:paraId="61B701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M7640-B</w:t>
                  </w:r>
                </w:p>
              </w:tc>
              <w:tc>
                <w:tcPr>
                  <w:tcW w:w="0" w:type="auto"/>
                  <w:tcBorders>
                    <w:tl2br w:val="nil"/>
                    <w:tr2bl w:val="nil"/>
                  </w:tcBorders>
                  <w:noWrap w:val="0"/>
                  <w:vAlign w:val="center"/>
                </w:tcPr>
                <w:p w14:paraId="4BE6E7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3AFB8F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p>
              </w:tc>
            </w:tr>
            <w:tr w14:paraId="5DB62F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53580B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8</w:t>
                  </w:r>
                </w:p>
              </w:tc>
              <w:tc>
                <w:tcPr>
                  <w:tcW w:w="0" w:type="auto"/>
                  <w:tcBorders>
                    <w:tl2br w:val="nil"/>
                    <w:tr2bl w:val="nil"/>
                  </w:tcBorders>
                  <w:noWrap w:val="0"/>
                  <w:vAlign w:val="center"/>
                </w:tcPr>
                <w:p w14:paraId="463AB9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卧式双端面磨床</w:t>
                  </w:r>
                </w:p>
              </w:tc>
              <w:tc>
                <w:tcPr>
                  <w:tcW w:w="0" w:type="auto"/>
                  <w:tcBorders>
                    <w:tl2br w:val="nil"/>
                    <w:tr2bl w:val="nil"/>
                  </w:tcBorders>
                  <w:noWrap w:val="0"/>
                  <w:vAlign w:val="center"/>
                </w:tcPr>
                <w:p w14:paraId="73435F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M7640B-</w:t>
                  </w:r>
                  <w:r>
                    <w:rPr>
                      <w:rFonts w:hint="eastAsia" w:cs="Times New Roman"/>
                      <w:kern w:val="0"/>
                      <w:sz w:val="21"/>
                      <w:szCs w:val="21"/>
                      <w:highlight w:val="none"/>
                      <w:lang w:eastAsia="zh-CN"/>
                    </w:rPr>
                    <w:t>Ⅲ</w:t>
                  </w:r>
                </w:p>
              </w:tc>
              <w:tc>
                <w:tcPr>
                  <w:tcW w:w="0" w:type="auto"/>
                  <w:tcBorders>
                    <w:tl2br w:val="nil"/>
                    <w:tr2bl w:val="nil"/>
                  </w:tcBorders>
                  <w:noWrap w:val="0"/>
                  <w:vAlign w:val="center"/>
                </w:tcPr>
                <w:p w14:paraId="6C3A7E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435D6C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p>
              </w:tc>
            </w:tr>
            <w:tr w14:paraId="65EA04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732436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9</w:t>
                  </w:r>
                </w:p>
              </w:tc>
              <w:tc>
                <w:tcPr>
                  <w:tcW w:w="0" w:type="auto"/>
                  <w:tcBorders>
                    <w:tl2br w:val="nil"/>
                    <w:tr2bl w:val="nil"/>
                  </w:tcBorders>
                  <w:noWrap w:val="0"/>
                  <w:vAlign w:val="center"/>
                </w:tcPr>
                <w:p w14:paraId="309E0E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平面磨床</w:t>
                  </w:r>
                </w:p>
              </w:tc>
              <w:tc>
                <w:tcPr>
                  <w:tcW w:w="0" w:type="auto"/>
                  <w:tcBorders>
                    <w:tl2br w:val="nil"/>
                    <w:tr2bl w:val="nil"/>
                  </w:tcBorders>
                  <w:noWrap w:val="0"/>
                  <w:vAlign w:val="center"/>
                </w:tcPr>
                <w:p w14:paraId="6AF3E0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M7130S/1000</w:t>
                  </w:r>
                </w:p>
              </w:tc>
              <w:tc>
                <w:tcPr>
                  <w:tcW w:w="0" w:type="auto"/>
                  <w:tcBorders>
                    <w:tl2br w:val="nil"/>
                    <w:tr2bl w:val="nil"/>
                  </w:tcBorders>
                  <w:noWrap w:val="0"/>
                  <w:vAlign w:val="center"/>
                </w:tcPr>
                <w:p w14:paraId="4E5ABD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0FE2F7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zh-TW"/>
                    </w:rPr>
                  </w:pPr>
                </w:p>
              </w:tc>
            </w:tr>
            <w:tr w14:paraId="4D5D70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06B6E6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10</w:t>
                  </w:r>
                </w:p>
              </w:tc>
              <w:tc>
                <w:tcPr>
                  <w:tcW w:w="0" w:type="auto"/>
                  <w:tcBorders>
                    <w:tl2br w:val="nil"/>
                    <w:tr2bl w:val="nil"/>
                  </w:tcBorders>
                  <w:noWrap w:val="0"/>
                  <w:vAlign w:val="center"/>
                </w:tcPr>
                <w:p w14:paraId="5A72C6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金刚线多功能切割机</w:t>
                  </w:r>
                </w:p>
              </w:tc>
              <w:tc>
                <w:tcPr>
                  <w:tcW w:w="0" w:type="auto"/>
                  <w:tcBorders>
                    <w:tl2br w:val="nil"/>
                    <w:tr2bl w:val="nil"/>
                  </w:tcBorders>
                  <w:noWrap w:val="0"/>
                  <w:vAlign w:val="center"/>
                </w:tcPr>
                <w:p w14:paraId="5C2260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CU-1200B</w:t>
                  </w:r>
                </w:p>
              </w:tc>
              <w:tc>
                <w:tcPr>
                  <w:tcW w:w="0" w:type="auto"/>
                  <w:tcBorders>
                    <w:tl2br w:val="nil"/>
                    <w:tr2bl w:val="nil"/>
                  </w:tcBorders>
                  <w:noWrap w:val="0"/>
                  <w:vAlign w:val="center"/>
                </w:tcPr>
                <w:p w14:paraId="38DCD6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2B32F8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76B167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11985A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11</w:t>
                  </w:r>
                </w:p>
              </w:tc>
              <w:tc>
                <w:tcPr>
                  <w:tcW w:w="0" w:type="auto"/>
                  <w:tcBorders>
                    <w:tl2br w:val="nil"/>
                    <w:tr2bl w:val="nil"/>
                  </w:tcBorders>
                  <w:noWrap w:val="0"/>
                  <w:vAlign w:val="center"/>
                </w:tcPr>
                <w:p w14:paraId="615321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AI机器人</w:t>
                  </w:r>
                </w:p>
              </w:tc>
              <w:tc>
                <w:tcPr>
                  <w:tcW w:w="0" w:type="auto"/>
                  <w:tcBorders>
                    <w:tl2br w:val="nil"/>
                    <w:tr2bl w:val="nil"/>
                  </w:tcBorders>
                  <w:noWrap w:val="0"/>
                  <w:vAlign w:val="center"/>
                </w:tcPr>
                <w:p w14:paraId="560321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LB-M10-35-LY</w:t>
                  </w:r>
                </w:p>
              </w:tc>
              <w:tc>
                <w:tcPr>
                  <w:tcW w:w="0" w:type="auto"/>
                  <w:tcBorders>
                    <w:tl2br w:val="nil"/>
                    <w:tr2bl w:val="nil"/>
                  </w:tcBorders>
                  <w:noWrap w:val="0"/>
                  <w:vAlign w:val="center"/>
                </w:tcPr>
                <w:p w14:paraId="2494F0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668CDF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55615E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gridSpan w:val="5"/>
                  <w:tcBorders>
                    <w:tl2br w:val="nil"/>
                    <w:tr2bl w:val="nil"/>
                  </w:tcBorders>
                  <w:noWrap w:val="0"/>
                  <w:vAlign w:val="center"/>
                </w:tcPr>
                <w:p w14:paraId="7A1C04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eastAsia" w:cs="Times New Roman"/>
                      <w:kern w:val="0"/>
                      <w:sz w:val="21"/>
                      <w:szCs w:val="21"/>
                      <w:highlight w:val="none"/>
                      <w:lang w:val="en-US" w:eastAsia="zh-CN"/>
                    </w:rPr>
                    <w:t>八、</w:t>
                  </w:r>
                  <w:r>
                    <w:rPr>
                      <w:rFonts w:hint="default" w:ascii="Times New Roman" w:hAnsi="Times New Roman" w:eastAsia="宋体" w:cs="Times New Roman"/>
                      <w:kern w:val="0"/>
                      <w:sz w:val="21"/>
                      <w:szCs w:val="21"/>
                      <w:highlight w:val="none"/>
                    </w:rPr>
                    <w:t>包装充磁工序</w:t>
                  </w:r>
                </w:p>
              </w:tc>
            </w:tr>
            <w:tr w14:paraId="78B3EF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487337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1</w:t>
                  </w:r>
                </w:p>
              </w:tc>
              <w:tc>
                <w:tcPr>
                  <w:tcW w:w="0" w:type="auto"/>
                  <w:tcBorders>
                    <w:tl2br w:val="nil"/>
                    <w:tr2bl w:val="nil"/>
                  </w:tcBorders>
                  <w:noWrap w:val="0"/>
                  <w:vAlign w:val="center"/>
                </w:tcPr>
                <w:p w14:paraId="4BB091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充磁设备 检测设备</w:t>
                  </w:r>
                </w:p>
              </w:tc>
              <w:tc>
                <w:tcPr>
                  <w:tcW w:w="0" w:type="auto"/>
                  <w:tcBorders>
                    <w:tl2br w:val="nil"/>
                    <w:tr2bl w:val="nil"/>
                  </w:tcBorders>
                  <w:noWrap w:val="0"/>
                  <w:vAlign w:val="center"/>
                </w:tcPr>
                <w:p w14:paraId="10EC61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0" w:type="auto"/>
                  <w:tcBorders>
                    <w:tl2br w:val="nil"/>
                    <w:tr2bl w:val="nil"/>
                  </w:tcBorders>
                  <w:noWrap w:val="0"/>
                  <w:vAlign w:val="center"/>
                </w:tcPr>
                <w:p w14:paraId="460CBEC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259CE8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0DFE12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0C7516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p>
              </w:tc>
              <w:tc>
                <w:tcPr>
                  <w:tcW w:w="0" w:type="auto"/>
                  <w:tcBorders>
                    <w:tl2br w:val="nil"/>
                    <w:tr2bl w:val="nil"/>
                  </w:tcBorders>
                  <w:noWrap w:val="0"/>
                  <w:vAlign w:val="center"/>
                </w:tcPr>
                <w:p w14:paraId="7C987A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打包机</w:t>
                  </w:r>
                </w:p>
              </w:tc>
              <w:tc>
                <w:tcPr>
                  <w:tcW w:w="0" w:type="auto"/>
                  <w:tcBorders>
                    <w:tl2br w:val="nil"/>
                    <w:tr2bl w:val="nil"/>
                  </w:tcBorders>
                  <w:noWrap w:val="0"/>
                  <w:vAlign w:val="center"/>
                </w:tcPr>
                <w:p w14:paraId="0BF858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0" w:type="auto"/>
                  <w:tcBorders>
                    <w:tl2br w:val="nil"/>
                    <w:tr2bl w:val="nil"/>
                  </w:tcBorders>
                  <w:noWrap w:val="0"/>
                  <w:vAlign w:val="center"/>
                </w:tcPr>
                <w:p w14:paraId="700ED3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1EBFE2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341F53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83" w:hRule="atLeast"/>
                <w:jc w:val="center"/>
              </w:trPr>
              <w:tc>
                <w:tcPr>
                  <w:tcW w:w="0" w:type="auto"/>
                  <w:tcBorders>
                    <w:tl2br w:val="nil"/>
                    <w:tr2bl w:val="nil"/>
                  </w:tcBorders>
                  <w:noWrap w:val="0"/>
                  <w:vAlign w:val="center"/>
                </w:tcPr>
                <w:p w14:paraId="22F4F9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3</w:t>
                  </w:r>
                </w:p>
              </w:tc>
              <w:tc>
                <w:tcPr>
                  <w:tcW w:w="0" w:type="auto"/>
                  <w:tcBorders>
                    <w:tl2br w:val="nil"/>
                    <w:tr2bl w:val="nil"/>
                  </w:tcBorders>
                  <w:noWrap w:val="0"/>
                  <w:vAlign w:val="center"/>
                </w:tcPr>
                <w:p w14:paraId="06E5BA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AI视觉检测机器人</w:t>
                  </w:r>
                </w:p>
              </w:tc>
              <w:tc>
                <w:tcPr>
                  <w:tcW w:w="0" w:type="auto"/>
                  <w:tcBorders>
                    <w:tl2br w:val="nil"/>
                    <w:tr2bl w:val="nil"/>
                  </w:tcBorders>
                  <w:noWrap w:val="0"/>
                  <w:vAlign w:val="center"/>
                </w:tcPr>
                <w:p w14:paraId="38116F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0" w:type="auto"/>
                  <w:tcBorders>
                    <w:tl2br w:val="nil"/>
                    <w:tr2bl w:val="nil"/>
                  </w:tcBorders>
                  <w:noWrap w:val="0"/>
                  <w:vAlign w:val="center"/>
                </w:tcPr>
                <w:p w14:paraId="4D639C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2CC074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448BCC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42CE9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4</w:t>
                  </w:r>
                </w:p>
              </w:tc>
              <w:tc>
                <w:tcPr>
                  <w:tcW w:w="0" w:type="auto"/>
                  <w:tcBorders>
                    <w:tl2br w:val="nil"/>
                    <w:tr2bl w:val="nil"/>
                  </w:tcBorders>
                  <w:noWrap w:val="0"/>
                  <w:vAlign w:val="center"/>
                </w:tcPr>
                <w:p w14:paraId="313184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喷码设备</w:t>
                  </w:r>
                </w:p>
              </w:tc>
              <w:tc>
                <w:tcPr>
                  <w:tcW w:w="0" w:type="auto"/>
                  <w:tcBorders>
                    <w:tl2br w:val="nil"/>
                    <w:tr2bl w:val="nil"/>
                  </w:tcBorders>
                  <w:noWrap w:val="0"/>
                  <w:vAlign w:val="center"/>
                </w:tcPr>
                <w:p w14:paraId="44FB36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0" w:type="auto"/>
                  <w:tcBorders>
                    <w:tl2br w:val="nil"/>
                    <w:tr2bl w:val="nil"/>
                  </w:tcBorders>
                  <w:noWrap w:val="0"/>
                  <w:vAlign w:val="center"/>
                </w:tcPr>
                <w:p w14:paraId="6D39B1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2</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63759A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r w14:paraId="53546C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83" w:hRule="atLeast"/>
                <w:jc w:val="center"/>
              </w:trPr>
              <w:tc>
                <w:tcPr>
                  <w:tcW w:w="0" w:type="auto"/>
                  <w:gridSpan w:val="5"/>
                  <w:tcBorders>
                    <w:tl2br w:val="nil"/>
                    <w:tr2bl w:val="nil"/>
                  </w:tcBorders>
                  <w:noWrap w:val="0"/>
                  <w:vAlign w:val="center"/>
                </w:tcPr>
                <w:p w14:paraId="7E5DE4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九、水处理工序</w:t>
                  </w:r>
                </w:p>
              </w:tc>
            </w:tr>
            <w:tr w14:paraId="6F7967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0" w:type="auto"/>
                  <w:tcBorders>
                    <w:tl2br w:val="nil"/>
                    <w:tr2bl w:val="nil"/>
                  </w:tcBorders>
                  <w:noWrap w:val="0"/>
                  <w:vAlign w:val="center"/>
                </w:tcPr>
                <w:p w14:paraId="07AB16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1</w:t>
                  </w:r>
                </w:p>
              </w:tc>
              <w:tc>
                <w:tcPr>
                  <w:tcW w:w="0" w:type="auto"/>
                  <w:tcBorders>
                    <w:tl2br w:val="nil"/>
                    <w:tr2bl w:val="nil"/>
                  </w:tcBorders>
                  <w:noWrap w:val="0"/>
                  <w:vAlign w:val="center"/>
                </w:tcPr>
                <w:p w14:paraId="6C4A9B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板框压滤机</w:t>
                  </w:r>
                </w:p>
              </w:tc>
              <w:tc>
                <w:tcPr>
                  <w:tcW w:w="0" w:type="auto"/>
                  <w:tcBorders>
                    <w:tl2br w:val="nil"/>
                    <w:tr2bl w:val="nil"/>
                  </w:tcBorders>
                  <w:noWrap w:val="0"/>
                  <w:vAlign w:val="center"/>
                </w:tcPr>
                <w:p w14:paraId="0A2142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vertAlign w:val="baseline"/>
                      <w:lang w:val="en-US" w:eastAsia="zh-CN"/>
                    </w:rPr>
                  </w:pPr>
                  <w:r>
                    <w:rPr>
                      <w:rFonts w:hint="eastAsia" w:ascii="Times New Roman" w:hAnsi="Times New Roman" w:eastAsia="宋体" w:cs="Times New Roman"/>
                      <w:kern w:val="0"/>
                      <w:sz w:val="21"/>
                      <w:szCs w:val="21"/>
                      <w:highlight w:val="none"/>
                      <w:lang w:val="en-US" w:eastAsia="zh-CN"/>
                    </w:rPr>
                    <w:t>过滤面积20m</w:t>
                  </w:r>
                  <w:r>
                    <w:rPr>
                      <w:rFonts w:hint="eastAsia" w:ascii="Times New Roman" w:hAnsi="Times New Roman" w:eastAsia="宋体" w:cs="Times New Roman"/>
                      <w:kern w:val="0"/>
                      <w:sz w:val="21"/>
                      <w:szCs w:val="21"/>
                      <w:highlight w:val="none"/>
                      <w:vertAlign w:val="superscript"/>
                      <w:lang w:val="en-US" w:eastAsia="zh-CN"/>
                    </w:rPr>
                    <w:t>2</w:t>
                  </w:r>
                  <w:r>
                    <w:rPr>
                      <w:rFonts w:hint="eastAsia" w:ascii="Times New Roman" w:hAnsi="Times New Roman" w:eastAsia="宋体" w:cs="Times New Roman"/>
                      <w:kern w:val="0"/>
                      <w:sz w:val="21"/>
                      <w:szCs w:val="21"/>
                      <w:highlight w:val="none"/>
                      <w:vertAlign w:val="baseline"/>
                      <w:lang w:val="en-US" w:eastAsia="zh-CN"/>
                    </w:rPr>
                    <w:t>，过滤压力0.6MPa</w:t>
                  </w:r>
                </w:p>
              </w:tc>
              <w:tc>
                <w:tcPr>
                  <w:tcW w:w="0" w:type="auto"/>
                  <w:tcBorders>
                    <w:tl2br w:val="nil"/>
                    <w:tr2bl w:val="nil"/>
                  </w:tcBorders>
                  <w:noWrap w:val="0"/>
                  <w:vAlign w:val="center"/>
                </w:tcPr>
                <w:p w14:paraId="047E00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1</w:t>
                  </w:r>
                  <w:r>
                    <w:rPr>
                      <w:rFonts w:hint="eastAsia" w:cs="Times New Roman"/>
                      <w:kern w:val="0"/>
                      <w:sz w:val="21"/>
                      <w:szCs w:val="21"/>
                      <w:highlight w:val="none"/>
                      <w:lang w:val="en-US" w:eastAsia="zh-CN"/>
                    </w:rPr>
                    <w:t>台</w:t>
                  </w:r>
                </w:p>
              </w:tc>
              <w:tc>
                <w:tcPr>
                  <w:tcW w:w="0" w:type="auto"/>
                  <w:tcBorders>
                    <w:tl2br w:val="nil"/>
                    <w:tr2bl w:val="nil"/>
                  </w:tcBorders>
                  <w:noWrap w:val="0"/>
                  <w:vAlign w:val="center"/>
                </w:tcPr>
                <w:p w14:paraId="177D72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r>
          </w:tbl>
          <w:p w14:paraId="5F21A53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b w:val="0"/>
                <w:bCs w:val="0"/>
                <w:kern w:val="2"/>
                <w:sz w:val="24"/>
                <w:szCs w:val="24"/>
                <w:highlight w:val="none"/>
                <w:lang w:val="en-US" w:eastAsia="zh-CN" w:bidi="ar-SA"/>
              </w:rPr>
            </w:pPr>
            <w:r>
              <w:rPr>
                <w:rFonts w:hint="eastAsia" w:cs="Times New Roman"/>
                <w:b w:val="0"/>
                <w:bCs w:val="0"/>
                <w:kern w:val="2"/>
                <w:sz w:val="24"/>
                <w:szCs w:val="24"/>
                <w:highlight w:val="none"/>
                <w:lang w:val="en-US" w:eastAsia="zh-CN" w:bidi="ar-SA"/>
              </w:rPr>
              <w:t>烧结工序真空烧结炉6用2备，每天生产1炉，装炉量规格为600kg，则烧结工序日生产能力为600kg×6台=3.6吨，年生产能力为3.6吨×300d=1080吨，满足年产1000吨的产能。</w:t>
            </w:r>
          </w:p>
          <w:p w14:paraId="2D024E7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kern w:val="2"/>
                <w:sz w:val="24"/>
                <w:szCs w:val="24"/>
                <w:highlight w:val="none"/>
                <w:lang w:val="en-US" w:eastAsia="zh-CN" w:bidi="ar-SA"/>
              </w:rPr>
            </w:pPr>
            <w:r>
              <w:rPr>
                <w:rFonts w:hint="eastAsia" w:cs="Times New Roman"/>
                <w:b w:val="0"/>
                <w:bCs w:val="0"/>
                <w:kern w:val="2"/>
                <w:sz w:val="24"/>
                <w:szCs w:val="24"/>
                <w:highlight w:val="none"/>
                <w:lang w:val="en-US" w:eastAsia="zh-CN" w:bidi="ar-SA"/>
              </w:rPr>
              <w:t>浇铸工序真空连续速凝铸片炉每天生产四炉，每炉进料800kg，则浇铸工序日产能为800kg×1台×4炉=3.2吨。氢碎工序每天生产1炉，每炉最大进料为1800kg，按照浇铸工序的产能计算，则氢碎工序日产能为3200kg×2台=6.4吨，气流磨平均产能为400kg/h，则气流磨日生产能力为400kg×2台×8h=6.4吨，真空氢处理炉产能与气流磨产能匹配。浇铸、制粉工序产能能够满足烧结工序的用料需求。</w:t>
            </w:r>
          </w:p>
          <w:p w14:paraId="0968E1C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6、劳动定员、工作制度</w:t>
            </w:r>
          </w:p>
          <w:p w14:paraId="37B3712B">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劳动定员：项目劳动定员70人。</w:t>
            </w:r>
          </w:p>
          <w:p w14:paraId="771296E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工作制度：烧结工序：每天3班，每班</w:t>
            </w:r>
            <w:r>
              <w:rPr>
                <w:rFonts w:hint="default" w:ascii="Times New Roman" w:hAnsi="Times New Roman" w:eastAsia="宋体" w:cs="Times New Roman"/>
                <w:sz w:val="24"/>
                <w:szCs w:val="24"/>
                <w:highlight w:val="none"/>
                <w:lang w:val="en-US" w:eastAsia="zh-CN"/>
              </w:rPr>
              <w:t>8h</w:t>
            </w:r>
            <w:r>
              <w:rPr>
                <w:rFonts w:hint="eastAsia" w:ascii="Times New Roman" w:hAnsi="Times New Roman" w:eastAsia="宋体" w:cs="Times New Roman"/>
                <w:sz w:val="24"/>
                <w:szCs w:val="24"/>
                <w:highlight w:val="none"/>
                <w:lang w:val="en-US" w:eastAsia="zh-CN"/>
              </w:rPr>
              <w:t>，年生产</w:t>
            </w:r>
            <w:r>
              <w:rPr>
                <w:rFonts w:hint="eastAsia" w:cs="Times New Roman"/>
                <w:sz w:val="24"/>
                <w:szCs w:val="24"/>
                <w:highlight w:val="none"/>
                <w:lang w:val="en-US" w:eastAsia="zh-CN"/>
              </w:rPr>
              <w:t>300</w:t>
            </w:r>
            <w:r>
              <w:rPr>
                <w:rFonts w:hint="eastAsia" w:ascii="Times New Roman" w:hAnsi="Times New Roman" w:eastAsia="宋体" w:cs="Times New Roman"/>
                <w:sz w:val="24"/>
                <w:szCs w:val="24"/>
                <w:highlight w:val="none"/>
                <w:lang w:val="en-US" w:eastAsia="zh-CN"/>
              </w:rPr>
              <w:t>天。其他工序：每天1班，每班</w:t>
            </w:r>
            <w:r>
              <w:rPr>
                <w:rFonts w:hint="default" w:ascii="Times New Roman" w:hAnsi="Times New Roman" w:eastAsia="宋体" w:cs="Times New Roman"/>
                <w:sz w:val="24"/>
                <w:szCs w:val="24"/>
                <w:highlight w:val="none"/>
                <w:lang w:val="en-US" w:eastAsia="zh-CN"/>
              </w:rPr>
              <w:t>8h</w:t>
            </w:r>
            <w:r>
              <w:rPr>
                <w:rFonts w:hint="eastAsia" w:ascii="Times New Roman" w:hAnsi="Times New Roman" w:eastAsia="宋体" w:cs="Times New Roman"/>
                <w:sz w:val="24"/>
                <w:szCs w:val="24"/>
                <w:highlight w:val="none"/>
                <w:lang w:val="en-US" w:eastAsia="zh-CN"/>
              </w:rPr>
              <w:t>，年生产</w:t>
            </w:r>
            <w:r>
              <w:rPr>
                <w:rFonts w:hint="eastAsia" w:cs="Times New Roman"/>
                <w:sz w:val="24"/>
                <w:szCs w:val="24"/>
                <w:highlight w:val="none"/>
                <w:lang w:val="en-US" w:eastAsia="zh-CN"/>
              </w:rPr>
              <w:t>300</w:t>
            </w:r>
            <w:r>
              <w:rPr>
                <w:rFonts w:hint="eastAsia" w:ascii="Times New Roman" w:hAnsi="Times New Roman" w:eastAsia="宋体" w:cs="Times New Roman"/>
                <w:sz w:val="24"/>
                <w:szCs w:val="24"/>
                <w:highlight w:val="none"/>
                <w:lang w:val="en-US" w:eastAsia="zh-CN"/>
              </w:rPr>
              <w:t>天。</w:t>
            </w:r>
          </w:p>
          <w:p w14:paraId="0F9E87C7">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7、公用工程</w:t>
            </w:r>
          </w:p>
          <w:p w14:paraId="2F79442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（1）供电</w:t>
            </w:r>
          </w:p>
          <w:p w14:paraId="3C54FDB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从集店镇变电所接入的电源，项目区设置120kVA的变压器，能满足供电需要。</w:t>
            </w:r>
          </w:p>
          <w:p w14:paraId="085DA322">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（2）供暖</w:t>
            </w:r>
          </w:p>
          <w:p w14:paraId="24C7E476">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本项目生活区冬季采用</w:t>
            </w:r>
            <w:r>
              <w:rPr>
                <w:rFonts w:hint="default" w:ascii="Times New Roman" w:hAnsi="Times New Roman" w:eastAsia="宋体" w:cs="Times New Roman"/>
                <w:sz w:val="24"/>
                <w:szCs w:val="24"/>
                <w:highlight w:val="none"/>
                <w:lang w:val="en-US" w:eastAsia="zh-CN"/>
              </w:rPr>
              <w:t>电空调</w:t>
            </w:r>
            <w:r>
              <w:rPr>
                <w:rFonts w:hint="eastAsia" w:ascii="Times New Roman" w:hAnsi="Times New Roman" w:eastAsia="宋体" w:cs="Times New Roman"/>
                <w:sz w:val="24"/>
                <w:szCs w:val="24"/>
                <w:highlight w:val="none"/>
                <w:lang w:val="en-US" w:eastAsia="zh-CN"/>
              </w:rPr>
              <w:t>供暖，生产区不供暖。</w:t>
            </w:r>
          </w:p>
          <w:p w14:paraId="0068507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（3）供水</w:t>
            </w:r>
          </w:p>
          <w:p w14:paraId="525BC023">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本项目生活用水由壶关经济开发区自来水</w:t>
            </w:r>
            <w:r>
              <w:rPr>
                <w:rFonts w:hint="eastAsia" w:cs="Times New Roman"/>
                <w:sz w:val="24"/>
                <w:szCs w:val="24"/>
                <w:highlight w:val="none"/>
                <w:lang w:val="en-US" w:eastAsia="zh-CN"/>
              </w:rPr>
              <w:t>管网供给</w:t>
            </w:r>
            <w:r>
              <w:rPr>
                <w:rFonts w:hint="eastAsia" w:ascii="Times New Roman" w:hAnsi="Times New Roman" w:eastAsia="宋体" w:cs="Times New Roman"/>
                <w:sz w:val="24"/>
                <w:szCs w:val="24"/>
                <w:highlight w:val="none"/>
                <w:lang w:val="en-US" w:eastAsia="zh-CN"/>
              </w:rPr>
              <w:t>，开发区建设了DN300的管道。生产用水接自县城再生水厂，开发区建设了DN100的管道。</w:t>
            </w:r>
          </w:p>
          <w:p w14:paraId="2448267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1）生产用水</w:t>
            </w:r>
          </w:p>
          <w:p w14:paraId="4D9B998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①湿法作业</w:t>
            </w:r>
            <w:r>
              <w:rPr>
                <w:rFonts w:hint="eastAsia" w:cs="Times New Roman"/>
                <w:sz w:val="24"/>
                <w:szCs w:val="24"/>
                <w:highlight w:val="none"/>
                <w:lang w:val="en-US" w:eastAsia="zh-CN"/>
              </w:rPr>
              <w:t>用</w:t>
            </w:r>
            <w:r>
              <w:rPr>
                <w:rFonts w:hint="eastAsia" w:ascii="Times New Roman" w:hAnsi="Times New Roman" w:eastAsia="宋体" w:cs="Times New Roman"/>
                <w:sz w:val="24"/>
                <w:szCs w:val="24"/>
                <w:highlight w:val="none"/>
                <w:lang w:val="en-US" w:eastAsia="zh-CN"/>
              </w:rPr>
              <w:t>水</w:t>
            </w:r>
          </w:p>
          <w:p w14:paraId="397A60C5">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vertAlign w:val="baseline"/>
                <w:lang w:val="en-US" w:eastAsia="zh-CN"/>
              </w:rPr>
            </w:pPr>
            <w:r>
              <w:rPr>
                <w:rFonts w:hint="eastAsia" w:ascii="Times New Roman" w:hAnsi="Times New Roman" w:eastAsia="宋体" w:cs="Times New Roman"/>
                <w:sz w:val="24"/>
                <w:szCs w:val="24"/>
                <w:highlight w:val="none"/>
                <w:lang w:val="en-US" w:eastAsia="zh-CN"/>
              </w:rPr>
              <w:t>本项目磨床、切割的生产过程中湿法作业产生的废水经设备自带的循环系统沉淀后循环使用不外排。</w:t>
            </w:r>
            <w:r>
              <w:rPr>
                <w:rFonts w:hint="eastAsia" w:cs="Times New Roman"/>
                <w:sz w:val="24"/>
                <w:szCs w:val="24"/>
                <w:highlight w:val="none"/>
                <w:lang w:val="en-US" w:eastAsia="zh-CN"/>
              </w:rPr>
              <w:t>湿法作业用水需定期补水，</w:t>
            </w:r>
            <w:r>
              <w:rPr>
                <w:rFonts w:hint="eastAsia" w:cs="Times New Roman"/>
                <w:sz w:val="24"/>
                <w:szCs w:val="24"/>
                <w:highlight w:val="none"/>
                <w:vertAlign w:val="baseline"/>
                <w:lang w:val="en-US" w:eastAsia="zh-CN"/>
              </w:rPr>
              <w:t>循环水量为36.92m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/d（11076m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/a），磨泥带走数量0.58m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/d（174m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/a），新鲜水用量1.28m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/d（384m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/a），损耗量0.7m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/a（210m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/a）。</w:t>
            </w:r>
          </w:p>
          <w:p w14:paraId="6F304677">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②设备循环冷却系统定期排水</w:t>
            </w:r>
          </w:p>
          <w:p w14:paraId="2907A65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lang w:val="en-US" w:eastAsia="zh-CN"/>
              </w:rPr>
              <w:t>真空连续速凝铸片炉冷却水</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浇铸冷辊</w:t>
            </w:r>
            <w:r>
              <w:rPr>
                <w:rFonts w:hint="eastAsia" w:ascii="Times New Roman" w:hAnsi="Times New Roman" w:eastAsia="宋体" w:cs="Times New Roman"/>
                <w:sz w:val="24"/>
                <w:szCs w:val="24"/>
                <w:highlight w:val="none"/>
                <w:lang w:val="en-US" w:eastAsia="zh-CN"/>
              </w:rPr>
              <w:t>用水</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日用水量</w:t>
            </w:r>
            <w:r>
              <w:rPr>
                <w:rFonts w:hint="eastAsia" w:cs="Times New Roman"/>
                <w:sz w:val="24"/>
                <w:szCs w:val="24"/>
                <w:highlight w:val="none"/>
                <w:lang w:val="en-US" w:eastAsia="zh-CN"/>
              </w:rPr>
              <w:t>26.35</w:t>
            </w:r>
            <w:r>
              <w:rPr>
                <w:rFonts w:hint="default" w:ascii="Times New Roman" w:hAnsi="Times New Roman" w:eastAsia="宋体" w:cs="Times New Roman"/>
                <w:sz w:val="24"/>
                <w:szCs w:val="24"/>
                <w:highlight w:val="none"/>
                <w:lang w:val="en-US" w:eastAsia="zh-CN"/>
              </w:rPr>
              <w:t>m</w:t>
            </w:r>
            <w:r>
              <w:rPr>
                <w:rFonts w:hint="eastAsia"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w:t>
            </w:r>
            <w:r>
              <w:rPr>
                <w:rFonts w:hint="eastAsia" w:cs="Times New Roman"/>
                <w:sz w:val="24"/>
                <w:szCs w:val="24"/>
                <w:highlight w:val="none"/>
                <w:lang w:val="en-US" w:eastAsia="zh-CN"/>
              </w:rPr>
              <w:t>；真空氢处理炉</w:t>
            </w:r>
            <w:r>
              <w:rPr>
                <w:rFonts w:hint="default" w:ascii="Times New Roman" w:hAnsi="Times New Roman" w:eastAsia="宋体" w:cs="Times New Roman"/>
                <w:sz w:val="24"/>
                <w:szCs w:val="24"/>
                <w:highlight w:val="none"/>
                <w:lang w:val="en-US" w:eastAsia="zh-CN"/>
              </w:rPr>
              <w:t>物料吸氢后放热，炉体外通冷却水将其降至室温，冷却水用量约</w:t>
            </w:r>
            <w:r>
              <w:rPr>
                <w:rFonts w:hint="eastAsia" w:cs="Times New Roman"/>
                <w:sz w:val="24"/>
                <w:szCs w:val="24"/>
                <w:highlight w:val="none"/>
                <w:lang w:val="en-US" w:eastAsia="zh-CN"/>
              </w:rPr>
              <w:t>5.09</w:t>
            </w:r>
            <w:r>
              <w:rPr>
                <w:rFonts w:hint="default" w:ascii="Times New Roman" w:hAnsi="Times New Roman" w:eastAsia="宋体" w:cs="Times New Roman"/>
                <w:sz w:val="24"/>
                <w:szCs w:val="24"/>
                <w:highlight w:val="none"/>
                <w:lang w:val="en-US" w:eastAsia="zh-CN"/>
              </w:rPr>
              <w:t>m</w:t>
            </w:r>
            <w:r>
              <w:rPr>
                <w:rFonts w:hint="eastAsia"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真空烧结炉冷却水用量</w:t>
            </w:r>
            <w:r>
              <w:rPr>
                <w:rFonts w:hint="eastAsia" w:cs="Times New Roman"/>
                <w:sz w:val="24"/>
                <w:szCs w:val="24"/>
                <w:highlight w:val="none"/>
                <w:lang w:val="en-US" w:eastAsia="zh-CN"/>
              </w:rPr>
              <w:t>44.12</w:t>
            </w:r>
            <w:r>
              <w:rPr>
                <w:rFonts w:hint="default" w:ascii="Times New Roman" w:hAnsi="Times New Roman" w:eastAsia="宋体" w:cs="Times New Roman"/>
                <w:sz w:val="24"/>
                <w:szCs w:val="24"/>
                <w:highlight w:val="none"/>
                <w:lang w:val="en-US" w:eastAsia="zh-CN"/>
              </w:rPr>
              <w:t>m</w:t>
            </w:r>
            <w:r>
              <w:rPr>
                <w:rFonts w:hint="eastAsia"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气流磨冷却水用量</w:t>
            </w:r>
            <w:r>
              <w:rPr>
                <w:rFonts w:hint="eastAsia" w:cs="Times New Roman"/>
                <w:sz w:val="24"/>
                <w:szCs w:val="24"/>
                <w:highlight w:val="none"/>
                <w:lang w:val="en-US" w:eastAsia="zh-CN"/>
              </w:rPr>
              <w:t>33.94</w:t>
            </w:r>
            <w:r>
              <w:rPr>
                <w:rFonts w:hint="default" w:ascii="Times New Roman" w:hAnsi="Times New Roman" w:eastAsia="宋体" w:cs="Times New Roman"/>
                <w:sz w:val="24"/>
                <w:szCs w:val="24"/>
                <w:highlight w:val="none"/>
                <w:lang w:val="en-US" w:eastAsia="zh-CN"/>
              </w:rPr>
              <w:t>m</w:t>
            </w:r>
            <w:r>
              <w:rPr>
                <w:rFonts w:hint="eastAsia"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w:t>
            </w:r>
            <w:r>
              <w:rPr>
                <w:rFonts w:hint="eastAsia" w:cs="Times New Roman"/>
                <w:sz w:val="24"/>
                <w:szCs w:val="24"/>
                <w:highlight w:val="none"/>
                <w:lang w:val="en-US" w:eastAsia="zh-CN"/>
              </w:rPr>
              <w:t>；成型压机冷却水用量34.98</w:t>
            </w:r>
            <w:r>
              <w:rPr>
                <w:rFonts w:hint="default" w:ascii="Times New Roman" w:hAnsi="Times New Roman" w:eastAsia="宋体" w:cs="Times New Roman"/>
                <w:sz w:val="24"/>
                <w:szCs w:val="24"/>
                <w:highlight w:val="none"/>
                <w:lang w:val="en-US" w:eastAsia="zh-CN"/>
              </w:rPr>
              <w:t>m</w:t>
            </w:r>
            <w:r>
              <w:rPr>
                <w:rFonts w:hint="eastAsia"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全部为间接冷却方式，冷却水集中排入</w:t>
            </w:r>
            <w:r>
              <w:rPr>
                <w:rFonts w:hint="eastAsia" w:cs="Times New Roman"/>
                <w:sz w:val="24"/>
                <w:szCs w:val="24"/>
                <w:highlight w:val="none"/>
                <w:lang w:val="en-US" w:eastAsia="zh-CN"/>
              </w:rPr>
              <w:t>热水</w:t>
            </w:r>
            <w:r>
              <w:rPr>
                <w:rFonts w:hint="default" w:ascii="Times New Roman" w:hAnsi="Times New Roman" w:eastAsia="宋体" w:cs="Times New Roman"/>
                <w:sz w:val="24"/>
                <w:szCs w:val="24"/>
                <w:highlight w:val="none"/>
                <w:lang w:val="en-US" w:eastAsia="zh-CN"/>
              </w:rPr>
              <w:t>池，泵至冷却塔后流入冷水池返回各用水点重复使用。本项目循环冷却水在循环过程中由于不断蒸发会导致含盐量升高，为保持冷却水水质稳定，需定期排放，排水量为600m</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/a（2m</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w:t>
            </w:r>
            <w:r>
              <w:rPr>
                <w:rFonts w:hint="eastAsia" w:cs="Times New Roman"/>
                <w:sz w:val="24"/>
                <w:szCs w:val="24"/>
                <w:highlight w:val="none"/>
                <w:lang w:val="en-US" w:eastAsia="zh-CN"/>
              </w:rPr>
              <w:t>循环冷却水系统定排水用作办公区域地面清洁</w:t>
            </w:r>
            <w:r>
              <w:rPr>
                <w:rFonts w:hint="default" w:ascii="Times New Roman" w:hAnsi="Times New Roman" w:eastAsia="宋体" w:cs="Times New Roman"/>
                <w:sz w:val="24"/>
                <w:szCs w:val="24"/>
                <w:highlight w:val="none"/>
                <w:lang w:val="en-US" w:eastAsia="zh-CN"/>
              </w:rPr>
              <w:t>。</w:t>
            </w:r>
            <w:r>
              <w:rPr>
                <w:rFonts w:hint="eastAsia" w:cs="Times New Roman"/>
                <w:sz w:val="24"/>
                <w:szCs w:val="24"/>
                <w:highlight w:val="none"/>
                <w:vertAlign w:val="baseline"/>
                <w:lang w:val="en-US" w:eastAsia="zh-CN"/>
              </w:rPr>
              <w:t>循环水量为144.48m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/d（43344m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/a），新鲜水用量为4.76</w:t>
            </w:r>
            <w:r>
              <w:rPr>
                <w:rFonts w:hint="eastAsia" w:cs="Times New Roman"/>
                <w:sz w:val="24"/>
                <w:szCs w:val="24"/>
                <w:highlight w:val="none"/>
                <w:lang w:val="en-US" w:eastAsia="zh-CN"/>
              </w:rPr>
              <w:t>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/d（888m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/a），蒸发损耗量2.76</w:t>
            </w:r>
            <w:r>
              <w:rPr>
                <w:rFonts w:hint="eastAsia" w:cs="Times New Roman"/>
                <w:sz w:val="24"/>
                <w:szCs w:val="24"/>
                <w:highlight w:val="none"/>
                <w:lang w:val="en-US" w:eastAsia="zh-CN"/>
              </w:rPr>
              <w:t>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/d（828m</w:t>
            </w:r>
            <w:r>
              <w:rPr>
                <w:rFonts w:hint="eastAsia" w:cs="Times New Roman"/>
                <w:sz w:val="24"/>
                <w:szCs w:val="24"/>
                <w:highlight w:val="none"/>
                <w:vertAlign w:val="superscript"/>
                <w:lang w:val="en-US" w:eastAsia="zh-CN"/>
              </w:rPr>
              <w:t>3</w:t>
            </w:r>
            <w:r>
              <w:rPr>
                <w:rFonts w:hint="eastAsia" w:cs="Times New Roman"/>
                <w:sz w:val="24"/>
                <w:szCs w:val="24"/>
                <w:highlight w:val="none"/>
                <w:vertAlign w:val="baseline"/>
                <w:lang w:val="en-US" w:eastAsia="zh-CN"/>
              </w:rPr>
              <w:t>/a）。</w:t>
            </w:r>
          </w:p>
          <w:p w14:paraId="71385C39">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2）生活用水</w:t>
            </w:r>
          </w:p>
          <w:p w14:paraId="0A50E09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本项目职工人数为70人，年工作300天，不含食堂、淋浴，职工用水主要为洗漱用水。根据《山西省用水定额第4部分：居民生活用水定额》（DB14/T1049.4-2021），生活用水量按70L/人·d计，则职工生活用水量为4.9m</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/d，产污系数按80%计，则项目生活污水产生量为3.92m</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/d。生活污水排入开发区污水管网，经管网送第</w:t>
            </w:r>
            <w:r>
              <w:rPr>
                <w:rFonts w:hint="eastAsia" w:cs="Times New Roman"/>
                <w:sz w:val="24"/>
                <w:szCs w:val="24"/>
                <w:highlight w:val="none"/>
                <w:lang w:val="en-US" w:eastAsia="zh-CN"/>
              </w:rPr>
              <w:t>一</w:t>
            </w:r>
            <w:r>
              <w:rPr>
                <w:rFonts w:hint="default" w:ascii="Times New Roman" w:hAnsi="Times New Roman" w:eastAsia="宋体" w:cs="Times New Roman"/>
                <w:sz w:val="24"/>
                <w:szCs w:val="24"/>
                <w:highlight w:val="none"/>
                <w:lang w:val="en-US" w:eastAsia="zh-CN"/>
              </w:rPr>
              <w:t>污水处理厂处理。</w:t>
            </w:r>
          </w:p>
          <w:p w14:paraId="43FDA119">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4"/>
                <w:szCs w:val="24"/>
                <w:highlight w:val="none"/>
                <w:lang w:val="en-US" w:eastAsia="zh-CN"/>
              </w:rPr>
              <w:t>经了解，壶关</w:t>
            </w:r>
            <w:r>
              <w:rPr>
                <w:rFonts w:hint="eastAsia" w:cs="Times New Roman"/>
                <w:sz w:val="24"/>
                <w:szCs w:val="24"/>
                <w:highlight w:val="none"/>
                <w:lang w:val="en-US" w:eastAsia="zh-CN"/>
              </w:rPr>
              <w:t>经济开发区</w:t>
            </w:r>
            <w:r>
              <w:rPr>
                <w:rFonts w:hint="default" w:ascii="Times New Roman" w:hAnsi="Times New Roman" w:eastAsia="宋体" w:cs="Times New Roman"/>
                <w:sz w:val="24"/>
                <w:szCs w:val="24"/>
                <w:highlight w:val="none"/>
                <w:lang w:val="en-US" w:eastAsia="zh-CN"/>
              </w:rPr>
              <w:t>第</w:t>
            </w:r>
            <w:r>
              <w:rPr>
                <w:rFonts w:hint="eastAsia" w:cs="Times New Roman"/>
                <w:sz w:val="24"/>
                <w:szCs w:val="24"/>
                <w:highlight w:val="none"/>
                <w:lang w:val="en-US" w:eastAsia="zh-CN"/>
              </w:rPr>
              <w:t>一</w:t>
            </w:r>
            <w:r>
              <w:rPr>
                <w:rFonts w:hint="default" w:ascii="Times New Roman" w:hAnsi="Times New Roman" w:eastAsia="宋体" w:cs="Times New Roman"/>
                <w:sz w:val="24"/>
                <w:szCs w:val="24"/>
                <w:highlight w:val="none"/>
                <w:lang w:val="en-US" w:eastAsia="zh-CN"/>
              </w:rPr>
              <w:t>污水处理厂</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设计处理规模为</w:t>
            </w:r>
            <w:r>
              <w:rPr>
                <w:rFonts w:hint="eastAsia" w:cs="Times New Roman"/>
                <w:sz w:val="24"/>
                <w:szCs w:val="24"/>
                <w:highlight w:val="none"/>
                <w:lang w:val="en-US" w:eastAsia="zh-CN"/>
              </w:rPr>
              <w:t>41</w:t>
            </w:r>
            <w:r>
              <w:rPr>
                <w:rFonts w:hint="default" w:ascii="Times New Roman" w:hAnsi="Times New Roman" w:eastAsia="宋体" w:cs="Times New Roman"/>
                <w:sz w:val="24"/>
                <w:szCs w:val="24"/>
                <w:highlight w:val="none"/>
                <w:lang w:val="en-US" w:eastAsia="zh-CN"/>
              </w:rPr>
              <w:t>0m</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w:t>
            </w:r>
            <w:r>
              <w:rPr>
                <w:rFonts w:hint="eastAsia" w:cs="Times New Roman"/>
                <w:sz w:val="24"/>
                <w:szCs w:val="24"/>
                <w:highlight w:val="none"/>
                <w:lang w:val="en-US" w:eastAsia="zh-CN"/>
              </w:rPr>
              <w:t>处理工艺为“格栅+调节+生活污水一体化处理装置（A</w:t>
            </w:r>
            <w:r>
              <w:rPr>
                <w:rFonts w:hint="eastAsia" w:cs="Times New Roman"/>
                <w:sz w:val="24"/>
                <w:szCs w:val="24"/>
                <w:highlight w:val="none"/>
                <w:vertAlign w:val="superscript"/>
                <w:lang w:val="en-US" w:eastAsia="zh-CN"/>
              </w:rPr>
              <w:t>2</w:t>
            </w:r>
            <w:r>
              <w:rPr>
                <w:rFonts w:hint="eastAsia" w:cs="Times New Roman"/>
                <w:sz w:val="24"/>
                <w:szCs w:val="24"/>
                <w:highlight w:val="none"/>
                <w:vertAlign w:val="baseline"/>
                <w:lang w:val="en-US" w:eastAsia="zh-CN"/>
              </w:rPr>
              <w:t>/O+MBR膜</w:t>
            </w:r>
            <w:r>
              <w:rPr>
                <w:rFonts w:hint="eastAsia" w:cs="Times New Roman"/>
                <w:sz w:val="24"/>
                <w:szCs w:val="24"/>
                <w:highlight w:val="none"/>
                <w:lang w:val="en-US" w:eastAsia="zh-CN"/>
              </w:rPr>
              <w:t>）+软化装置+消毒”，出水水质达到</w:t>
            </w:r>
            <w:r>
              <w:rPr>
                <w:rFonts w:hint="default" w:ascii="Times New Roman" w:hAnsi="Times New Roman" w:eastAsia="宋体" w:cs="Times New Roman"/>
                <w:sz w:val="24"/>
                <w:szCs w:val="24"/>
                <w:highlight w:val="none"/>
                <w:lang w:val="en-US" w:eastAsia="zh-CN"/>
              </w:rPr>
              <w:t>《城镇污水处理厂污染物排放标准》（GB 18918-2002）</w:t>
            </w:r>
            <w:r>
              <w:rPr>
                <w:rFonts w:hint="eastAsia" w:cs="Times New Roman"/>
                <w:sz w:val="24"/>
                <w:szCs w:val="24"/>
                <w:highlight w:val="none"/>
                <w:lang w:val="en-US" w:eastAsia="zh-CN"/>
              </w:rPr>
              <w:t>一级A标准，同时达到《城市污水再生利用工业用水水质》（GB/T19923-2005）要求，目前</w:t>
            </w:r>
            <w:r>
              <w:rPr>
                <w:rFonts w:hint="default" w:ascii="Times New Roman" w:hAnsi="Times New Roman" w:eastAsia="宋体" w:cs="Times New Roman"/>
                <w:sz w:val="24"/>
                <w:szCs w:val="24"/>
                <w:highlight w:val="none"/>
                <w:lang w:val="en-US" w:eastAsia="zh-CN"/>
              </w:rPr>
              <w:t>实际处理</w:t>
            </w:r>
            <w:r>
              <w:rPr>
                <w:rFonts w:hint="eastAsia" w:cs="Times New Roman"/>
                <w:sz w:val="24"/>
                <w:szCs w:val="24"/>
                <w:highlight w:val="none"/>
                <w:lang w:val="en-US" w:eastAsia="zh-CN"/>
              </w:rPr>
              <w:t>规模为367</w:t>
            </w:r>
            <w:r>
              <w:rPr>
                <w:rFonts w:hint="default" w:ascii="Times New Roman" w:hAnsi="Times New Roman" w:eastAsia="宋体" w:cs="Times New Roman"/>
                <w:sz w:val="24"/>
                <w:szCs w:val="24"/>
                <w:highlight w:val="none"/>
                <w:lang w:val="en-US" w:eastAsia="zh-CN"/>
              </w:rPr>
              <w:t>m</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/d</w:t>
            </w:r>
            <w:r>
              <w:rPr>
                <w:rFonts w:hint="eastAsia" w:cs="Times New Roman"/>
                <w:sz w:val="24"/>
                <w:szCs w:val="24"/>
                <w:highlight w:val="none"/>
                <w:lang w:val="en-US" w:eastAsia="zh-CN"/>
              </w:rPr>
              <w:t>，废水处理后作为壶关县常平炼钢有限公司连铸浊环水的补充用水，不外排。</w:t>
            </w:r>
          </w:p>
          <w:p w14:paraId="7089E931">
            <w:pPr>
              <w:pStyle w:val="41"/>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sz w:val="21"/>
                <w:szCs w:val="21"/>
                <w:highlight w:val="none"/>
                <w:lang w:val="en-US" w:eastAsia="zh-CN"/>
              </w:rPr>
            </w:pPr>
            <w:r>
              <w:rPr>
                <w:rFonts w:hint="eastAsia"/>
                <w:sz w:val="21"/>
                <w:szCs w:val="21"/>
                <w:highlight w:val="none"/>
                <w:lang w:val="en-US" w:eastAsia="zh-CN"/>
              </w:rPr>
              <w:t>表</w:t>
            </w:r>
            <w:r>
              <w:rPr>
                <w:rFonts w:hint="default"/>
                <w:sz w:val="21"/>
                <w:szCs w:val="21"/>
                <w:highlight w:val="none"/>
                <w:lang w:val="en-US" w:eastAsia="zh-CN"/>
              </w:rPr>
              <w:t>2-</w:t>
            </w:r>
            <w:r>
              <w:rPr>
                <w:rFonts w:hint="eastAsia"/>
                <w:sz w:val="21"/>
                <w:szCs w:val="21"/>
                <w:highlight w:val="none"/>
                <w:lang w:val="en-US" w:eastAsia="zh-CN"/>
              </w:rPr>
              <w:t xml:space="preserve">6 </w:t>
            </w:r>
            <w:r>
              <w:rPr>
                <w:rFonts w:hint="default"/>
                <w:sz w:val="21"/>
                <w:szCs w:val="21"/>
                <w:highlight w:val="none"/>
                <w:lang w:val="en-US" w:eastAsia="zh-CN"/>
              </w:rPr>
              <w:t xml:space="preserve"> </w:t>
            </w:r>
            <w:r>
              <w:rPr>
                <w:rFonts w:hint="eastAsia"/>
                <w:sz w:val="21"/>
                <w:szCs w:val="21"/>
                <w:highlight w:val="none"/>
                <w:lang w:val="en-US" w:eastAsia="zh-CN"/>
              </w:rPr>
              <w:t>运营期用排水量</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505"/>
              <w:gridCol w:w="1398"/>
              <w:gridCol w:w="562"/>
              <w:gridCol w:w="1624"/>
              <w:gridCol w:w="1253"/>
              <w:gridCol w:w="1651"/>
              <w:gridCol w:w="952"/>
            </w:tblGrid>
            <w:tr w14:paraId="74482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0" w:type="auto"/>
                  <w:tcBorders>
                    <w:tl2br w:val="nil"/>
                    <w:tr2bl w:val="nil"/>
                  </w:tcBorders>
                  <w:noWrap w:val="0"/>
                  <w:vAlign w:val="center"/>
                </w:tcPr>
                <w:p w14:paraId="4A3AB6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序号</w:t>
                  </w:r>
                </w:p>
              </w:tc>
              <w:tc>
                <w:tcPr>
                  <w:tcW w:w="0" w:type="auto"/>
                  <w:tcBorders>
                    <w:tl2br w:val="nil"/>
                    <w:tr2bl w:val="nil"/>
                  </w:tcBorders>
                  <w:noWrap w:val="0"/>
                  <w:vAlign w:val="center"/>
                </w:tcPr>
                <w:p w14:paraId="1597A7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类别</w:t>
                  </w:r>
                </w:p>
              </w:tc>
              <w:tc>
                <w:tcPr>
                  <w:tcW w:w="0" w:type="auto"/>
                  <w:tcBorders>
                    <w:tl2br w:val="nil"/>
                    <w:tr2bl w:val="nil"/>
                  </w:tcBorders>
                  <w:noWrap w:val="0"/>
                  <w:vAlign w:val="center"/>
                </w:tcPr>
                <w:p w14:paraId="2062560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数量</w:t>
                  </w:r>
                </w:p>
              </w:tc>
              <w:tc>
                <w:tcPr>
                  <w:tcW w:w="0" w:type="auto"/>
                  <w:tcBorders>
                    <w:tl2br w:val="nil"/>
                    <w:tr2bl w:val="nil"/>
                  </w:tcBorders>
                  <w:noWrap w:val="0"/>
                  <w:vAlign w:val="center"/>
                </w:tcPr>
                <w:p w14:paraId="27DC2C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用水标准</w:t>
                  </w:r>
                </w:p>
              </w:tc>
              <w:tc>
                <w:tcPr>
                  <w:tcW w:w="0" w:type="auto"/>
                  <w:tcBorders>
                    <w:tl2br w:val="nil"/>
                    <w:tr2bl w:val="nil"/>
                  </w:tcBorders>
                  <w:noWrap w:val="0"/>
                  <w:vAlign w:val="center"/>
                </w:tcPr>
                <w:p w14:paraId="3580D8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日用水量m</w:t>
                  </w:r>
                  <w:r>
                    <w:rPr>
                      <w:rFonts w:hint="default" w:ascii="Times New Roman" w:hAnsi="Times New Roman" w:eastAsia="宋体" w:cs="Times New Roman"/>
                      <w:sz w:val="21"/>
                      <w:szCs w:val="21"/>
                      <w:highlight w:val="none"/>
                      <w:vertAlign w:val="superscript"/>
                    </w:rPr>
                    <w:t>3</w:t>
                  </w:r>
                </w:p>
              </w:tc>
              <w:tc>
                <w:tcPr>
                  <w:tcW w:w="0" w:type="auto"/>
                  <w:tcBorders>
                    <w:tl2br w:val="nil"/>
                    <w:tr2bl w:val="nil"/>
                  </w:tcBorders>
                  <w:noWrap w:val="0"/>
                  <w:vAlign w:val="center"/>
                </w:tcPr>
                <w:p w14:paraId="6464AD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废水</w:t>
                  </w:r>
                  <w:r>
                    <w:rPr>
                      <w:rFonts w:hint="default" w:ascii="Times New Roman" w:hAnsi="Times New Roman" w:eastAsia="宋体" w:cs="Times New Roman"/>
                      <w:sz w:val="21"/>
                      <w:szCs w:val="21"/>
                      <w:highlight w:val="none"/>
                    </w:rPr>
                    <w:t>产生量m</w:t>
                  </w:r>
                  <w:r>
                    <w:rPr>
                      <w:rFonts w:hint="default" w:ascii="Times New Roman" w:hAnsi="Times New Roman" w:eastAsia="宋体" w:cs="Times New Roman"/>
                      <w:sz w:val="21"/>
                      <w:szCs w:val="21"/>
                      <w:highlight w:val="none"/>
                      <w:vertAlign w:val="superscript"/>
                    </w:rPr>
                    <w:t>3</w:t>
                  </w:r>
                  <w:r>
                    <w:rPr>
                      <w:rFonts w:hint="eastAsia" w:cs="Times New Roman"/>
                      <w:sz w:val="21"/>
                      <w:szCs w:val="21"/>
                      <w:highlight w:val="none"/>
                      <w:vertAlign w:val="baseline"/>
                      <w:lang w:val="en-US" w:eastAsia="zh-CN"/>
                    </w:rPr>
                    <w:t>/d</w:t>
                  </w:r>
                </w:p>
              </w:tc>
              <w:tc>
                <w:tcPr>
                  <w:tcW w:w="0" w:type="auto"/>
                  <w:tcBorders>
                    <w:tl2br w:val="nil"/>
                    <w:tr2bl w:val="nil"/>
                  </w:tcBorders>
                  <w:noWrap w:val="0"/>
                  <w:vAlign w:val="center"/>
                </w:tcPr>
                <w:p w14:paraId="3D213C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备注</w:t>
                  </w:r>
                </w:p>
              </w:tc>
            </w:tr>
            <w:tr w14:paraId="33A39D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0" w:type="auto"/>
                  <w:tcBorders>
                    <w:tl2br w:val="nil"/>
                    <w:tr2bl w:val="nil"/>
                  </w:tcBorders>
                  <w:noWrap w:val="0"/>
                  <w:vAlign w:val="center"/>
                </w:tcPr>
                <w:p w14:paraId="5010FA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w:t>
                  </w:r>
                </w:p>
              </w:tc>
              <w:tc>
                <w:tcPr>
                  <w:tcW w:w="0" w:type="auto"/>
                  <w:tcBorders>
                    <w:tl2br w:val="nil"/>
                    <w:tr2bl w:val="nil"/>
                  </w:tcBorders>
                  <w:noWrap w:val="0"/>
                  <w:vAlign w:val="center"/>
                </w:tcPr>
                <w:p w14:paraId="7745F21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湿法作业用水</w:t>
                  </w:r>
                </w:p>
              </w:tc>
              <w:tc>
                <w:tcPr>
                  <w:tcW w:w="0" w:type="auto"/>
                  <w:tcBorders>
                    <w:tl2br w:val="nil"/>
                    <w:tr2bl w:val="nil"/>
                  </w:tcBorders>
                  <w:noWrap w:val="0"/>
                  <w:vAlign w:val="center"/>
                </w:tcPr>
                <w:p w14:paraId="47F091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w:t>
                  </w:r>
                </w:p>
              </w:tc>
              <w:tc>
                <w:tcPr>
                  <w:tcW w:w="0" w:type="auto"/>
                  <w:tcBorders>
                    <w:tl2br w:val="nil"/>
                    <w:tr2bl w:val="nil"/>
                  </w:tcBorders>
                  <w:noWrap w:val="0"/>
                  <w:vAlign w:val="center"/>
                </w:tcPr>
                <w:p w14:paraId="18C36A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lang w:val="en-US" w:eastAsia="zh-CN"/>
                    </w:rPr>
                    <w:t>36.92m</w:t>
                  </w:r>
                  <w:r>
                    <w:rPr>
                      <w:rFonts w:hint="eastAsia" w:cs="Times New Roman"/>
                      <w:sz w:val="21"/>
                      <w:szCs w:val="21"/>
                      <w:highlight w:val="none"/>
                      <w:vertAlign w:val="superscript"/>
                      <w:lang w:val="en-US" w:eastAsia="zh-CN"/>
                    </w:rPr>
                    <w:t>3</w:t>
                  </w:r>
                  <w:r>
                    <w:rPr>
                      <w:rFonts w:hint="eastAsia" w:cs="Times New Roman"/>
                      <w:sz w:val="21"/>
                      <w:szCs w:val="21"/>
                      <w:highlight w:val="none"/>
                      <w:vertAlign w:val="baseline"/>
                      <w:lang w:val="en-US" w:eastAsia="zh-CN"/>
                    </w:rPr>
                    <w:t>循环水</w:t>
                  </w:r>
                </w:p>
              </w:tc>
              <w:tc>
                <w:tcPr>
                  <w:tcW w:w="0" w:type="auto"/>
                  <w:tcBorders>
                    <w:tl2br w:val="nil"/>
                    <w:tr2bl w:val="nil"/>
                  </w:tcBorders>
                  <w:noWrap w:val="0"/>
                  <w:vAlign w:val="center"/>
                </w:tcPr>
                <w:p w14:paraId="59E634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kern w:val="2"/>
                      <w:sz w:val="21"/>
                      <w:szCs w:val="21"/>
                      <w:highlight w:val="none"/>
                      <w:lang w:val="en-US" w:eastAsia="zh-CN" w:bidi="ar-SA"/>
                    </w:rPr>
                  </w:pPr>
                  <w:r>
                    <w:rPr>
                      <w:rFonts w:hint="eastAsia" w:cs="Times New Roman"/>
                      <w:kern w:val="2"/>
                      <w:sz w:val="21"/>
                      <w:szCs w:val="21"/>
                      <w:highlight w:val="none"/>
                      <w:lang w:val="en-US" w:eastAsia="zh-CN" w:bidi="ar-SA"/>
                    </w:rPr>
                    <w:t>1.28</w:t>
                  </w:r>
                </w:p>
              </w:tc>
              <w:tc>
                <w:tcPr>
                  <w:tcW w:w="0" w:type="auto"/>
                  <w:tcBorders>
                    <w:tl2br w:val="nil"/>
                    <w:tr2bl w:val="nil"/>
                  </w:tcBorders>
                  <w:noWrap w:val="0"/>
                  <w:vAlign w:val="center"/>
                </w:tcPr>
                <w:p w14:paraId="68C215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0.58</w:t>
                  </w:r>
                </w:p>
              </w:tc>
              <w:tc>
                <w:tcPr>
                  <w:tcW w:w="0" w:type="auto"/>
                  <w:tcBorders>
                    <w:tl2br w:val="nil"/>
                    <w:tr2bl w:val="nil"/>
                  </w:tcBorders>
                  <w:noWrap w:val="0"/>
                  <w:vAlign w:val="center"/>
                </w:tcPr>
                <w:p w14:paraId="415725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循环利用</w:t>
                  </w:r>
                </w:p>
              </w:tc>
            </w:tr>
            <w:tr w14:paraId="5E03DD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0" w:type="auto"/>
                  <w:tcBorders>
                    <w:tl2br w:val="nil"/>
                    <w:tr2bl w:val="nil"/>
                  </w:tcBorders>
                  <w:noWrap w:val="0"/>
                  <w:vAlign w:val="center"/>
                </w:tcPr>
                <w:p w14:paraId="6EDBDF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w:t>
                  </w:r>
                </w:p>
              </w:tc>
              <w:tc>
                <w:tcPr>
                  <w:tcW w:w="0" w:type="auto"/>
                  <w:tcBorders>
                    <w:tl2br w:val="nil"/>
                    <w:tr2bl w:val="nil"/>
                  </w:tcBorders>
                  <w:noWrap w:val="0"/>
                  <w:vAlign w:val="center"/>
                </w:tcPr>
                <w:p w14:paraId="098C48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循环冷却系统</w:t>
                  </w:r>
                </w:p>
              </w:tc>
              <w:tc>
                <w:tcPr>
                  <w:tcW w:w="0" w:type="auto"/>
                  <w:tcBorders>
                    <w:tl2br w:val="nil"/>
                    <w:tr2bl w:val="nil"/>
                  </w:tcBorders>
                  <w:noWrap w:val="0"/>
                  <w:vAlign w:val="center"/>
                </w:tcPr>
                <w:p w14:paraId="5C910F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c>
                <w:tcPr>
                  <w:tcW w:w="0" w:type="auto"/>
                  <w:tcBorders>
                    <w:tl2br w:val="nil"/>
                    <w:tr2bl w:val="nil"/>
                  </w:tcBorders>
                  <w:noWrap w:val="0"/>
                  <w:vAlign w:val="center"/>
                </w:tcPr>
                <w:p w14:paraId="1BC314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144.48</w:t>
                  </w:r>
                  <w:r>
                    <w:rPr>
                      <w:rFonts w:hint="default" w:ascii="Times New Roman" w:hAnsi="Times New Roman" w:eastAsia="宋体" w:cs="Times New Roman"/>
                      <w:sz w:val="21"/>
                      <w:szCs w:val="21"/>
                      <w:highlight w:val="none"/>
                    </w:rPr>
                    <w:t>m</w:t>
                  </w:r>
                  <w:r>
                    <w:rPr>
                      <w:rFonts w:hint="default" w:ascii="Times New Roman" w:hAnsi="Times New Roman" w:eastAsia="宋体" w:cs="Times New Roman"/>
                      <w:sz w:val="21"/>
                      <w:szCs w:val="21"/>
                      <w:highlight w:val="none"/>
                      <w:vertAlign w:val="superscript"/>
                    </w:rPr>
                    <w:t>3</w:t>
                  </w:r>
                  <w:r>
                    <w:rPr>
                      <w:rFonts w:hint="eastAsia" w:ascii="Times New Roman" w:hAnsi="Times New Roman" w:eastAsia="宋体" w:cs="Times New Roman"/>
                      <w:sz w:val="21"/>
                      <w:szCs w:val="21"/>
                      <w:highlight w:val="none"/>
                      <w:lang w:val="en-US" w:eastAsia="zh-CN"/>
                    </w:rPr>
                    <w:t>循环水</w:t>
                  </w:r>
                </w:p>
              </w:tc>
              <w:tc>
                <w:tcPr>
                  <w:tcW w:w="0" w:type="auto"/>
                  <w:tcBorders>
                    <w:tl2br w:val="nil"/>
                    <w:tr2bl w:val="nil"/>
                  </w:tcBorders>
                  <w:noWrap w:val="0"/>
                  <w:vAlign w:val="center"/>
                </w:tcPr>
                <w:p w14:paraId="6DC09C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4.76</w:t>
                  </w:r>
                </w:p>
              </w:tc>
              <w:tc>
                <w:tcPr>
                  <w:tcW w:w="0" w:type="auto"/>
                  <w:tcBorders>
                    <w:tl2br w:val="nil"/>
                    <w:tr2bl w:val="nil"/>
                  </w:tcBorders>
                  <w:noWrap w:val="0"/>
                  <w:vAlign w:val="center"/>
                </w:tcPr>
                <w:p w14:paraId="01D6EC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2</w:t>
                  </w:r>
                </w:p>
              </w:tc>
              <w:tc>
                <w:tcPr>
                  <w:tcW w:w="0" w:type="auto"/>
                  <w:tcBorders>
                    <w:tl2br w:val="nil"/>
                    <w:tr2bl w:val="nil"/>
                  </w:tcBorders>
                  <w:noWrap w:val="0"/>
                  <w:vAlign w:val="center"/>
                </w:tcPr>
                <w:p w14:paraId="6C905E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循环利用</w:t>
                  </w:r>
                </w:p>
              </w:tc>
            </w:tr>
            <w:tr w14:paraId="45FC8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0" w:type="auto"/>
                  <w:tcBorders>
                    <w:tl2br w:val="nil"/>
                    <w:tr2bl w:val="nil"/>
                  </w:tcBorders>
                  <w:noWrap w:val="0"/>
                  <w:vAlign w:val="center"/>
                </w:tcPr>
                <w:p w14:paraId="5065FA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3</w:t>
                  </w:r>
                </w:p>
              </w:tc>
              <w:tc>
                <w:tcPr>
                  <w:tcW w:w="0" w:type="auto"/>
                  <w:tcBorders>
                    <w:tl2br w:val="nil"/>
                    <w:tr2bl w:val="nil"/>
                  </w:tcBorders>
                  <w:noWrap w:val="0"/>
                  <w:vAlign w:val="center"/>
                </w:tcPr>
                <w:p w14:paraId="026657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生活用水</w:t>
                  </w:r>
                </w:p>
              </w:tc>
              <w:tc>
                <w:tcPr>
                  <w:tcW w:w="0" w:type="auto"/>
                  <w:tcBorders>
                    <w:tl2br w:val="nil"/>
                    <w:tr2bl w:val="nil"/>
                  </w:tcBorders>
                  <w:noWrap w:val="0"/>
                  <w:vAlign w:val="center"/>
                </w:tcPr>
                <w:p w14:paraId="715B29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70</w:t>
                  </w:r>
                  <w:r>
                    <w:rPr>
                      <w:rFonts w:hint="default" w:ascii="Times New Roman" w:hAnsi="Times New Roman" w:eastAsia="宋体" w:cs="Times New Roman"/>
                      <w:sz w:val="21"/>
                      <w:szCs w:val="21"/>
                      <w:highlight w:val="none"/>
                      <w:lang w:val="en-US" w:eastAsia="zh-CN"/>
                    </w:rPr>
                    <w:t>人</w:t>
                  </w:r>
                </w:p>
              </w:tc>
              <w:tc>
                <w:tcPr>
                  <w:tcW w:w="0" w:type="auto"/>
                  <w:tcBorders>
                    <w:tl2br w:val="nil"/>
                    <w:tr2bl w:val="nil"/>
                  </w:tcBorders>
                  <w:noWrap w:val="0"/>
                  <w:vAlign w:val="center"/>
                </w:tcPr>
                <w:p w14:paraId="62A284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70L/（p·d）</w:t>
                  </w:r>
                </w:p>
              </w:tc>
              <w:tc>
                <w:tcPr>
                  <w:tcW w:w="0" w:type="auto"/>
                  <w:tcBorders>
                    <w:tl2br w:val="nil"/>
                    <w:tr2bl w:val="nil"/>
                  </w:tcBorders>
                  <w:noWrap w:val="0"/>
                  <w:vAlign w:val="center"/>
                </w:tcPr>
                <w:p w14:paraId="7A5330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4.9</w:t>
                  </w:r>
                </w:p>
              </w:tc>
              <w:tc>
                <w:tcPr>
                  <w:tcW w:w="0" w:type="auto"/>
                  <w:tcBorders>
                    <w:tl2br w:val="nil"/>
                    <w:tr2bl w:val="nil"/>
                  </w:tcBorders>
                  <w:noWrap w:val="0"/>
                  <w:vAlign w:val="center"/>
                </w:tcPr>
                <w:p w14:paraId="1955D3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3.92</w:t>
                  </w:r>
                </w:p>
              </w:tc>
              <w:tc>
                <w:tcPr>
                  <w:tcW w:w="0" w:type="auto"/>
                  <w:tcBorders>
                    <w:tl2br w:val="nil"/>
                    <w:tr2bl w:val="nil"/>
                  </w:tcBorders>
                  <w:noWrap w:val="0"/>
                  <w:vAlign w:val="center"/>
                </w:tcPr>
                <w:p w14:paraId="682FF5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r>
            <w:tr w14:paraId="37C800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0" w:type="auto"/>
                  <w:gridSpan w:val="4"/>
                  <w:tcBorders>
                    <w:tl2br w:val="nil"/>
                    <w:tr2bl w:val="nil"/>
                  </w:tcBorders>
                  <w:noWrap w:val="0"/>
                  <w:vAlign w:val="center"/>
                </w:tcPr>
                <w:p w14:paraId="1E6500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合计</w:t>
                  </w:r>
                </w:p>
              </w:tc>
              <w:tc>
                <w:tcPr>
                  <w:tcW w:w="0" w:type="auto"/>
                  <w:tcBorders>
                    <w:tl2br w:val="nil"/>
                    <w:tr2bl w:val="nil"/>
                  </w:tcBorders>
                  <w:noWrap w:val="0"/>
                  <w:vAlign w:val="center"/>
                </w:tcPr>
                <w:p w14:paraId="1D2614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10.94</w:t>
                  </w:r>
                </w:p>
              </w:tc>
              <w:tc>
                <w:tcPr>
                  <w:tcW w:w="0" w:type="auto"/>
                  <w:tcBorders>
                    <w:tl2br w:val="nil"/>
                    <w:tr2bl w:val="nil"/>
                  </w:tcBorders>
                  <w:noWrap w:val="0"/>
                  <w:vAlign w:val="center"/>
                </w:tcPr>
                <w:p w14:paraId="12C498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6.5</w:t>
                  </w:r>
                </w:p>
              </w:tc>
              <w:tc>
                <w:tcPr>
                  <w:tcW w:w="0" w:type="auto"/>
                  <w:tcBorders>
                    <w:tl2br w:val="nil"/>
                    <w:tr2bl w:val="nil"/>
                  </w:tcBorders>
                  <w:noWrap w:val="0"/>
                  <w:vAlign w:val="center"/>
                </w:tcPr>
                <w:p w14:paraId="331324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r>
          </w:tbl>
          <w:p w14:paraId="457799B2">
            <w:pPr>
              <w:keepNext w:val="0"/>
              <w:keepLines w:val="0"/>
              <w:pageBreakBefore w:val="0"/>
              <w:widowControl w:val="0"/>
              <w:suppressLineNumbers w:val="0"/>
              <w:kinsoku/>
              <w:wordWrap/>
              <w:overflowPunct/>
              <w:topLinePunct w:val="0"/>
              <w:autoSpaceDE/>
              <w:autoSpaceDN/>
              <w:bidi w:val="0"/>
              <w:adjustRightInd/>
              <w:snapToGrid/>
              <w:spacing w:before="32" w:beforeLines="10" w:line="240" w:lineRule="auto"/>
              <w:ind w:firstLine="0" w:firstLineChars="0"/>
              <w:jc w:val="center"/>
              <w:textAlignment w:val="auto"/>
              <w:rPr>
                <w:highlight w:val="none"/>
              </w:rPr>
            </w:pPr>
            <w:r>
              <w:rPr>
                <w:highlight w:val="none"/>
              </w:rPr>
              <w:drawing>
                <wp:inline distT="0" distB="0" distL="114300" distR="114300">
                  <wp:extent cx="3788410" cy="2663825"/>
                  <wp:effectExtent l="0" t="0" r="2540" b="3175"/>
                  <wp:docPr id="10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1"/>
                          <pic:cNvPicPr>
                            <a:picLocks noChangeAspect="1"/>
                          </pic:cNvPicPr>
                        </pic:nvPicPr>
                        <pic:blipFill>
                          <a:blip r:embed="rId10"/>
                          <a:stretch>
                            <a:fillRect/>
                          </a:stretch>
                        </pic:blipFill>
                        <pic:spPr>
                          <a:xfrm>
                            <a:off x="0" y="0"/>
                            <a:ext cx="3788410" cy="2663825"/>
                          </a:xfrm>
                          <a:prstGeom prst="rect">
                            <a:avLst/>
                          </a:prstGeom>
                          <a:noFill/>
                          <a:ln>
                            <a:noFill/>
                          </a:ln>
                        </pic:spPr>
                      </pic:pic>
                    </a:graphicData>
                  </a:graphic>
                </wp:inline>
              </w:drawing>
            </w:r>
          </w:p>
          <w:p w14:paraId="7BA0B2BE">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kern w:val="0"/>
                <w:sz w:val="21"/>
                <w:szCs w:val="24"/>
                <w:highlight w:val="none"/>
                <w:lang w:val="en-US" w:eastAsia="zh-CN" w:bidi="ar-SA"/>
              </w:rPr>
            </w:pPr>
            <w:r>
              <w:rPr>
                <w:rFonts w:hint="eastAsia" w:ascii="Times New Roman" w:hAnsi="Times New Roman" w:eastAsia="宋体" w:cs="Times New Roman"/>
                <w:b/>
                <w:bCs/>
                <w:kern w:val="0"/>
                <w:sz w:val="21"/>
                <w:szCs w:val="24"/>
                <w:highlight w:val="none"/>
                <w:lang w:val="en-US" w:eastAsia="zh-CN" w:bidi="ar-SA"/>
              </w:rPr>
              <w:t>图2-1  项目水平衡图（m</w:t>
            </w:r>
            <w:r>
              <w:rPr>
                <w:rFonts w:hint="eastAsia" w:ascii="Times New Roman" w:hAnsi="Times New Roman" w:eastAsia="宋体" w:cs="Times New Roman"/>
                <w:b/>
                <w:bCs/>
                <w:kern w:val="0"/>
                <w:sz w:val="21"/>
                <w:szCs w:val="24"/>
                <w:highlight w:val="none"/>
                <w:vertAlign w:val="superscript"/>
                <w:lang w:val="en-US" w:eastAsia="zh-CN" w:bidi="ar-SA"/>
              </w:rPr>
              <w:t>3</w:t>
            </w:r>
            <w:r>
              <w:rPr>
                <w:rFonts w:hint="eastAsia" w:ascii="Times New Roman" w:hAnsi="Times New Roman" w:eastAsia="宋体" w:cs="Times New Roman"/>
                <w:b/>
                <w:bCs/>
                <w:kern w:val="0"/>
                <w:sz w:val="21"/>
                <w:szCs w:val="24"/>
                <w:highlight w:val="none"/>
                <w:lang w:val="en-US" w:eastAsia="zh-CN" w:bidi="ar-SA"/>
              </w:rPr>
              <w:t>/d）</w:t>
            </w:r>
          </w:p>
        </w:tc>
      </w:tr>
      <w:tr w14:paraId="4F5CED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283" w:hRule="atLeast"/>
          <w:jc w:val="center"/>
        </w:trPr>
        <w:tc>
          <w:tcPr>
            <w:tcW w:w="823" w:type="dxa"/>
            <w:noWrap w:val="0"/>
            <w:vAlign w:val="center"/>
          </w:tcPr>
          <w:p w14:paraId="42B299BC">
            <w:pPr>
              <w:pStyle w:val="19"/>
              <w:adjustRightInd w:val="0"/>
              <w:snapToGrid w:val="0"/>
              <w:spacing w:before="0" w:beforeAutospacing="0" w:after="0" w:afterAutospacing="0"/>
              <w:jc w:val="center"/>
              <w:rPr>
                <w:rFonts w:cs="宋体"/>
                <w:sz w:val="21"/>
                <w:szCs w:val="21"/>
                <w:highlight w:val="none"/>
              </w:rPr>
            </w:pPr>
            <w:r>
              <w:rPr>
                <w:rFonts w:hint="eastAsia" w:cs="宋体"/>
                <w:sz w:val="21"/>
                <w:szCs w:val="21"/>
                <w:highlight w:val="none"/>
              </w:rPr>
              <w:t>工艺流程和产排污环节</w:t>
            </w:r>
          </w:p>
        </w:tc>
        <w:tc>
          <w:tcPr>
            <w:tcW w:w="8161" w:type="dxa"/>
            <w:noWrap w:val="0"/>
            <w:vAlign w:val="top"/>
          </w:tcPr>
          <w:p w14:paraId="1F8626AB">
            <w:pPr>
              <w:keepNext w:val="0"/>
              <w:keepLines w:val="0"/>
              <w:pageBreakBefore w:val="0"/>
              <w:widowControl w:val="0"/>
              <w:suppressLineNumbers w:val="0"/>
              <w:kinsoku/>
              <w:wordWrap/>
              <w:overflowPunct/>
              <w:topLinePunct w:val="0"/>
              <w:autoSpaceDE/>
              <w:autoSpaceDN/>
              <w:bidi w:val="0"/>
              <w:adjustRightInd/>
              <w:snapToGrid/>
              <w:spacing w:line="440" w:lineRule="exact"/>
              <w:ind w:firstLine="480" w:firstLineChars="200"/>
              <w:jc w:val="both"/>
              <w:textAlignment w:val="auto"/>
              <w:rPr>
                <w:rFonts w:hint="eastAsia"/>
                <w:sz w:val="24"/>
                <w:szCs w:val="24"/>
                <w:highlight w:val="none"/>
                <w:lang w:val="en-US" w:eastAsia="zh-CN"/>
              </w:rPr>
            </w:pPr>
            <w:r>
              <w:rPr>
                <w:rFonts w:hint="eastAsia"/>
                <w:sz w:val="24"/>
                <w:szCs w:val="24"/>
                <w:highlight w:val="none"/>
                <w:lang w:val="en-US" w:eastAsia="zh-CN"/>
              </w:rPr>
              <w:t>本项目工艺流程及产排污环节包括施工期和营运期两部分，具体如下：</w:t>
            </w:r>
          </w:p>
          <w:p w14:paraId="4554A283">
            <w:pPr>
              <w:keepNext w:val="0"/>
              <w:keepLines w:val="0"/>
              <w:pageBreakBefore w:val="0"/>
              <w:widowControl w:val="0"/>
              <w:suppressLineNumbers w:val="0"/>
              <w:kinsoku/>
              <w:wordWrap/>
              <w:overflowPunct/>
              <w:topLinePunct w:val="0"/>
              <w:autoSpaceDE/>
              <w:autoSpaceDN/>
              <w:bidi w:val="0"/>
              <w:adjustRightInd/>
              <w:snapToGrid/>
              <w:spacing w:line="440" w:lineRule="exact"/>
              <w:ind w:firstLine="482" w:firstLineChars="200"/>
              <w:jc w:val="both"/>
              <w:textAlignment w:val="auto"/>
              <w:rPr>
                <w:rFonts w:hint="eastAsia"/>
                <w:b/>
                <w:bCs/>
                <w:sz w:val="24"/>
                <w:szCs w:val="24"/>
                <w:highlight w:val="none"/>
                <w:lang w:val="en-US" w:eastAsia="zh-CN"/>
              </w:rPr>
            </w:pPr>
            <w:r>
              <w:rPr>
                <w:rFonts w:hint="eastAsia"/>
                <w:b/>
                <w:bCs/>
                <w:sz w:val="24"/>
                <w:szCs w:val="24"/>
                <w:highlight w:val="none"/>
                <w:lang w:val="en-US" w:eastAsia="zh-CN"/>
              </w:rPr>
              <w:t>一、施工期工艺流程及产排污环节</w:t>
            </w:r>
          </w:p>
          <w:p w14:paraId="3D6CA024">
            <w:pPr>
              <w:keepNext w:val="0"/>
              <w:keepLines w:val="0"/>
              <w:pageBreakBefore w:val="0"/>
              <w:widowControl w:val="0"/>
              <w:suppressLineNumbers w:val="0"/>
              <w:kinsoku/>
              <w:wordWrap/>
              <w:overflowPunct/>
              <w:topLinePunct w:val="0"/>
              <w:autoSpaceDE/>
              <w:autoSpaceDN/>
              <w:bidi w:val="0"/>
              <w:adjustRightInd/>
              <w:snapToGrid/>
              <w:spacing w:line="440" w:lineRule="exact"/>
              <w:ind w:firstLine="480" w:firstLineChars="200"/>
              <w:jc w:val="both"/>
              <w:textAlignment w:val="auto"/>
              <w:rPr>
                <w:rFonts w:hint="default"/>
                <w:sz w:val="24"/>
                <w:szCs w:val="24"/>
                <w:highlight w:val="none"/>
                <w:lang w:val="en-US" w:eastAsia="zh-CN"/>
              </w:rPr>
            </w:pPr>
            <w:r>
              <w:rPr>
                <w:rFonts w:hint="eastAsia"/>
                <w:sz w:val="24"/>
                <w:szCs w:val="24"/>
                <w:highlight w:val="none"/>
                <w:lang w:val="en-US" w:eastAsia="zh-CN"/>
              </w:rPr>
              <w:t>本项目场地现状为一块空地，本项目施工期主要为生产车间建设、装饰装修、设备安装及场地清理。本项目施工期工艺流程及产排污环节见下图。</w:t>
            </w:r>
          </w:p>
          <w:p w14:paraId="07F014BF">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highlight w:val="none"/>
                <w:lang w:val="en-US" w:eastAsia="zh-CN"/>
              </w:rPr>
            </w:pPr>
            <w:r>
              <w:rPr>
                <w:highlight w:val="none"/>
              </w:rPr>
              <w:drawing>
                <wp:inline distT="0" distB="0" distL="114300" distR="114300">
                  <wp:extent cx="2961005" cy="623570"/>
                  <wp:effectExtent l="0" t="0" r="10795" b="5080"/>
                  <wp:docPr id="71" name="图片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455"/>
                          <pic:cNvPicPr>
                            <a:picLocks noChangeAspect="1"/>
                          </pic:cNvPicPr>
                        </pic:nvPicPr>
                        <pic:blipFill>
                          <a:blip r:embed="rId11"/>
                          <a:stretch>
                            <a:fillRect/>
                          </a:stretch>
                        </pic:blipFill>
                        <pic:spPr>
                          <a:xfrm>
                            <a:off x="0" y="0"/>
                            <a:ext cx="2961005" cy="623570"/>
                          </a:xfrm>
                          <a:prstGeom prst="rect">
                            <a:avLst/>
                          </a:prstGeom>
                          <a:noFill/>
                          <a:ln>
                            <a:noFill/>
                          </a:ln>
                        </pic:spPr>
                      </pic:pic>
                    </a:graphicData>
                  </a:graphic>
                </wp:inline>
              </w:drawing>
            </w:r>
          </w:p>
          <w:p w14:paraId="7FF14C27">
            <w:pPr>
              <w:jc w:val="center"/>
              <w:rPr>
                <w:rFonts w:hint="eastAsia" w:ascii="Times New Roman" w:hAnsi="Times New Roman" w:eastAsia="宋体" w:cs="Times New Roman"/>
                <w:b/>
                <w:bCs/>
                <w:kern w:val="0"/>
                <w:sz w:val="21"/>
                <w:szCs w:val="24"/>
                <w:highlight w:val="none"/>
                <w:lang w:val="en-US" w:eastAsia="zh-CN" w:bidi="ar-SA"/>
              </w:rPr>
            </w:pPr>
            <w:r>
              <w:rPr>
                <w:rFonts w:hint="eastAsia" w:ascii="Times New Roman" w:hAnsi="Times New Roman" w:eastAsia="宋体" w:cs="Times New Roman"/>
                <w:b/>
                <w:bCs/>
                <w:kern w:val="0"/>
                <w:sz w:val="21"/>
                <w:szCs w:val="24"/>
                <w:highlight w:val="none"/>
                <w:lang w:val="en-US" w:eastAsia="zh-CN" w:bidi="ar-SA"/>
              </w:rPr>
              <w:t>图2-2  施工期流程及产污情况图</w:t>
            </w:r>
          </w:p>
          <w:p w14:paraId="58BDAB3A">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（1）主体工程建设</w:t>
            </w:r>
          </w:p>
          <w:p w14:paraId="7984D07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该阶段主要是新建一座</w:t>
            </w:r>
            <w:r>
              <w:rPr>
                <w:rFonts w:hint="default" w:ascii="Times New Roman" w:hAnsi="Times New Roman" w:eastAsia="宋体" w:cs="Times New Roman"/>
                <w:sz w:val="24"/>
                <w:szCs w:val="24"/>
                <w:highlight w:val="none"/>
                <w:lang w:val="en-US" w:eastAsia="zh-CN"/>
              </w:rPr>
              <w:t>标准化厂房</w:t>
            </w:r>
            <w:r>
              <w:rPr>
                <w:rFonts w:hint="eastAsia" w:ascii="Times New Roman" w:hAnsi="Times New Roman" w:eastAsia="宋体" w:cs="Times New Roman"/>
                <w:sz w:val="24"/>
                <w:szCs w:val="24"/>
                <w:highlight w:val="none"/>
                <w:lang w:val="en-US" w:eastAsia="zh-CN"/>
              </w:rPr>
              <w:t>，该工段污染物主要为</w:t>
            </w:r>
            <w:r>
              <w:rPr>
                <w:rFonts w:hint="default" w:ascii="Times New Roman" w:hAnsi="Times New Roman" w:eastAsia="宋体" w:cs="Times New Roman"/>
                <w:sz w:val="24"/>
                <w:szCs w:val="24"/>
                <w:highlight w:val="none"/>
                <w:lang w:val="en-US" w:eastAsia="zh-CN"/>
              </w:rPr>
              <w:t>施工机械产生的噪声、扬尘</w:t>
            </w:r>
            <w:r>
              <w:rPr>
                <w:rFonts w:hint="eastAsia" w:ascii="Times New Roman" w:hAnsi="Times New Roman" w:eastAsia="宋体" w:cs="Times New Roman"/>
                <w:sz w:val="24"/>
                <w:szCs w:val="24"/>
                <w:highlight w:val="none"/>
                <w:lang w:val="en-US" w:eastAsia="zh-CN"/>
              </w:rPr>
              <w:t>和施工人员产生的废水</w:t>
            </w:r>
            <w:r>
              <w:rPr>
                <w:rFonts w:hint="default" w:ascii="Times New Roman" w:hAnsi="Times New Roman" w:eastAsia="宋体" w:cs="Times New Roman"/>
                <w:sz w:val="24"/>
                <w:szCs w:val="24"/>
                <w:highlight w:val="none"/>
                <w:lang w:val="en-US" w:eastAsia="zh-CN"/>
              </w:rPr>
              <w:t>。</w:t>
            </w:r>
          </w:p>
          <w:p w14:paraId="048B857F">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w:t>
            </w:r>
            <w:r>
              <w:rPr>
                <w:rFonts w:hint="default" w:ascii="Times New Roman" w:hAnsi="Times New Roman" w:eastAsia="宋体" w:cs="Times New Roman"/>
                <w:sz w:val="24"/>
                <w:szCs w:val="24"/>
                <w:highlight w:val="none"/>
                <w:lang w:val="en-US" w:eastAsia="zh-CN"/>
              </w:rPr>
              <w:t>设备安装</w:t>
            </w:r>
          </w:p>
          <w:p w14:paraId="2B14A02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该阶段主要将购买回来的设备按照生产布局进行安装。该工段污染物主要为材料、设备运输和机械运行产生噪声、扬尘和固体废物。</w:t>
            </w:r>
          </w:p>
          <w:p w14:paraId="1A8A9AF9">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（3）</w:t>
            </w:r>
            <w:r>
              <w:rPr>
                <w:rFonts w:hint="default" w:ascii="Times New Roman" w:hAnsi="Times New Roman" w:eastAsia="宋体" w:cs="Times New Roman"/>
                <w:sz w:val="24"/>
                <w:szCs w:val="24"/>
                <w:highlight w:val="none"/>
                <w:lang w:val="en-US" w:eastAsia="zh-CN"/>
              </w:rPr>
              <w:t>场地清理</w:t>
            </w:r>
          </w:p>
          <w:p w14:paraId="242503FA">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该阶段主要进行场地清理，该工段污染物主要为清理过程的噪声、扬尘以及收集的固体废物。</w:t>
            </w:r>
          </w:p>
          <w:p w14:paraId="29BA536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lang w:val="en-US" w:eastAsia="zh-CN"/>
              </w:rPr>
              <w:t>竣工验收</w:t>
            </w:r>
          </w:p>
          <w:p w14:paraId="1083E8D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对安装设备调试，经验收合格后方可投入生产</w:t>
            </w:r>
            <w:r>
              <w:rPr>
                <w:rFonts w:hint="eastAsia" w:ascii="Times New Roman" w:hAnsi="Times New Roman" w:eastAsia="宋体" w:cs="Times New Roman"/>
                <w:sz w:val="24"/>
                <w:szCs w:val="24"/>
                <w:highlight w:val="none"/>
                <w:lang w:val="en-US" w:eastAsia="zh-CN"/>
              </w:rPr>
              <w:t>。</w:t>
            </w:r>
          </w:p>
          <w:p w14:paraId="1D171E05">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从上述工序可知，项目施工期主要环境污染问题是</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施工粉尘、尾气、施工废水、生活污水、噪声、建筑垃圾和生活垃圾，贯穿于整个施工过程，但不同污染因子在不同施工时段污染强度不同，对环境的影响随施工期的内容不同而有所变化，随着施工期的结束，对环境的影响也随之结束。</w:t>
            </w:r>
          </w:p>
          <w:p w14:paraId="19592C7A">
            <w:pPr>
              <w:keepNext w:val="0"/>
              <w:keepLines w:val="0"/>
              <w:pageBreakBefore w:val="0"/>
              <w:widowControl w:val="0"/>
              <w:numPr>
                <w:ilvl w:val="0"/>
                <w:numId w:val="7"/>
              </w:numPr>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b/>
                <w:bCs/>
                <w:sz w:val="24"/>
                <w:szCs w:val="24"/>
                <w:highlight w:val="none"/>
                <w:lang w:val="en-US" w:eastAsia="zh-CN"/>
              </w:rPr>
            </w:pPr>
            <w:r>
              <w:rPr>
                <w:rFonts w:hint="eastAsia"/>
                <w:b/>
                <w:bCs/>
                <w:sz w:val="24"/>
                <w:szCs w:val="24"/>
                <w:highlight w:val="none"/>
                <w:lang w:val="en-US" w:eastAsia="zh-CN"/>
              </w:rPr>
              <w:t>运营期工艺流程及产排污环节</w:t>
            </w:r>
          </w:p>
          <w:p w14:paraId="74D20015">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（1）原料处理</w:t>
            </w:r>
          </w:p>
          <w:p w14:paraId="5E0382F9">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原料</w:t>
            </w:r>
            <w:r>
              <w:rPr>
                <w:rFonts w:hint="eastAsia" w:cs="Times New Roman"/>
                <w:sz w:val="24"/>
                <w:szCs w:val="24"/>
                <w:highlight w:val="none"/>
                <w:lang w:val="en-US" w:eastAsia="zh-CN"/>
              </w:rPr>
              <w:t>由汽车运入原料处理区存放，各原料均为块状颗粒，生产前利用抛丸机对纯铁进行除锈处理，去除表面氧化皮等杂质，使纯铁表面更加光滑</w:t>
            </w:r>
            <w:r>
              <w:rPr>
                <w:rFonts w:hint="eastAsia" w:ascii="Times New Roman" w:hAnsi="Times New Roman" w:eastAsia="宋体" w:cs="Times New Roman"/>
                <w:sz w:val="24"/>
                <w:szCs w:val="24"/>
                <w:highlight w:val="none"/>
                <w:lang w:val="en-US" w:eastAsia="zh-CN"/>
              </w:rPr>
              <w:t>。</w:t>
            </w:r>
          </w:p>
          <w:p w14:paraId="10F9D0ED">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（2）配料</w:t>
            </w:r>
          </w:p>
          <w:p w14:paraId="3D55D79F">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经</w:t>
            </w:r>
            <w:r>
              <w:rPr>
                <w:rFonts w:hint="eastAsia" w:ascii="Times New Roman" w:hAnsi="Times New Roman" w:eastAsia="宋体" w:cs="Times New Roman"/>
                <w:sz w:val="24"/>
                <w:szCs w:val="24"/>
                <w:highlight w:val="none"/>
                <w:lang w:val="en-US" w:eastAsia="zh-CN"/>
              </w:rPr>
              <w:t>处理</w:t>
            </w:r>
            <w:r>
              <w:rPr>
                <w:rFonts w:hint="default" w:ascii="Times New Roman" w:hAnsi="Times New Roman" w:eastAsia="宋体" w:cs="Times New Roman"/>
                <w:sz w:val="24"/>
                <w:szCs w:val="24"/>
                <w:highlight w:val="none"/>
                <w:lang w:val="en-US" w:eastAsia="zh-CN"/>
              </w:rPr>
              <w:t>后的</w:t>
            </w:r>
            <w:r>
              <w:rPr>
                <w:rFonts w:hint="eastAsia" w:ascii="Times New Roman" w:hAnsi="Times New Roman" w:eastAsia="宋体" w:cs="Times New Roman"/>
                <w:sz w:val="24"/>
                <w:szCs w:val="24"/>
                <w:highlight w:val="none"/>
                <w:lang w:val="en-US" w:eastAsia="zh-CN"/>
              </w:rPr>
              <w:t>纯</w:t>
            </w:r>
            <w:r>
              <w:rPr>
                <w:rFonts w:hint="default" w:ascii="Times New Roman" w:hAnsi="Times New Roman" w:eastAsia="宋体" w:cs="Times New Roman"/>
                <w:sz w:val="24"/>
                <w:szCs w:val="24"/>
                <w:highlight w:val="none"/>
                <w:lang w:val="en-US" w:eastAsia="zh-CN"/>
              </w:rPr>
              <w:t>铁与硼铁、金属钕等按产品的要求进行称重，称重后稀土和非稀土原料贮存在各自的专用桶中放置在专用流转车上，流转车上加盖以保证密封，然后由桥式起重机送至真空速凝炉装料区。</w:t>
            </w:r>
          </w:p>
          <w:p w14:paraId="56180F4B">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（3）真空连续速凝铸片炉浇铸</w:t>
            </w:r>
          </w:p>
          <w:p w14:paraId="5BF9B8B1">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将装有配好原材料的料仓用行车吊至真空连续速凝炉装料区域，操作工按照一定的顺序将原材料依次放入真空连续速凝炉的刚玉坩埚中，关紧卡住炉门之后进行熔炼。将熔炼室抽真空至&lt;1Pa下，抽真空时间约40min，然后缓慢送电升温预热20min，至1450℃~1500℃条件下，充入氩气进行熔炼，熔炼分两个阶段，每个阶段熔炼约15mi</w:t>
            </w:r>
            <w:r>
              <w:rPr>
                <w:rFonts w:hint="eastAsia" w:ascii="Times New Roman" w:hAnsi="Times New Roman" w:eastAsia="宋体" w:cs="Times New Roman"/>
                <w:sz w:val="24"/>
                <w:szCs w:val="24"/>
                <w:highlight w:val="none"/>
                <w:lang w:val="en-US" w:eastAsia="zh-CN"/>
              </w:rPr>
              <w:t>n</w:t>
            </w:r>
            <w:r>
              <w:rPr>
                <w:rFonts w:hint="default" w:ascii="Times New Roman" w:hAnsi="Times New Roman" w:eastAsia="宋体" w:cs="Times New Roman"/>
                <w:sz w:val="24"/>
                <w:szCs w:val="24"/>
                <w:highlight w:val="none"/>
                <w:lang w:val="en-US" w:eastAsia="zh-CN"/>
              </w:rPr>
              <w:t>后进入精炼阶段，精炼时长12min。</w:t>
            </w:r>
          </w:p>
          <w:p w14:paraId="5FC8A20A">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熔炼好的合金液体在较高的温度下进行浇铸，浇铸前先将电源功率降低，同时启动浇铸冷辊</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冷辊内通有循环冷却水</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然后启动自动浇铸程序，熔融的合金液体缓缓倒出，金属熔体通过中间包均匀浇铸到浇铸冷辊的表面，在急冷和高速旋转双重作用下，迅速凝结为厚度为0.20~0.50mm的合金铸片，整个浇铸过程均在炉内完成，浇铸时间约12min。</w:t>
            </w:r>
          </w:p>
          <w:p w14:paraId="289021E2">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合金铸片被自动收集到浇铸冷辊下部的一个旋转的水冷圆盘上进行二次冷却。二次冷却时需再次充入惰性气体</w:t>
            </w:r>
            <w:r>
              <w:rPr>
                <w:rFonts w:hint="eastAsia" w:ascii="Times New Roman" w:hAnsi="Times New Roman" w:eastAsia="宋体" w:cs="Times New Roman"/>
                <w:sz w:val="24"/>
                <w:szCs w:val="24"/>
                <w:highlight w:val="none"/>
                <w:lang w:val="en-US" w:eastAsia="zh-CN"/>
              </w:rPr>
              <w:t>（氩气）</w:t>
            </w:r>
            <w:r>
              <w:rPr>
                <w:rFonts w:hint="default" w:ascii="Times New Roman" w:hAnsi="Times New Roman" w:eastAsia="宋体" w:cs="Times New Roman"/>
                <w:sz w:val="24"/>
                <w:szCs w:val="24"/>
                <w:highlight w:val="none"/>
                <w:lang w:val="en-US" w:eastAsia="zh-CN"/>
              </w:rPr>
              <w:t>至75kPa</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此状态依旧为负压状态，为加快冷却并起到混匀作用，圆盘上布置有旋转搅拌装置。两次冷却均为间接冷却。</w:t>
            </w:r>
          </w:p>
          <w:p w14:paraId="29B4AC91">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当合金铸片冷却至40℃后，使炉内气压与外界气压一致，打开炉门操作工将合金薄片铲入不锈钢专用桶暂盖好暂存</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此处无需气体保护</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w:t>
            </w:r>
          </w:p>
          <w:p w14:paraId="62FFD117">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（4）真空氢处理炉氢碎</w:t>
            </w:r>
          </w:p>
          <w:p w14:paraId="1B99D60A">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本项目的粉碎设备有真空氢处理炉。</w:t>
            </w:r>
          </w:p>
          <w:p w14:paraId="1907B313">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氢碎制粉原理是利用稀土金属间化合物的吸</w:t>
            </w:r>
            <w:r>
              <w:rPr>
                <w:rFonts w:hint="eastAsia" w:ascii="Times New Roman" w:hAnsi="Times New Roman" w:eastAsia="宋体" w:cs="Times New Roman"/>
                <w:sz w:val="24"/>
                <w:szCs w:val="24"/>
                <w:highlight w:val="none"/>
                <w:lang w:val="en-US" w:eastAsia="zh-CN"/>
              </w:rPr>
              <w:t>氢</w:t>
            </w:r>
            <w:r>
              <w:rPr>
                <w:rFonts w:hint="default" w:ascii="Times New Roman" w:hAnsi="Times New Roman" w:eastAsia="宋体" w:cs="Times New Roman"/>
                <w:sz w:val="24"/>
                <w:szCs w:val="24"/>
                <w:highlight w:val="none"/>
                <w:lang w:val="en-US" w:eastAsia="zh-CN"/>
              </w:rPr>
              <w:t>特性，将钕铁</w:t>
            </w:r>
            <w:r>
              <w:rPr>
                <w:rFonts w:hint="eastAsia" w:ascii="Times New Roman" w:hAnsi="Times New Roman" w:eastAsia="宋体" w:cs="Times New Roman"/>
                <w:sz w:val="24"/>
                <w:szCs w:val="24"/>
                <w:highlight w:val="none"/>
                <w:lang w:val="en-US" w:eastAsia="zh-CN"/>
              </w:rPr>
              <w:t>硼</w:t>
            </w:r>
            <w:r>
              <w:rPr>
                <w:rFonts w:hint="default" w:ascii="Times New Roman" w:hAnsi="Times New Roman" w:eastAsia="宋体" w:cs="Times New Roman"/>
                <w:sz w:val="24"/>
                <w:szCs w:val="24"/>
                <w:highlight w:val="none"/>
                <w:lang w:val="en-US" w:eastAsia="zh-CN"/>
              </w:rPr>
              <w:t>合金置于</w:t>
            </w:r>
            <w:r>
              <w:rPr>
                <w:rFonts w:hint="eastAsia" w:ascii="Times New Roman" w:hAnsi="Times New Roman" w:eastAsia="宋体" w:cs="Times New Roman"/>
                <w:sz w:val="24"/>
                <w:szCs w:val="24"/>
                <w:highlight w:val="none"/>
                <w:lang w:val="en-US" w:eastAsia="zh-CN"/>
              </w:rPr>
              <w:t>氢</w:t>
            </w:r>
            <w:r>
              <w:rPr>
                <w:rFonts w:hint="default" w:ascii="Times New Roman" w:hAnsi="Times New Roman" w:eastAsia="宋体" w:cs="Times New Roman"/>
                <w:sz w:val="24"/>
                <w:szCs w:val="24"/>
                <w:highlight w:val="none"/>
                <w:lang w:val="en-US" w:eastAsia="zh-CN"/>
              </w:rPr>
              <w:t>气环境下，氢气沿主相、富钕相品界进入合金，使之膨胀爆裂而破碎，沿主相、富钕相品界开裂，从而使合金薄片变为粗粉。</w:t>
            </w:r>
          </w:p>
          <w:p w14:paraId="171CA0A0">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a</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原料准备</w:t>
            </w:r>
          </w:p>
          <w:p w14:paraId="5AE9FE2C">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将速凝甩带制得的合金薄片采用氢碎炉粉碎，合金薄片用不锈钢专用桶加盖存放，从熔炼</w:t>
            </w:r>
            <w:r>
              <w:rPr>
                <w:rFonts w:hint="eastAsia" w:ascii="Times New Roman" w:hAnsi="Times New Roman" w:eastAsia="宋体" w:cs="Times New Roman"/>
                <w:sz w:val="24"/>
                <w:szCs w:val="24"/>
                <w:highlight w:val="none"/>
                <w:lang w:val="en-US" w:eastAsia="zh-CN"/>
              </w:rPr>
              <w:t>工序</w:t>
            </w:r>
            <w:r>
              <w:rPr>
                <w:rFonts w:hint="default" w:ascii="Times New Roman" w:hAnsi="Times New Roman" w:eastAsia="宋体" w:cs="Times New Roman"/>
                <w:sz w:val="24"/>
                <w:szCs w:val="24"/>
                <w:highlight w:val="none"/>
                <w:lang w:val="en-US" w:eastAsia="zh-CN"/>
              </w:rPr>
              <w:t>用电瓶车运输至氢碎</w:t>
            </w:r>
            <w:r>
              <w:rPr>
                <w:rFonts w:hint="eastAsia" w:ascii="Times New Roman" w:hAnsi="Times New Roman" w:eastAsia="宋体" w:cs="Times New Roman"/>
                <w:sz w:val="24"/>
                <w:szCs w:val="24"/>
                <w:highlight w:val="none"/>
                <w:lang w:val="en-US" w:eastAsia="zh-CN"/>
              </w:rPr>
              <w:t>工序</w:t>
            </w:r>
            <w:r>
              <w:rPr>
                <w:rFonts w:hint="default" w:ascii="Times New Roman" w:hAnsi="Times New Roman" w:eastAsia="宋体" w:cs="Times New Roman"/>
                <w:sz w:val="24"/>
                <w:szCs w:val="24"/>
                <w:highlight w:val="none"/>
                <w:lang w:val="en-US" w:eastAsia="zh-CN"/>
              </w:rPr>
              <w:t>，然后用行车吊装料桶，将钕铁硼速凝薄带人工装入氢碎料盒加盖密封，将碎料盒用送料传动车推送至氢碎炉中，关闭炉门。</w:t>
            </w:r>
          </w:p>
          <w:p w14:paraId="21A420F0">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b</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检漏</w:t>
            </w:r>
          </w:p>
          <w:p w14:paraId="3256C556">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先充入氩气进行正压检漏，然后进行真空检漏，确认正压及真空状态下不漏气再进行下一步操作。</w:t>
            </w:r>
          </w:p>
          <w:p w14:paraId="07729201">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c</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吸氢</w:t>
            </w:r>
          </w:p>
          <w:p w14:paraId="279D8715">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从真空状态开始对炉体内充氢气到正压，保压一段时间，材料吸</w:t>
            </w:r>
            <w:r>
              <w:rPr>
                <w:rFonts w:hint="eastAsia" w:ascii="Times New Roman" w:hAnsi="Times New Roman" w:eastAsia="宋体" w:cs="Times New Roman"/>
                <w:sz w:val="24"/>
                <w:szCs w:val="24"/>
                <w:highlight w:val="none"/>
                <w:lang w:val="en-US" w:eastAsia="zh-CN"/>
              </w:rPr>
              <w:t>氢</w:t>
            </w:r>
            <w:r>
              <w:rPr>
                <w:rFonts w:hint="default" w:ascii="Times New Roman" w:hAnsi="Times New Roman" w:eastAsia="宋体" w:cs="Times New Roman"/>
                <w:sz w:val="24"/>
                <w:szCs w:val="24"/>
                <w:highlight w:val="none"/>
                <w:lang w:val="en-US" w:eastAsia="zh-CN"/>
              </w:rPr>
              <w:t>。这个工艺过程吸氢压力不超过0.</w:t>
            </w: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lang w:val="en-US" w:eastAsia="zh-CN"/>
              </w:rPr>
              <w:t>MPa，时间大约需要3.5h，吸氢过程中材料自身发热，炉内温度150℃左右。炉体需用水进行冷却，水循环使用，属于间接循环。</w:t>
            </w:r>
          </w:p>
          <w:p w14:paraId="1DAAE992">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钕铁硼速凝薄带副相中的稀土金属相和富稀土相与氢发生反应，体积</w:t>
            </w:r>
            <w:r>
              <w:rPr>
                <w:rFonts w:hint="eastAsia" w:cs="Times New Roman"/>
                <w:sz w:val="24"/>
                <w:szCs w:val="24"/>
                <w:highlight w:val="none"/>
                <w:lang w:val="en-US" w:eastAsia="zh-CN"/>
              </w:rPr>
              <w:t>剧增</w:t>
            </w:r>
            <w:r>
              <w:rPr>
                <w:rFonts w:hint="default" w:ascii="Times New Roman" w:hAnsi="Times New Roman" w:eastAsia="宋体" w:cs="Times New Roman"/>
                <w:sz w:val="24"/>
                <w:szCs w:val="24"/>
                <w:highlight w:val="none"/>
                <w:lang w:val="en-US" w:eastAsia="zh-CN"/>
              </w:rPr>
              <w:t>，产生内应力，当应力大于断裂强度时，沿晶或穿品将薄片破碎，从而制得粗粉，粒径2~3mm。</w:t>
            </w:r>
          </w:p>
          <w:p w14:paraId="7696E36B">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由于钕铁硼铸片剧烈吸氢时会放出大量的热，所以在此过程中需循环水间接冷却降温至70</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左右。待充氢到一定的恒压（50</w:t>
            </w:r>
            <w:r>
              <w:rPr>
                <w:rFonts w:hint="eastAsia" w:cs="Times New Roman"/>
                <w:sz w:val="24"/>
                <w:szCs w:val="24"/>
                <w:highlight w:val="none"/>
                <w:lang w:val="en-US" w:eastAsia="zh-CN"/>
              </w:rPr>
              <w:t>k</w:t>
            </w:r>
            <w:r>
              <w:rPr>
                <w:rFonts w:hint="eastAsia" w:ascii="Times New Roman" w:hAnsi="Times New Roman" w:eastAsia="宋体" w:cs="Times New Roman"/>
                <w:sz w:val="24"/>
                <w:szCs w:val="24"/>
                <w:highlight w:val="none"/>
                <w:lang w:val="en-US" w:eastAsia="zh-CN"/>
              </w:rPr>
              <w:t>Pa）进行脱氢。</w:t>
            </w:r>
          </w:p>
          <w:p w14:paraId="031E7FA2">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4"/>
                <w:szCs w:val="24"/>
                <w:highlight w:val="none"/>
                <w:lang w:val="en-US" w:eastAsia="zh-CN"/>
              </w:rPr>
            </w:pPr>
            <w:r>
              <w:rPr>
                <w:rFonts w:hint="eastAsia"/>
                <w:sz w:val="24"/>
                <w:szCs w:val="24"/>
                <w:highlight w:val="none"/>
                <w:lang w:val="en-US" w:eastAsia="zh-CN"/>
              </w:rPr>
              <w:t>d.脱氢</w:t>
            </w:r>
          </w:p>
          <w:p w14:paraId="01EA0CB4">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4"/>
                <w:szCs w:val="24"/>
                <w:highlight w:val="none"/>
                <w:lang w:val="en-US" w:eastAsia="zh-CN"/>
              </w:rPr>
            </w:pPr>
            <w:r>
              <w:rPr>
                <w:rFonts w:hint="default"/>
                <w:sz w:val="24"/>
                <w:szCs w:val="24"/>
                <w:highlight w:val="none"/>
                <w:lang w:val="en-US" w:eastAsia="zh-CN"/>
              </w:rPr>
              <w:t>脱氢过程中是将多余的氢气通过放散管排放（氢碎炉自带超细粉过滤器，回收的粉末直接返回炉内），同时将氢碎炉进行加热至580℃进行脱氢，同时通入氮气，达到恒定压力50</w:t>
            </w:r>
            <w:r>
              <w:rPr>
                <w:rFonts w:hint="eastAsia"/>
                <w:sz w:val="24"/>
                <w:szCs w:val="24"/>
                <w:highlight w:val="none"/>
                <w:lang w:val="en-US" w:eastAsia="zh-CN"/>
              </w:rPr>
              <w:t>k</w:t>
            </w:r>
            <w:r>
              <w:rPr>
                <w:rFonts w:hint="default"/>
                <w:sz w:val="24"/>
                <w:szCs w:val="24"/>
                <w:highlight w:val="none"/>
                <w:lang w:val="en-US" w:eastAsia="zh-CN"/>
              </w:rPr>
              <w:t>Pa，并用循环冷却水将炉体（间接）冷却至室温，脱氢时间约为7小时</w:t>
            </w:r>
            <w:r>
              <w:rPr>
                <w:rFonts w:hint="eastAsia"/>
                <w:sz w:val="24"/>
                <w:szCs w:val="24"/>
                <w:highlight w:val="none"/>
                <w:lang w:val="en-US" w:eastAsia="zh-CN"/>
              </w:rPr>
              <w:t>。脱氢时向炉内通入氮气将脱出的氢气置换出来，同时起到保护作用，防止物料被氧化。</w:t>
            </w:r>
          </w:p>
          <w:p w14:paraId="747E35CF">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4"/>
                <w:szCs w:val="24"/>
                <w:highlight w:val="none"/>
                <w:lang w:val="en-US" w:eastAsia="zh-CN"/>
              </w:rPr>
            </w:pPr>
            <w:r>
              <w:rPr>
                <w:rFonts w:hint="eastAsia"/>
                <w:sz w:val="24"/>
                <w:szCs w:val="24"/>
                <w:highlight w:val="none"/>
                <w:lang w:val="en-US" w:eastAsia="zh-CN"/>
              </w:rPr>
              <w:t>e.</w:t>
            </w:r>
            <w:r>
              <w:rPr>
                <w:rFonts w:hint="default"/>
                <w:sz w:val="24"/>
                <w:szCs w:val="24"/>
                <w:highlight w:val="none"/>
                <w:lang w:val="en-US" w:eastAsia="zh-CN"/>
              </w:rPr>
              <w:t>冷却</w:t>
            </w:r>
          </w:p>
          <w:p w14:paraId="59E8C077">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sz w:val="24"/>
                <w:szCs w:val="24"/>
                <w:highlight w:val="none"/>
                <w:lang w:val="en-US" w:eastAsia="zh-CN"/>
              </w:rPr>
              <w:t>脱氢结束打开出料口，将出料口与料罐用软连接在一起，将炉体</w:t>
            </w:r>
            <w:r>
              <w:rPr>
                <w:rFonts w:hint="eastAsia"/>
                <w:sz w:val="24"/>
                <w:szCs w:val="24"/>
                <w:highlight w:val="none"/>
                <w:lang w:val="en-US" w:eastAsia="zh-CN"/>
              </w:rPr>
              <w:t>翻转</w:t>
            </w:r>
            <w:r>
              <w:rPr>
                <w:rFonts w:hint="default"/>
                <w:sz w:val="24"/>
                <w:szCs w:val="24"/>
                <w:highlight w:val="none"/>
                <w:lang w:val="en-US" w:eastAsia="zh-CN"/>
              </w:rPr>
              <w:t>，进行出料。出料后再取样，进行</w:t>
            </w:r>
            <w:r>
              <w:rPr>
                <w:rFonts w:hint="eastAsia"/>
                <w:sz w:val="24"/>
                <w:szCs w:val="24"/>
                <w:highlight w:val="none"/>
                <w:lang w:val="en-US" w:eastAsia="zh-CN"/>
              </w:rPr>
              <w:t>氢</w:t>
            </w:r>
            <w:r>
              <w:rPr>
                <w:rFonts w:hint="default"/>
                <w:sz w:val="24"/>
                <w:szCs w:val="24"/>
                <w:highlight w:val="none"/>
                <w:lang w:val="en-US" w:eastAsia="zh-CN"/>
              </w:rPr>
              <w:t>含量</w:t>
            </w:r>
            <w:r>
              <w:rPr>
                <w:rFonts w:hint="eastAsia"/>
                <w:sz w:val="24"/>
                <w:szCs w:val="24"/>
                <w:highlight w:val="none"/>
                <w:lang w:val="en-US" w:eastAsia="zh-CN"/>
              </w:rPr>
              <w:t>和氧含量</w:t>
            </w:r>
            <w:r>
              <w:rPr>
                <w:rFonts w:hint="default"/>
                <w:sz w:val="24"/>
                <w:szCs w:val="24"/>
                <w:highlight w:val="none"/>
                <w:lang w:val="en-US" w:eastAsia="zh-CN"/>
              </w:rPr>
              <w:t>检测，然后将料罐口封死。用转运小车将氢碎料放置于氢碎料放置区域存放，并做好标识。</w:t>
            </w:r>
          </w:p>
          <w:p w14:paraId="7E8C2DFD">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（5）</w:t>
            </w:r>
            <w:r>
              <w:rPr>
                <w:rFonts w:hint="default" w:ascii="Times New Roman" w:hAnsi="Times New Roman" w:eastAsia="宋体" w:cs="Times New Roman"/>
                <w:sz w:val="24"/>
                <w:szCs w:val="24"/>
                <w:highlight w:val="none"/>
                <w:lang w:val="en-US" w:eastAsia="zh-CN"/>
              </w:rPr>
              <w:t>制粉</w:t>
            </w:r>
          </w:p>
          <w:p w14:paraId="4A3C41B7">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经过氢碎后的粗粉置于</w:t>
            </w:r>
            <w:r>
              <w:rPr>
                <w:rFonts w:hint="eastAsia" w:ascii="Times New Roman" w:hAnsi="Times New Roman" w:eastAsia="宋体" w:cs="Times New Roman"/>
                <w:sz w:val="24"/>
                <w:szCs w:val="24"/>
                <w:highlight w:val="none"/>
                <w:lang w:val="en-US" w:eastAsia="zh-CN"/>
              </w:rPr>
              <w:t>90</w:t>
            </w:r>
            <w:r>
              <w:rPr>
                <w:rFonts w:hint="default" w:ascii="Times New Roman" w:hAnsi="Times New Roman" w:eastAsia="宋体" w:cs="Times New Roman"/>
                <w:sz w:val="24"/>
                <w:szCs w:val="24"/>
                <w:highlight w:val="none"/>
                <w:lang w:val="en-US" w:eastAsia="zh-CN"/>
              </w:rPr>
              <w:t>0kg型不锈钢罐内储存，放置于混料机上，进行充分混合，均匀后出料。将不锈钢罐用电葫芦吊装至气流磨加料处，采用密闭对接，将料粉加入气流磨粉机中。在压强为0.6~0.7MPa的高压氮气作用下，粉末之间发生互相碰撞而进一步细化，最终获得粉末粒度为2.5~5um的超细粉末。达到要求的合格粉料从分选轮流出落入下部</w:t>
            </w:r>
            <w:r>
              <w:rPr>
                <w:rFonts w:hint="eastAsia" w:cs="Times New Roman"/>
                <w:sz w:val="24"/>
                <w:szCs w:val="24"/>
                <w:highlight w:val="none"/>
                <w:lang w:val="en-US" w:eastAsia="zh-CN"/>
              </w:rPr>
              <w:t>氮气</w:t>
            </w:r>
            <w:r>
              <w:rPr>
                <w:rFonts w:hint="default" w:ascii="Times New Roman" w:hAnsi="Times New Roman" w:eastAsia="宋体" w:cs="Times New Roman"/>
                <w:sz w:val="24"/>
                <w:szCs w:val="24"/>
                <w:highlight w:val="none"/>
                <w:lang w:val="en-US" w:eastAsia="zh-CN"/>
              </w:rPr>
              <w:t>保护的不锈钢罐</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300kg型/600kg型</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中，最终将装有粉料的不锈钢罐转移至专用存放区，充氮气保护等待使用。</w:t>
            </w:r>
          </w:p>
          <w:p w14:paraId="6BE84AF7">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气流磨磨室及粉料输送管道均在密闭条件下进行，该环节氮气循环使用。气流磨运行工程中有循环冷却水，属于间接循环</w:t>
            </w:r>
            <w:r>
              <w:rPr>
                <w:rFonts w:hint="eastAsia" w:ascii="Times New Roman" w:hAnsi="Times New Roman" w:eastAsia="宋体" w:cs="Times New Roman"/>
                <w:sz w:val="24"/>
                <w:szCs w:val="24"/>
                <w:highlight w:val="none"/>
                <w:lang w:val="en-US" w:eastAsia="zh-CN"/>
              </w:rPr>
              <w:t>。</w:t>
            </w:r>
          </w:p>
          <w:p w14:paraId="420A68E8">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（6）</w:t>
            </w:r>
            <w:r>
              <w:rPr>
                <w:rFonts w:hint="eastAsia" w:cs="Times New Roman"/>
                <w:sz w:val="24"/>
                <w:szCs w:val="24"/>
                <w:highlight w:val="none"/>
                <w:lang w:val="en-US" w:eastAsia="zh-CN"/>
              </w:rPr>
              <w:t>磁场取向、</w:t>
            </w:r>
            <w:r>
              <w:rPr>
                <w:rFonts w:hint="eastAsia" w:ascii="Times New Roman" w:hAnsi="Times New Roman" w:eastAsia="宋体" w:cs="Times New Roman"/>
                <w:sz w:val="24"/>
                <w:szCs w:val="24"/>
                <w:highlight w:val="none"/>
                <w:lang w:val="en-US" w:eastAsia="zh-CN"/>
              </w:rPr>
              <w:t>压</w:t>
            </w:r>
            <w:r>
              <w:rPr>
                <w:rFonts w:hint="default" w:ascii="Times New Roman" w:hAnsi="Times New Roman" w:eastAsia="宋体" w:cs="Times New Roman"/>
                <w:sz w:val="24"/>
                <w:szCs w:val="24"/>
                <w:highlight w:val="none"/>
                <w:lang w:val="en-US" w:eastAsia="zh-CN"/>
              </w:rPr>
              <w:t>型</w:t>
            </w:r>
          </w:p>
          <w:p w14:paraId="02A0C8AE">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压</w:t>
            </w:r>
            <w:r>
              <w:rPr>
                <w:rFonts w:hint="default" w:ascii="Times New Roman" w:hAnsi="Times New Roman" w:eastAsia="宋体" w:cs="Times New Roman"/>
                <w:sz w:val="24"/>
                <w:szCs w:val="24"/>
                <w:highlight w:val="none"/>
                <w:lang w:val="en-US" w:eastAsia="zh-CN"/>
              </w:rPr>
              <w:t>型区域主要对粉料进行压制工序。</w:t>
            </w:r>
          </w:p>
          <w:p w14:paraId="0C083C92">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使用流转车将不锈钢罐运送到压机，不锈钢罐与压机称粉机接口对接，要求完全密闭，通过自动称粉机称量出定量粉料，定量粉料落入畚斗中，操作工将畚斗内粉料倒入模腔中，经磁场取向后压制成压坯，并包膜保护，以上过程均在氮气保护下进行，操作工仅双手伸入密闭空间内进行作业。</w:t>
            </w:r>
          </w:p>
          <w:p w14:paraId="1B595AA1">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压制后的磁体使用等静压机进一步压实，提高磁体的密度。等静压处理是把被加工的物体放置一种特定的模具中，再把装有工件的模具放入盛满</w:t>
            </w:r>
            <w:r>
              <w:rPr>
                <w:rFonts w:hint="eastAsia" w:cs="Times New Roman"/>
                <w:sz w:val="24"/>
                <w:szCs w:val="24"/>
                <w:highlight w:val="none"/>
                <w:lang w:val="en-US" w:eastAsia="zh-CN"/>
              </w:rPr>
              <w:t>液压油</w:t>
            </w:r>
            <w:r>
              <w:rPr>
                <w:rFonts w:hint="eastAsia" w:ascii="Times New Roman" w:hAnsi="Times New Roman" w:eastAsia="宋体" w:cs="Times New Roman"/>
                <w:sz w:val="24"/>
                <w:szCs w:val="24"/>
                <w:highlight w:val="none"/>
                <w:lang w:val="en-US" w:eastAsia="zh-CN"/>
              </w:rPr>
              <w:t>的密闭容器中，通过增压系统逐步加压，通过液体传压，使得物体的各个表面受到了相等的压强，并在模具限制下，压制成型，压制完成后放入转料推车，流转至烧结工序。</w:t>
            </w:r>
          </w:p>
          <w:p w14:paraId="7E0FCD68">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（7）</w:t>
            </w:r>
            <w:r>
              <w:rPr>
                <w:rFonts w:hint="default" w:ascii="Times New Roman" w:hAnsi="Times New Roman" w:eastAsia="宋体" w:cs="Times New Roman"/>
                <w:sz w:val="24"/>
                <w:szCs w:val="24"/>
                <w:highlight w:val="none"/>
                <w:lang w:val="en-US" w:eastAsia="zh-CN"/>
              </w:rPr>
              <w:t>烧结</w:t>
            </w:r>
          </w:p>
          <w:p w14:paraId="2DF7CF44">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压制成型的钕铁硼半成品进入烧结炉进行真空烧结，烧结炉采用电加热。本工序的任务是在真空烧结炉中对成型后的坯体进行热处理，提高坯体的机型性能和磁性能。</w:t>
            </w:r>
          </w:p>
          <w:p w14:paraId="25E96563">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压型后的坯体是许多粉末颗粒的机械堆积体，其相对密度仅有60</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70%，内部空隙大，机械强度低，磁性能差。经高温烧结处理后，坯体</w:t>
            </w:r>
            <w:r>
              <w:rPr>
                <w:rFonts w:hint="eastAsia" w:cs="Times New Roman"/>
                <w:sz w:val="24"/>
                <w:szCs w:val="24"/>
                <w:highlight w:val="none"/>
                <w:lang w:val="en-US" w:eastAsia="zh-CN"/>
              </w:rPr>
              <w:t>粉</w:t>
            </w:r>
            <w:r>
              <w:rPr>
                <w:rFonts w:hint="default" w:ascii="Times New Roman" w:hAnsi="Times New Roman" w:eastAsia="宋体" w:cs="Times New Roman"/>
                <w:sz w:val="24"/>
                <w:szCs w:val="24"/>
                <w:highlight w:val="none"/>
                <w:lang w:val="en-US" w:eastAsia="zh-CN"/>
              </w:rPr>
              <w:t>末颗粒熔成一体，其相对密度控制到94</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98%，而且机械强度和磁性能如剩磁、矫顽力、磁能积等都大大地提高。</w:t>
            </w:r>
          </w:p>
          <w:p w14:paraId="3231BEEC">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烧结处理在10</w:t>
            </w:r>
            <w:r>
              <w:rPr>
                <w:rFonts w:hint="default" w:ascii="Times New Roman" w:hAnsi="Times New Roman" w:eastAsia="宋体" w:cs="Times New Roman"/>
                <w:sz w:val="24"/>
                <w:szCs w:val="24"/>
                <w:highlight w:val="none"/>
                <w:vertAlign w:val="superscript"/>
                <w:lang w:val="en-US" w:eastAsia="zh-CN"/>
              </w:rPr>
              <w:t>-2</w:t>
            </w:r>
            <w:r>
              <w:rPr>
                <w:rFonts w:hint="default" w:ascii="Times New Roman" w:hAnsi="Times New Roman" w:eastAsia="宋体" w:cs="Times New Roman"/>
                <w:sz w:val="24"/>
                <w:szCs w:val="24"/>
                <w:highlight w:val="none"/>
                <w:lang w:val="en-US" w:eastAsia="zh-CN"/>
              </w:rPr>
              <w:t>-10</w:t>
            </w:r>
            <w:r>
              <w:rPr>
                <w:rFonts w:hint="default" w:ascii="Times New Roman" w:hAnsi="Times New Roman" w:eastAsia="宋体" w:cs="Times New Roman"/>
                <w:sz w:val="24"/>
                <w:szCs w:val="24"/>
                <w:highlight w:val="none"/>
                <w:vertAlign w:val="superscript"/>
                <w:lang w:val="en-US" w:eastAsia="zh-CN"/>
              </w:rPr>
              <w:t>-3</w:t>
            </w:r>
            <w:r>
              <w:rPr>
                <w:rFonts w:hint="default" w:ascii="Times New Roman" w:hAnsi="Times New Roman" w:eastAsia="宋体" w:cs="Times New Roman"/>
                <w:sz w:val="24"/>
                <w:szCs w:val="24"/>
                <w:highlight w:val="none"/>
                <w:lang w:val="en-US" w:eastAsia="zh-CN"/>
              </w:rPr>
              <w:t>kPa的真空状态进行。为了进一步防止合金体的氧化，通入氩气加以保护。压坯在1080-1100℃的高温下烧结约3</w:t>
            </w:r>
            <w:r>
              <w:rPr>
                <w:rFonts w:hint="eastAsia" w:ascii="Times New Roman" w:hAnsi="Times New Roman" w:eastAsia="宋体" w:cs="Times New Roman"/>
                <w:sz w:val="24"/>
                <w:szCs w:val="24"/>
                <w:highlight w:val="none"/>
                <w:lang w:val="en-US" w:eastAsia="zh-CN"/>
              </w:rPr>
              <w:t>.5</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lang w:val="en-US" w:eastAsia="zh-CN"/>
              </w:rPr>
              <w:t>小时。烧结完成后经自然冷却或风冷至60-80℃后，进行重新加热回火至500-700℃</w:t>
            </w:r>
            <w:r>
              <w:rPr>
                <w:rFonts w:hint="eastAsia" w:ascii="Times New Roman" w:hAnsi="Times New Roman" w:eastAsia="宋体" w:cs="Times New Roman"/>
                <w:sz w:val="24"/>
                <w:szCs w:val="24"/>
                <w:highlight w:val="none"/>
                <w:lang w:val="en-US" w:eastAsia="zh-CN"/>
              </w:rPr>
              <w:t>加热约4小时</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可有效提高磁体的磁性能，特别是矫顽力，</w:t>
            </w:r>
            <w:r>
              <w:rPr>
                <w:rFonts w:hint="default" w:ascii="Times New Roman" w:hAnsi="Times New Roman" w:eastAsia="宋体" w:cs="Times New Roman"/>
                <w:sz w:val="24"/>
                <w:szCs w:val="24"/>
                <w:highlight w:val="none"/>
                <w:lang w:val="en-US" w:eastAsia="zh-CN"/>
              </w:rPr>
              <w:t>最后冷却后即为钕铁硼毛坯。</w:t>
            </w:r>
            <w:r>
              <w:rPr>
                <w:rFonts w:hint="eastAsia" w:cs="Times New Roman"/>
                <w:sz w:val="24"/>
                <w:szCs w:val="24"/>
                <w:highlight w:val="none"/>
                <w:lang w:val="en-US" w:eastAsia="zh-CN"/>
              </w:rPr>
              <w:t>毛坯送磁性能检测工序进行检测。</w:t>
            </w:r>
          </w:p>
          <w:p w14:paraId="6B6DB321">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（8）切割、磨</w:t>
            </w:r>
            <w:r>
              <w:rPr>
                <w:rFonts w:hint="default" w:ascii="Times New Roman" w:hAnsi="Times New Roman" w:eastAsia="宋体" w:cs="Times New Roman"/>
                <w:sz w:val="24"/>
                <w:szCs w:val="24"/>
                <w:highlight w:val="none"/>
                <w:lang w:val="en-US" w:eastAsia="zh-CN"/>
              </w:rPr>
              <w:t>加工</w:t>
            </w:r>
          </w:p>
          <w:p w14:paraId="7E768579">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经磁性能检测合格后的坯料转移至毛坯加工工序</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按照客户要求将产品加工成各种规格、形状。主要是对性能测试合格的磁体进行切割、磨削等加工，以提高磁体工作面的精度、光洁度，达到工艺需求</w:t>
            </w:r>
            <w:r>
              <w:rPr>
                <w:rFonts w:hint="eastAsia" w:ascii="Times New Roman" w:hAnsi="Times New Roman" w:eastAsia="宋体" w:cs="Times New Roman"/>
                <w:sz w:val="24"/>
                <w:szCs w:val="24"/>
                <w:highlight w:val="none"/>
                <w:lang w:val="en-US" w:eastAsia="zh-CN"/>
              </w:rPr>
              <w:t>，不进行表面处理</w:t>
            </w:r>
            <w:r>
              <w:rPr>
                <w:rFonts w:hint="default" w:ascii="Times New Roman" w:hAnsi="Times New Roman" w:eastAsia="宋体" w:cs="Times New Roman"/>
                <w:sz w:val="24"/>
                <w:szCs w:val="24"/>
                <w:highlight w:val="none"/>
                <w:lang w:val="en-US" w:eastAsia="zh-CN"/>
              </w:rPr>
              <w:t>。加工过程中均需采用</w:t>
            </w:r>
            <w:r>
              <w:rPr>
                <w:rFonts w:hint="eastAsia" w:ascii="Times New Roman" w:hAnsi="Times New Roman" w:eastAsia="宋体" w:cs="Times New Roman"/>
                <w:sz w:val="24"/>
                <w:szCs w:val="24"/>
                <w:highlight w:val="none"/>
                <w:lang w:val="en-US" w:eastAsia="zh-CN"/>
              </w:rPr>
              <w:t>水</w:t>
            </w:r>
            <w:r>
              <w:rPr>
                <w:rFonts w:hint="default" w:ascii="Times New Roman" w:hAnsi="Times New Roman" w:eastAsia="宋体" w:cs="Times New Roman"/>
                <w:sz w:val="24"/>
                <w:szCs w:val="24"/>
                <w:highlight w:val="none"/>
                <w:lang w:val="en-US" w:eastAsia="zh-CN"/>
              </w:rPr>
              <w:t>冷润滑，</w:t>
            </w:r>
            <w:r>
              <w:rPr>
                <w:rFonts w:hint="eastAsia" w:ascii="Times New Roman" w:hAnsi="Times New Roman" w:eastAsia="宋体" w:cs="Times New Roman"/>
                <w:sz w:val="24"/>
                <w:szCs w:val="24"/>
                <w:highlight w:val="none"/>
                <w:lang w:val="en-US" w:eastAsia="zh-CN"/>
              </w:rPr>
              <w:t>循环水</w:t>
            </w:r>
            <w:r>
              <w:rPr>
                <w:rFonts w:hint="default" w:ascii="Times New Roman" w:hAnsi="Times New Roman" w:eastAsia="宋体" w:cs="Times New Roman"/>
                <w:sz w:val="24"/>
                <w:szCs w:val="24"/>
                <w:highlight w:val="none"/>
                <w:lang w:val="en-US" w:eastAsia="zh-CN"/>
              </w:rPr>
              <w:t>经沉淀过滤去除</w:t>
            </w:r>
            <w:r>
              <w:rPr>
                <w:rFonts w:hint="eastAsia" w:ascii="Times New Roman" w:hAnsi="Times New Roman" w:eastAsia="宋体" w:cs="Times New Roman"/>
                <w:sz w:val="24"/>
                <w:szCs w:val="24"/>
                <w:highlight w:val="none"/>
                <w:lang w:val="en-US" w:eastAsia="zh-CN"/>
              </w:rPr>
              <w:t>磨泥</w:t>
            </w:r>
            <w:r>
              <w:rPr>
                <w:rFonts w:hint="default" w:ascii="Times New Roman" w:hAnsi="Times New Roman" w:eastAsia="宋体" w:cs="Times New Roman"/>
                <w:sz w:val="24"/>
                <w:szCs w:val="24"/>
                <w:highlight w:val="none"/>
                <w:lang w:val="en-US" w:eastAsia="zh-CN"/>
              </w:rPr>
              <w:t>后循环使用定期补充不更换。</w:t>
            </w:r>
            <w:r>
              <w:rPr>
                <w:rFonts w:hint="eastAsia" w:ascii="Times New Roman" w:hAnsi="Times New Roman" w:eastAsia="宋体" w:cs="Times New Roman"/>
                <w:sz w:val="24"/>
                <w:szCs w:val="24"/>
                <w:highlight w:val="none"/>
                <w:lang w:val="en-US" w:eastAsia="zh-CN"/>
              </w:rPr>
              <w:t>磨泥</w:t>
            </w:r>
            <w:r>
              <w:rPr>
                <w:rFonts w:hint="default" w:ascii="Times New Roman" w:hAnsi="Times New Roman" w:eastAsia="宋体" w:cs="Times New Roman"/>
                <w:sz w:val="24"/>
                <w:szCs w:val="24"/>
                <w:highlight w:val="none"/>
                <w:lang w:val="en-US" w:eastAsia="zh-CN"/>
              </w:rPr>
              <w:t>经沉淀沥干后外售综合利用。</w:t>
            </w:r>
          </w:p>
          <w:p w14:paraId="331F54DF">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（9）成品检验</w:t>
            </w:r>
          </w:p>
          <w:p w14:paraId="57D041EC">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成品检验主要是对产品的性能和外观进行检测，分拣出合格产品和不合格产品。合格产品根据产品要求进行充磁或无充磁包装，不合格产品返回表面处理工序。</w:t>
            </w:r>
          </w:p>
          <w:p w14:paraId="222D9E7A">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（10）充磁、包装</w:t>
            </w:r>
          </w:p>
          <w:p w14:paraId="45F0F40B">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磁体经检验合格后</w:t>
            </w:r>
            <w:r>
              <w:rPr>
                <w:rFonts w:hint="eastAsia" w:cs="Times New Roman"/>
                <w:sz w:val="24"/>
                <w:szCs w:val="24"/>
                <w:highlight w:val="none"/>
                <w:lang w:val="en-US" w:eastAsia="zh-CN"/>
              </w:rPr>
              <w:t>送充磁设备</w:t>
            </w:r>
            <w:r>
              <w:rPr>
                <w:rFonts w:hint="eastAsia" w:ascii="Times New Roman" w:hAnsi="Times New Roman" w:eastAsia="宋体" w:cs="Times New Roman"/>
                <w:sz w:val="24"/>
                <w:szCs w:val="24"/>
                <w:highlight w:val="none"/>
                <w:lang w:val="en-US" w:eastAsia="zh-CN"/>
              </w:rPr>
              <w:t>充磁</w:t>
            </w:r>
            <w:r>
              <w:rPr>
                <w:rFonts w:hint="eastAsia" w:cs="Times New Roman"/>
                <w:sz w:val="24"/>
                <w:szCs w:val="24"/>
                <w:highlight w:val="none"/>
                <w:lang w:val="en-US" w:eastAsia="zh-CN"/>
              </w:rPr>
              <w:t>，充磁后的磁体</w:t>
            </w:r>
            <w:r>
              <w:rPr>
                <w:rFonts w:hint="eastAsia" w:ascii="Times New Roman" w:hAnsi="Times New Roman" w:eastAsia="宋体" w:cs="Times New Roman"/>
                <w:sz w:val="24"/>
                <w:szCs w:val="24"/>
                <w:highlight w:val="none"/>
                <w:lang w:val="en-US" w:eastAsia="zh-CN"/>
              </w:rPr>
              <w:t>包装入库。</w:t>
            </w:r>
          </w:p>
          <w:p w14:paraId="45F26D69">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highlight w:val="none"/>
                <w:lang w:val="en-US" w:eastAsia="zh-CN"/>
              </w:rPr>
            </w:pPr>
            <w:r>
              <w:rPr>
                <w:highlight w:val="none"/>
              </w:rPr>
              <w:drawing>
                <wp:inline distT="0" distB="0" distL="114300" distR="114300">
                  <wp:extent cx="3477260" cy="4067810"/>
                  <wp:effectExtent l="0" t="0" r="8890" b="8890"/>
                  <wp:docPr id="9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
                          <pic:cNvPicPr>
                            <a:picLocks noChangeAspect="1"/>
                          </pic:cNvPicPr>
                        </pic:nvPicPr>
                        <pic:blipFill>
                          <a:blip r:embed="rId12"/>
                          <a:stretch>
                            <a:fillRect/>
                          </a:stretch>
                        </pic:blipFill>
                        <pic:spPr>
                          <a:xfrm>
                            <a:off x="0" y="0"/>
                            <a:ext cx="3477260" cy="4067810"/>
                          </a:xfrm>
                          <a:prstGeom prst="rect">
                            <a:avLst/>
                          </a:prstGeom>
                          <a:noFill/>
                          <a:ln>
                            <a:noFill/>
                          </a:ln>
                        </pic:spPr>
                      </pic:pic>
                    </a:graphicData>
                  </a:graphic>
                </wp:inline>
              </w:drawing>
            </w:r>
          </w:p>
          <w:p w14:paraId="7776C067">
            <w:pPr>
              <w:jc w:val="center"/>
              <w:rPr>
                <w:rFonts w:hint="eastAsia"/>
                <w:highlight w:val="none"/>
                <w:lang w:val="en-US" w:eastAsia="zh-CN"/>
              </w:rPr>
            </w:pPr>
            <w:r>
              <w:rPr>
                <w:rFonts w:hint="eastAsia" w:ascii="Times New Roman" w:hAnsi="Times New Roman" w:eastAsia="宋体" w:cs="Times New Roman"/>
                <w:b/>
                <w:bCs/>
                <w:kern w:val="0"/>
                <w:sz w:val="21"/>
                <w:szCs w:val="24"/>
                <w:highlight w:val="none"/>
                <w:lang w:val="en-US" w:eastAsia="zh-CN" w:bidi="ar-SA"/>
              </w:rPr>
              <w:t>图2-3  运营期流程及产污情况图</w:t>
            </w:r>
          </w:p>
          <w:p w14:paraId="57D369BE">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三、主要污染工序：</w:t>
            </w:r>
          </w:p>
          <w:p w14:paraId="56A98DFD">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1</w:t>
            </w:r>
            <w:r>
              <w:rPr>
                <w:rFonts w:hint="eastAsia" w:ascii="Times New Roman" w:hAnsi="Times New Roman" w:eastAsia="宋体" w:cs="Times New Roman"/>
                <w:b/>
                <w:bCs/>
                <w:sz w:val="24"/>
                <w:szCs w:val="24"/>
                <w:highlight w:val="none"/>
                <w:lang w:val="en-US" w:eastAsia="zh-CN"/>
              </w:rPr>
              <w:t>、施工</w:t>
            </w:r>
            <w:r>
              <w:rPr>
                <w:rFonts w:hint="default" w:ascii="Times New Roman" w:hAnsi="Times New Roman" w:eastAsia="宋体" w:cs="Times New Roman"/>
                <w:b/>
                <w:bCs/>
                <w:sz w:val="24"/>
                <w:szCs w:val="24"/>
                <w:highlight w:val="none"/>
                <w:lang w:val="en-US" w:eastAsia="zh-CN"/>
              </w:rPr>
              <w:t>期</w:t>
            </w:r>
          </w:p>
          <w:p w14:paraId="00DC5435">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1.1大气污染</w:t>
            </w:r>
          </w:p>
          <w:p w14:paraId="2215309F">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施工期间对环境空气影响最大的是施工扬尘，施工期产生的扬尘主要环节是土方挖掘，建筑材料的运输，装卸、堆存等。扬尘的大小与现场施工条件、管理水平、机械化作业程度及天气状况等诸多因素有关。施工扬尘工序主要来自以下几个环节：</w:t>
            </w:r>
          </w:p>
          <w:p w14:paraId="0FEB2B59">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①施工开挖：建筑物的基础开挖、地基处理、土地平整等。开挖的土方堆放如遇大风天气，会造成粉尘、扬尘等大气污染；</w:t>
            </w:r>
          </w:p>
          <w:p w14:paraId="3884758C">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②水泥、砂石、混凝土等建筑材料如运输、装卸、存储方式不当，可能造成</w:t>
            </w:r>
            <w:r>
              <w:rPr>
                <w:rFonts w:hint="eastAsia" w:cs="Times New Roman"/>
                <w:sz w:val="24"/>
                <w:szCs w:val="24"/>
                <w:highlight w:val="none"/>
                <w:lang w:val="en-US" w:eastAsia="zh-CN"/>
              </w:rPr>
              <w:t>泄漏</w:t>
            </w:r>
            <w:r>
              <w:rPr>
                <w:rFonts w:hint="default" w:ascii="Times New Roman" w:hAnsi="Times New Roman" w:eastAsia="宋体" w:cs="Times New Roman"/>
                <w:sz w:val="24"/>
                <w:szCs w:val="24"/>
                <w:highlight w:val="none"/>
                <w:lang w:val="en-US" w:eastAsia="zh-CN"/>
              </w:rPr>
              <w:t>，产生扬尘污染；</w:t>
            </w:r>
          </w:p>
          <w:p w14:paraId="7898BEC3">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③施工所需建筑材料较大，施工将增加车流量，加之建筑砂石、土、水泥等</w:t>
            </w:r>
            <w:r>
              <w:rPr>
                <w:rFonts w:hint="eastAsia" w:cs="Times New Roman"/>
                <w:sz w:val="24"/>
                <w:szCs w:val="24"/>
                <w:highlight w:val="none"/>
                <w:lang w:val="en-US" w:eastAsia="zh-CN"/>
              </w:rPr>
              <w:t>泄漏</w:t>
            </w:r>
            <w:r>
              <w:rPr>
                <w:rFonts w:hint="default" w:ascii="Times New Roman" w:hAnsi="Times New Roman" w:eastAsia="宋体" w:cs="Times New Roman"/>
                <w:sz w:val="24"/>
                <w:szCs w:val="24"/>
                <w:highlight w:val="none"/>
                <w:lang w:val="en-US" w:eastAsia="zh-CN"/>
              </w:rPr>
              <w:t>，会增加路面起尘量。</w:t>
            </w:r>
          </w:p>
          <w:p w14:paraId="056D863A">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由于污染源为间歇性源并且扬尘点低，因此只会在近距离内形成局部暂时污染影响。但施工现场的污染物未经扩散稀释就直接进入地表呼吸地带，会给现场施工人员的生活和健康带来一定影响，在大风情况下还会对施工地周围区域和道路等环境空气形成影响。</w:t>
            </w:r>
          </w:p>
          <w:p w14:paraId="50BB24A8">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lang w:val="en-US" w:eastAsia="zh-CN"/>
              </w:rPr>
              <w:t>2废水</w:t>
            </w:r>
          </w:p>
          <w:p w14:paraId="341BA5ED">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废水有施工废水和生活污水两种，施工废水主要有施工机械设备和车辆的冲洗废水，主要污染物为SS。生活污水来自施工人员排放的生活污水。</w:t>
            </w:r>
          </w:p>
          <w:p w14:paraId="05C54AA4">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lang w:val="en-US" w:eastAsia="zh-CN"/>
              </w:rPr>
              <w:t>3噪声</w:t>
            </w:r>
          </w:p>
          <w:p w14:paraId="5BD3128F">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根据本工程涉及的建设内容及施工特征，其主要的影响环节为：土方开挖阶段主要为挖掘机、推土机、装载机及各种车辆的移动性声源影响；基础夯实与砌筑阶段的打夯机、混凝土搅拌等机械设备影响；装修等阶段的起重设备、切割设备及运输车辆等噪声影响。</w:t>
            </w:r>
          </w:p>
          <w:p w14:paraId="01C98518">
            <w:pPr>
              <w:pStyle w:val="5"/>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highlight w:val="none"/>
                <w:lang w:val="en-US" w:eastAsia="zh-CN"/>
              </w:rPr>
            </w:pPr>
            <w:r>
              <w:rPr>
                <w:rFonts w:hint="default" w:ascii="Times New Roman" w:hAnsi="Times New Roman" w:eastAsia="宋体" w:cs="Times New Roman"/>
                <w:sz w:val="24"/>
                <w:szCs w:val="24"/>
                <w:highlight w:val="none"/>
                <w:lang w:val="en-US" w:eastAsia="zh-CN"/>
              </w:rPr>
              <w:t>根据本工程区域声环境质量要求及施工特征，整体而言，各施工阶段中以土方阶段的挖掘、基础阶段的基础夯实及物料土方运输影响最大。各声源源强类比调查结果见表</w:t>
            </w:r>
            <w:r>
              <w:rPr>
                <w:rFonts w:hint="eastAsia" w:ascii="Times New Roman" w:hAnsi="Times New Roman" w:eastAsia="宋体" w:cs="Times New Roman"/>
                <w:sz w:val="24"/>
                <w:szCs w:val="24"/>
                <w:highlight w:val="none"/>
                <w:lang w:val="en-US" w:eastAsia="zh-CN"/>
              </w:rPr>
              <w:t>2-7</w:t>
            </w:r>
            <w:r>
              <w:rPr>
                <w:rFonts w:hint="default" w:ascii="Times New Roman" w:hAnsi="Times New Roman" w:eastAsia="宋体" w:cs="Times New Roman"/>
                <w:sz w:val="24"/>
                <w:szCs w:val="24"/>
                <w:highlight w:val="none"/>
                <w:lang w:val="en-US" w:eastAsia="zh-CN"/>
              </w:rPr>
              <w:t>。</w:t>
            </w:r>
          </w:p>
          <w:p w14:paraId="3CCE6293">
            <w:pPr>
              <w:pStyle w:val="41"/>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表2-7  施工期主要噪声源一览表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417"/>
              <w:gridCol w:w="2803"/>
              <w:gridCol w:w="1081"/>
              <w:gridCol w:w="1644"/>
            </w:tblGrid>
            <w:tr w14:paraId="01E469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3B3DCDAA">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施工阶段</w:t>
                  </w:r>
                </w:p>
              </w:tc>
              <w:tc>
                <w:tcPr>
                  <w:tcW w:w="0" w:type="auto"/>
                  <w:tcBorders>
                    <w:tl2br w:val="nil"/>
                    <w:tr2bl w:val="nil"/>
                  </w:tcBorders>
                  <w:noWrap w:val="0"/>
                  <w:vAlign w:val="center"/>
                </w:tcPr>
                <w:p w14:paraId="1E9B5357">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施工机械</w:t>
                  </w:r>
                </w:p>
              </w:tc>
              <w:tc>
                <w:tcPr>
                  <w:tcW w:w="0" w:type="auto"/>
                  <w:tcBorders>
                    <w:tl2br w:val="nil"/>
                    <w:tr2bl w:val="nil"/>
                  </w:tcBorders>
                  <w:noWrap w:val="0"/>
                  <w:vAlign w:val="center"/>
                </w:tcPr>
                <w:p w14:paraId="0E451F5F">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声级</w:t>
                  </w:r>
                </w:p>
              </w:tc>
              <w:tc>
                <w:tcPr>
                  <w:tcW w:w="0" w:type="auto"/>
                  <w:tcBorders>
                    <w:tl2br w:val="nil"/>
                    <w:tr2bl w:val="nil"/>
                  </w:tcBorders>
                  <w:noWrap w:val="0"/>
                  <w:vAlign w:val="center"/>
                </w:tcPr>
                <w:p w14:paraId="28419FFF">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声源性质</w:t>
                  </w:r>
                </w:p>
              </w:tc>
            </w:tr>
            <w:tr w14:paraId="2653FB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vMerge w:val="restart"/>
                  <w:tcBorders>
                    <w:tl2br w:val="nil"/>
                    <w:tr2bl w:val="nil"/>
                  </w:tcBorders>
                  <w:noWrap w:val="0"/>
                  <w:vAlign w:val="center"/>
                </w:tcPr>
                <w:p w14:paraId="359B82F5">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土方阶段</w:t>
                  </w:r>
                </w:p>
              </w:tc>
              <w:tc>
                <w:tcPr>
                  <w:tcW w:w="0" w:type="auto"/>
                  <w:tcBorders>
                    <w:tl2br w:val="nil"/>
                    <w:tr2bl w:val="nil"/>
                  </w:tcBorders>
                  <w:noWrap w:val="0"/>
                  <w:vAlign w:val="center"/>
                </w:tcPr>
                <w:p w14:paraId="35FCFE07">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推土机</w:t>
                  </w:r>
                </w:p>
              </w:tc>
              <w:tc>
                <w:tcPr>
                  <w:tcW w:w="0" w:type="auto"/>
                  <w:tcBorders>
                    <w:tl2br w:val="nil"/>
                    <w:tr2bl w:val="nil"/>
                  </w:tcBorders>
                  <w:noWrap w:val="0"/>
                  <w:vAlign w:val="center"/>
                </w:tcPr>
                <w:p w14:paraId="4B2EBF61">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78~96</w:t>
                  </w:r>
                </w:p>
              </w:tc>
              <w:tc>
                <w:tcPr>
                  <w:tcW w:w="0" w:type="auto"/>
                  <w:tcBorders>
                    <w:tl2br w:val="nil"/>
                    <w:tr2bl w:val="nil"/>
                  </w:tcBorders>
                  <w:noWrap w:val="0"/>
                  <w:vAlign w:val="center"/>
                </w:tcPr>
                <w:p w14:paraId="34DF2DAB">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间歇性</w:t>
                  </w:r>
                </w:p>
              </w:tc>
            </w:tr>
            <w:tr w14:paraId="638705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vMerge w:val="continue"/>
                  <w:tcBorders>
                    <w:tl2br w:val="nil"/>
                    <w:tr2bl w:val="nil"/>
                  </w:tcBorders>
                  <w:noWrap w:val="0"/>
                  <w:vAlign w:val="center"/>
                </w:tcPr>
                <w:p w14:paraId="64E4EBE7">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p>
              </w:tc>
              <w:tc>
                <w:tcPr>
                  <w:tcW w:w="0" w:type="auto"/>
                  <w:tcBorders>
                    <w:tl2br w:val="nil"/>
                    <w:tr2bl w:val="nil"/>
                  </w:tcBorders>
                  <w:noWrap w:val="0"/>
                  <w:vAlign w:val="center"/>
                </w:tcPr>
                <w:p w14:paraId="2A7D2785">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挖掘机</w:t>
                  </w:r>
                </w:p>
              </w:tc>
              <w:tc>
                <w:tcPr>
                  <w:tcW w:w="0" w:type="auto"/>
                  <w:tcBorders>
                    <w:tl2br w:val="nil"/>
                    <w:tr2bl w:val="nil"/>
                  </w:tcBorders>
                  <w:noWrap w:val="0"/>
                  <w:vAlign w:val="center"/>
                </w:tcPr>
                <w:p w14:paraId="6C4EADC9">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85~95</w:t>
                  </w:r>
                </w:p>
              </w:tc>
              <w:tc>
                <w:tcPr>
                  <w:tcW w:w="0" w:type="auto"/>
                  <w:tcBorders>
                    <w:tl2br w:val="nil"/>
                    <w:tr2bl w:val="nil"/>
                  </w:tcBorders>
                  <w:noWrap w:val="0"/>
                  <w:vAlign w:val="center"/>
                </w:tcPr>
                <w:p w14:paraId="65368F36">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间歇性</w:t>
                  </w:r>
                </w:p>
              </w:tc>
            </w:tr>
            <w:tr w14:paraId="6D307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vMerge w:val="continue"/>
                  <w:tcBorders>
                    <w:tl2br w:val="nil"/>
                    <w:tr2bl w:val="nil"/>
                  </w:tcBorders>
                  <w:noWrap w:val="0"/>
                  <w:vAlign w:val="center"/>
                </w:tcPr>
                <w:p w14:paraId="5E930F67">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p>
              </w:tc>
              <w:tc>
                <w:tcPr>
                  <w:tcW w:w="0" w:type="auto"/>
                  <w:tcBorders>
                    <w:tl2br w:val="nil"/>
                    <w:tr2bl w:val="nil"/>
                  </w:tcBorders>
                  <w:noWrap w:val="0"/>
                  <w:vAlign w:val="center"/>
                </w:tcPr>
                <w:p w14:paraId="401578AE">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装载机</w:t>
                  </w:r>
                </w:p>
              </w:tc>
              <w:tc>
                <w:tcPr>
                  <w:tcW w:w="0" w:type="auto"/>
                  <w:tcBorders>
                    <w:tl2br w:val="nil"/>
                    <w:tr2bl w:val="nil"/>
                  </w:tcBorders>
                  <w:noWrap w:val="0"/>
                  <w:vAlign w:val="center"/>
                </w:tcPr>
                <w:p w14:paraId="06FB74DF">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80~90</w:t>
                  </w:r>
                </w:p>
              </w:tc>
              <w:tc>
                <w:tcPr>
                  <w:tcW w:w="0" w:type="auto"/>
                  <w:tcBorders>
                    <w:tl2br w:val="nil"/>
                    <w:tr2bl w:val="nil"/>
                  </w:tcBorders>
                  <w:noWrap w:val="0"/>
                  <w:vAlign w:val="center"/>
                </w:tcPr>
                <w:p w14:paraId="1B3D240A">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间歇性</w:t>
                  </w:r>
                </w:p>
              </w:tc>
            </w:tr>
            <w:tr w14:paraId="0653D3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vMerge w:val="continue"/>
                  <w:tcBorders>
                    <w:tl2br w:val="nil"/>
                    <w:tr2bl w:val="nil"/>
                  </w:tcBorders>
                  <w:noWrap w:val="0"/>
                  <w:vAlign w:val="center"/>
                </w:tcPr>
                <w:p w14:paraId="04B3F89A">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p>
              </w:tc>
              <w:tc>
                <w:tcPr>
                  <w:tcW w:w="0" w:type="auto"/>
                  <w:tcBorders>
                    <w:tl2br w:val="nil"/>
                    <w:tr2bl w:val="nil"/>
                  </w:tcBorders>
                  <w:noWrap w:val="0"/>
                  <w:vAlign w:val="center"/>
                </w:tcPr>
                <w:p w14:paraId="50805ED1">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各种车辆</w:t>
                  </w:r>
                </w:p>
              </w:tc>
              <w:tc>
                <w:tcPr>
                  <w:tcW w:w="0" w:type="auto"/>
                  <w:tcBorders>
                    <w:tl2br w:val="nil"/>
                    <w:tr2bl w:val="nil"/>
                  </w:tcBorders>
                  <w:noWrap w:val="0"/>
                  <w:vAlign w:val="center"/>
                </w:tcPr>
                <w:p w14:paraId="30D73C62">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70~80</w:t>
                  </w:r>
                </w:p>
              </w:tc>
              <w:tc>
                <w:tcPr>
                  <w:tcW w:w="0" w:type="auto"/>
                  <w:tcBorders>
                    <w:tl2br w:val="nil"/>
                    <w:tr2bl w:val="nil"/>
                  </w:tcBorders>
                  <w:noWrap w:val="0"/>
                  <w:vAlign w:val="center"/>
                </w:tcPr>
                <w:p w14:paraId="6ED2D90C">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间歇性</w:t>
                  </w:r>
                </w:p>
              </w:tc>
            </w:tr>
            <w:tr w14:paraId="6570E3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00988B79">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基础施工阶段</w:t>
                  </w:r>
                </w:p>
              </w:tc>
              <w:tc>
                <w:tcPr>
                  <w:tcW w:w="0" w:type="auto"/>
                  <w:tcBorders>
                    <w:tl2br w:val="nil"/>
                    <w:tr2bl w:val="nil"/>
                  </w:tcBorders>
                  <w:noWrap w:val="0"/>
                  <w:vAlign w:val="center"/>
                </w:tcPr>
                <w:p w14:paraId="1CAD3A35">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夯实机、打桩机</w:t>
                  </w:r>
                </w:p>
              </w:tc>
              <w:tc>
                <w:tcPr>
                  <w:tcW w:w="0" w:type="auto"/>
                  <w:tcBorders>
                    <w:tl2br w:val="nil"/>
                    <w:tr2bl w:val="nil"/>
                  </w:tcBorders>
                  <w:noWrap w:val="0"/>
                  <w:vAlign w:val="center"/>
                </w:tcPr>
                <w:p w14:paraId="66B47884">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70~90</w:t>
                  </w:r>
                </w:p>
              </w:tc>
              <w:tc>
                <w:tcPr>
                  <w:tcW w:w="0" w:type="auto"/>
                  <w:tcBorders>
                    <w:tl2br w:val="nil"/>
                    <w:tr2bl w:val="nil"/>
                  </w:tcBorders>
                  <w:noWrap w:val="0"/>
                  <w:vAlign w:val="center"/>
                </w:tcPr>
                <w:p w14:paraId="2D7B8726">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间歇性</w:t>
                  </w:r>
                </w:p>
              </w:tc>
            </w:tr>
            <w:tr w14:paraId="509E0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vMerge w:val="restart"/>
                  <w:tcBorders>
                    <w:tl2br w:val="nil"/>
                    <w:tr2bl w:val="nil"/>
                  </w:tcBorders>
                  <w:noWrap w:val="0"/>
                  <w:vAlign w:val="center"/>
                </w:tcPr>
                <w:p w14:paraId="13C593B2">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装修阶段</w:t>
                  </w:r>
                </w:p>
              </w:tc>
              <w:tc>
                <w:tcPr>
                  <w:tcW w:w="0" w:type="auto"/>
                  <w:tcBorders>
                    <w:tl2br w:val="nil"/>
                    <w:tr2bl w:val="nil"/>
                  </w:tcBorders>
                  <w:noWrap w:val="0"/>
                  <w:vAlign w:val="center"/>
                </w:tcPr>
                <w:p w14:paraId="49C551C0">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电钻</w:t>
                  </w:r>
                </w:p>
              </w:tc>
              <w:tc>
                <w:tcPr>
                  <w:tcW w:w="0" w:type="auto"/>
                  <w:tcBorders>
                    <w:tl2br w:val="nil"/>
                    <w:tr2bl w:val="nil"/>
                  </w:tcBorders>
                  <w:noWrap w:val="0"/>
                  <w:vAlign w:val="center"/>
                </w:tcPr>
                <w:p w14:paraId="68EF0733">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85-95</w:t>
                  </w:r>
                </w:p>
              </w:tc>
              <w:tc>
                <w:tcPr>
                  <w:tcW w:w="0" w:type="auto"/>
                  <w:tcBorders>
                    <w:tl2br w:val="nil"/>
                    <w:tr2bl w:val="nil"/>
                  </w:tcBorders>
                  <w:noWrap w:val="0"/>
                  <w:vAlign w:val="center"/>
                </w:tcPr>
                <w:p w14:paraId="03BC718A">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间歇性</w:t>
                  </w:r>
                </w:p>
              </w:tc>
            </w:tr>
            <w:tr w14:paraId="72314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vMerge w:val="continue"/>
                  <w:tcBorders>
                    <w:tl2br w:val="nil"/>
                    <w:tr2bl w:val="nil"/>
                  </w:tcBorders>
                  <w:noWrap w:val="0"/>
                  <w:vAlign w:val="center"/>
                </w:tcPr>
                <w:p w14:paraId="703F4961">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p>
              </w:tc>
              <w:tc>
                <w:tcPr>
                  <w:tcW w:w="0" w:type="auto"/>
                  <w:tcBorders>
                    <w:tl2br w:val="nil"/>
                    <w:tr2bl w:val="nil"/>
                  </w:tcBorders>
                  <w:noWrap w:val="0"/>
                  <w:vAlign w:val="center"/>
                </w:tcPr>
                <w:p w14:paraId="28228BE3">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多功能木工刨</w:t>
                  </w:r>
                </w:p>
              </w:tc>
              <w:tc>
                <w:tcPr>
                  <w:tcW w:w="0" w:type="auto"/>
                  <w:tcBorders>
                    <w:tl2br w:val="nil"/>
                    <w:tr2bl w:val="nil"/>
                  </w:tcBorders>
                  <w:noWrap w:val="0"/>
                  <w:vAlign w:val="center"/>
                </w:tcPr>
                <w:p w14:paraId="19F1E6FC">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80-90</w:t>
                  </w:r>
                </w:p>
              </w:tc>
              <w:tc>
                <w:tcPr>
                  <w:tcW w:w="0" w:type="auto"/>
                  <w:tcBorders>
                    <w:tl2br w:val="nil"/>
                    <w:tr2bl w:val="nil"/>
                  </w:tcBorders>
                  <w:noWrap w:val="0"/>
                  <w:vAlign w:val="center"/>
                </w:tcPr>
                <w:p w14:paraId="23119907">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pacing w:val="4"/>
                      <w:sz w:val="21"/>
                      <w:szCs w:val="21"/>
                      <w:highlight w:val="none"/>
                    </w:rPr>
                  </w:pPr>
                  <w:r>
                    <w:rPr>
                      <w:rFonts w:hint="default" w:ascii="Times New Roman" w:hAnsi="Times New Roman" w:eastAsia="宋体" w:cs="Times New Roman"/>
                      <w:spacing w:val="4"/>
                      <w:sz w:val="21"/>
                      <w:szCs w:val="21"/>
                      <w:highlight w:val="none"/>
                    </w:rPr>
                    <w:t>间歇性</w:t>
                  </w:r>
                </w:p>
              </w:tc>
            </w:tr>
          </w:tbl>
          <w:p w14:paraId="54E74387">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1.4固体废物</w:t>
            </w:r>
          </w:p>
          <w:p w14:paraId="10202362">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施工期固体废物主要包括建筑垃圾、废弃的建筑材料及施工人员少量的生活垃圾。</w:t>
            </w:r>
          </w:p>
          <w:p w14:paraId="3763A92C">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2、运营期</w:t>
            </w:r>
          </w:p>
          <w:p w14:paraId="260FE5F4">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2.1大气污染物</w:t>
            </w:r>
          </w:p>
          <w:p w14:paraId="4ED22F21">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大气污染物主要有：</w:t>
            </w:r>
          </w:p>
          <w:p w14:paraId="21A012DF">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（1）除锈环节产生的粉尘。</w:t>
            </w:r>
          </w:p>
          <w:p w14:paraId="495C7CF2">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（2）本项目氢破工序</w:t>
            </w:r>
            <w:r>
              <w:rPr>
                <w:rFonts w:hint="eastAsia" w:cs="Times New Roman"/>
                <w:sz w:val="24"/>
                <w:szCs w:val="24"/>
                <w:highlight w:val="none"/>
                <w:lang w:val="en-US" w:eastAsia="zh-CN"/>
              </w:rPr>
              <w:t>脱氢后氮</w:t>
            </w:r>
            <w:r>
              <w:rPr>
                <w:rFonts w:hint="eastAsia" w:ascii="Times New Roman" w:hAnsi="Times New Roman" w:eastAsia="宋体" w:cs="Times New Roman"/>
                <w:sz w:val="24"/>
                <w:szCs w:val="24"/>
                <w:highlight w:val="none"/>
                <w:lang w:val="en-US" w:eastAsia="zh-CN"/>
              </w:rPr>
              <w:t>气置换</w:t>
            </w:r>
            <w:r>
              <w:rPr>
                <w:rFonts w:hint="eastAsia" w:cs="Times New Roman"/>
                <w:sz w:val="24"/>
                <w:szCs w:val="24"/>
                <w:highlight w:val="none"/>
                <w:lang w:val="en-US" w:eastAsia="zh-CN"/>
              </w:rPr>
              <w:t>氢气</w:t>
            </w:r>
            <w:r>
              <w:rPr>
                <w:rFonts w:hint="eastAsia" w:ascii="Times New Roman" w:hAnsi="Times New Roman" w:eastAsia="宋体" w:cs="Times New Roman"/>
                <w:sz w:val="24"/>
                <w:szCs w:val="24"/>
                <w:highlight w:val="none"/>
                <w:lang w:val="en-US" w:eastAsia="zh-CN"/>
              </w:rPr>
              <w:t>带出的含尘废气。</w:t>
            </w:r>
          </w:p>
          <w:p w14:paraId="72E48364">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3</w:t>
            </w:r>
            <w:r>
              <w:rPr>
                <w:rFonts w:hint="eastAsia" w:ascii="Times New Roman" w:hAnsi="Times New Roman" w:eastAsia="宋体" w:cs="Times New Roman"/>
                <w:sz w:val="24"/>
                <w:szCs w:val="24"/>
                <w:highlight w:val="none"/>
                <w:lang w:val="en-US" w:eastAsia="zh-CN"/>
              </w:rPr>
              <w:t>）本项目烧结抽真空过程排放非甲烷总烃。</w:t>
            </w:r>
          </w:p>
          <w:p w14:paraId="4E1F9734">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4</w:t>
            </w:r>
            <w:r>
              <w:rPr>
                <w:rFonts w:hint="eastAsia" w:ascii="Times New Roman" w:hAnsi="Times New Roman" w:eastAsia="宋体" w:cs="Times New Roman"/>
                <w:sz w:val="24"/>
                <w:szCs w:val="24"/>
                <w:highlight w:val="none"/>
                <w:lang w:val="en-US" w:eastAsia="zh-CN"/>
              </w:rPr>
              <w:t>）本项目</w:t>
            </w:r>
            <w:r>
              <w:rPr>
                <w:rFonts w:hint="eastAsia" w:cs="Times New Roman"/>
                <w:sz w:val="24"/>
                <w:szCs w:val="24"/>
                <w:highlight w:val="none"/>
                <w:lang w:val="en-US" w:eastAsia="zh-CN"/>
              </w:rPr>
              <w:t>压型</w:t>
            </w:r>
            <w:r>
              <w:rPr>
                <w:rFonts w:hint="eastAsia" w:ascii="Times New Roman" w:hAnsi="Times New Roman" w:eastAsia="宋体" w:cs="Times New Roman"/>
                <w:sz w:val="24"/>
                <w:szCs w:val="24"/>
                <w:highlight w:val="none"/>
                <w:lang w:val="en-US" w:eastAsia="zh-CN"/>
              </w:rPr>
              <w:t>过程使用液压</w:t>
            </w:r>
            <w:r>
              <w:rPr>
                <w:rFonts w:hint="eastAsia" w:cs="Times New Roman"/>
                <w:sz w:val="24"/>
                <w:szCs w:val="24"/>
                <w:highlight w:val="none"/>
                <w:lang w:val="en-US" w:eastAsia="zh-CN"/>
              </w:rPr>
              <w:t>油</w:t>
            </w:r>
            <w:r>
              <w:rPr>
                <w:rFonts w:hint="eastAsia" w:ascii="Times New Roman" w:hAnsi="Times New Roman" w:eastAsia="宋体" w:cs="Times New Roman"/>
                <w:sz w:val="24"/>
                <w:szCs w:val="24"/>
                <w:highlight w:val="none"/>
                <w:lang w:val="en-US" w:eastAsia="zh-CN"/>
              </w:rPr>
              <w:t>，排放非甲烷总烃。</w:t>
            </w:r>
          </w:p>
          <w:p w14:paraId="7167733C">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2.2水污染物</w:t>
            </w:r>
          </w:p>
          <w:p w14:paraId="5BD88C26">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（1）生产废水</w:t>
            </w:r>
          </w:p>
          <w:p w14:paraId="0416059B">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cs="Times New Roman"/>
                <w:sz w:val="24"/>
                <w:szCs w:val="24"/>
                <w:highlight w:val="none"/>
                <w:lang w:val="en-US" w:eastAsia="zh-CN"/>
              </w:rPr>
              <w:t>循环冷却水排水</w:t>
            </w:r>
            <w:r>
              <w:rPr>
                <w:rFonts w:hint="eastAsia" w:ascii="Times New Roman" w:hAnsi="Times New Roman" w:eastAsia="宋体" w:cs="Times New Roman"/>
                <w:sz w:val="24"/>
                <w:szCs w:val="24"/>
                <w:highlight w:val="none"/>
                <w:lang w:val="en-US" w:eastAsia="zh-CN"/>
              </w:rPr>
              <w:t>主要为</w:t>
            </w:r>
            <w:r>
              <w:rPr>
                <w:rFonts w:hint="default" w:ascii="Times New Roman" w:hAnsi="Times New Roman" w:eastAsia="宋体" w:cs="Times New Roman"/>
                <w:sz w:val="24"/>
                <w:szCs w:val="24"/>
                <w:highlight w:val="none"/>
                <w:lang w:val="en-US" w:eastAsia="zh-CN"/>
              </w:rPr>
              <w:t>铸片炉</w:t>
            </w:r>
            <w:r>
              <w:rPr>
                <w:rFonts w:hint="eastAsia" w:ascii="Times New Roman" w:hAnsi="Times New Roman" w:eastAsia="宋体" w:cs="Times New Roman"/>
                <w:sz w:val="24"/>
                <w:szCs w:val="24"/>
                <w:highlight w:val="none"/>
                <w:lang w:val="en-US" w:eastAsia="zh-CN"/>
              </w:rPr>
              <w:t>、氢碎炉、</w:t>
            </w:r>
            <w:r>
              <w:rPr>
                <w:rFonts w:hint="default" w:ascii="Times New Roman" w:hAnsi="Times New Roman" w:eastAsia="宋体" w:cs="Times New Roman"/>
                <w:sz w:val="24"/>
                <w:szCs w:val="24"/>
                <w:highlight w:val="none"/>
                <w:lang w:val="en-US" w:eastAsia="zh-CN"/>
              </w:rPr>
              <w:t>气流磨、成型压机、烧结炉等设备循环冷却水</w:t>
            </w:r>
            <w:r>
              <w:rPr>
                <w:rFonts w:hint="eastAsia" w:ascii="Times New Roman" w:hAnsi="Times New Roman" w:eastAsia="宋体" w:cs="Times New Roman"/>
                <w:sz w:val="24"/>
                <w:szCs w:val="24"/>
                <w:highlight w:val="none"/>
                <w:lang w:val="en-US" w:eastAsia="zh-CN"/>
              </w:rPr>
              <w:t>，这部分水循环使用，</w:t>
            </w:r>
            <w:r>
              <w:rPr>
                <w:rFonts w:hint="default" w:ascii="Times New Roman" w:hAnsi="Times New Roman" w:eastAsia="宋体" w:cs="Times New Roman"/>
                <w:sz w:val="24"/>
                <w:szCs w:val="24"/>
                <w:highlight w:val="none"/>
                <w:lang w:val="en-US" w:eastAsia="zh-CN"/>
              </w:rPr>
              <w:t>为保持冷却水水质稳定，</w:t>
            </w:r>
            <w:r>
              <w:rPr>
                <w:rFonts w:hint="default" w:ascii="Times New Roman" w:hAnsi="Times New Roman" w:eastAsia="宋体" w:cs="Times New Roman"/>
                <w:color w:val="auto"/>
                <w:sz w:val="24"/>
                <w:szCs w:val="24"/>
                <w:highlight w:val="none"/>
                <w:lang w:val="en-US" w:eastAsia="zh-CN"/>
              </w:rPr>
              <w:t>需定期排放</w:t>
            </w:r>
            <w:r>
              <w:rPr>
                <w:rFonts w:hint="eastAsia" w:cs="Times New Roman"/>
                <w:color w:val="auto"/>
                <w:sz w:val="24"/>
                <w:szCs w:val="24"/>
                <w:highlight w:val="none"/>
                <w:lang w:val="en-US" w:eastAsia="zh-CN"/>
              </w:rPr>
              <w:t>，用作办公区域地面清洁</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湿法作业排水主要为</w:t>
            </w:r>
            <w:r>
              <w:rPr>
                <w:rFonts w:hint="eastAsia" w:ascii="Times New Roman" w:hAnsi="Times New Roman" w:eastAsia="宋体" w:cs="Times New Roman"/>
                <w:sz w:val="24"/>
                <w:szCs w:val="24"/>
                <w:highlight w:val="none"/>
                <w:lang w:val="en-US" w:eastAsia="zh-CN"/>
              </w:rPr>
              <w:t>磨床、切割的生产过程</w:t>
            </w:r>
            <w:r>
              <w:rPr>
                <w:rFonts w:hint="eastAsia" w:cs="Times New Roman"/>
                <w:sz w:val="24"/>
                <w:szCs w:val="24"/>
                <w:highlight w:val="none"/>
                <w:lang w:val="en-US" w:eastAsia="zh-CN"/>
              </w:rPr>
              <w:t>中被磨泥带走的水量，经压滤后回用于湿法作业。</w:t>
            </w:r>
          </w:p>
          <w:p w14:paraId="5F749636">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（2）生活污水</w:t>
            </w:r>
          </w:p>
          <w:p w14:paraId="7C95A649">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厂内职工生活产生少量生活污水。</w:t>
            </w:r>
          </w:p>
          <w:p w14:paraId="4EE9EA14">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2.3、固体废弃物</w:t>
            </w:r>
          </w:p>
          <w:p w14:paraId="3766564F">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固废包括工业固体废物和生活垃圾。其中，工业固废包括一般固废和危险固废。其中一般工业固体废物主要有原料产生的废包装材料，切割、磨加工产生的磨泥和废边角料以及袋式除尘器产生的废布袋及除尘灰。危险废物主要有设备润滑产生的废润滑油，真空泵产生的真空泵废油，等静压工序产生的废液压油、沾染液压油的废塑料袋，烧结抽真空工序废气治理产生的废活性炭。</w:t>
            </w:r>
          </w:p>
          <w:p w14:paraId="6A3EA825">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2.4、噪声</w:t>
            </w:r>
          </w:p>
          <w:p w14:paraId="6C8DF0D9">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highlight w:val="none"/>
                <w:lang w:val="en-US" w:eastAsia="zh-CN"/>
              </w:rPr>
            </w:pPr>
            <w:r>
              <w:rPr>
                <w:rFonts w:hint="eastAsia" w:ascii="Times New Roman" w:hAnsi="Times New Roman" w:eastAsia="宋体" w:cs="Times New Roman"/>
                <w:sz w:val="24"/>
                <w:szCs w:val="24"/>
                <w:highlight w:val="none"/>
                <w:lang w:val="en-US" w:eastAsia="zh-CN"/>
              </w:rPr>
              <w:t>项目建成后，噪声主要来自生产设备噪声，噪声声级值在</w:t>
            </w:r>
            <w:r>
              <w:rPr>
                <w:rFonts w:hint="eastAsia" w:cs="Times New Roman"/>
                <w:sz w:val="24"/>
                <w:szCs w:val="24"/>
                <w:highlight w:val="none"/>
                <w:lang w:val="en-US" w:eastAsia="zh-CN"/>
              </w:rPr>
              <w:t>65</w:t>
            </w:r>
            <w:r>
              <w:rPr>
                <w:rFonts w:hint="eastAsia" w:ascii="Times New Roman" w:hAnsi="Times New Roman" w:eastAsia="宋体" w:cs="Times New Roman"/>
                <w:sz w:val="24"/>
                <w:szCs w:val="24"/>
                <w:highlight w:val="none"/>
                <w:lang w:val="en-US" w:eastAsia="zh-CN"/>
              </w:rPr>
              <w:t>dB</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A</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130</w:t>
            </w:r>
            <w:r>
              <w:rPr>
                <w:rFonts w:hint="eastAsia" w:ascii="Times New Roman" w:hAnsi="Times New Roman" w:eastAsia="宋体" w:cs="Times New Roman"/>
                <w:sz w:val="24"/>
                <w:szCs w:val="24"/>
                <w:highlight w:val="none"/>
                <w:lang w:val="en-US" w:eastAsia="zh-CN"/>
              </w:rPr>
              <w:t>dB</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A</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之间。</w:t>
            </w:r>
          </w:p>
        </w:tc>
      </w:tr>
      <w:tr w14:paraId="28E032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trHeight w:val="283" w:hRule="atLeast"/>
          <w:jc w:val="center"/>
        </w:trPr>
        <w:tc>
          <w:tcPr>
            <w:tcW w:w="823" w:type="dxa"/>
            <w:noWrap w:val="0"/>
            <w:vAlign w:val="center"/>
          </w:tcPr>
          <w:p w14:paraId="0436D753">
            <w:pPr>
              <w:pStyle w:val="19"/>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exact"/>
              <w:jc w:val="center"/>
              <w:textAlignment w:val="auto"/>
              <w:rPr>
                <w:rFonts w:cs="宋体"/>
                <w:sz w:val="21"/>
                <w:szCs w:val="21"/>
                <w:highlight w:val="none"/>
              </w:rPr>
            </w:pPr>
            <w:r>
              <w:rPr>
                <w:rFonts w:hint="eastAsia" w:cs="宋体"/>
                <w:bCs/>
                <w:kern w:val="2"/>
                <w:sz w:val="21"/>
                <w:szCs w:val="21"/>
                <w:highlight w:val="none"/>
              </w:rPr>
              <w:t>与项目有关的原有环境污染问题</w:t>
            </w:r>
          </w:p>
        </w:tc>
        <w:tc>
          <w:tcPr>
            <w:tcW w:w="8161" w:type="dxa"/>
            <w:noWrap w:val="0"/>
            <w:vAlign w:val="center"/>
          </w:tcPr>
          <w:p w14:paraId="0FD4369F">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highlight w:val="none"/>
                <w:lang w:val="en-US" w:eastAsia="zh-CN"/>
              </w:rPr>
            </w:pPr>
          </w:p>
          <w:p w14:paraId="448B6117">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highlight w:val="none"/>
                <w:lang w:val="en-US" w:eastAsia="zh-CN"/>
              </w:rPr>
            </w:pPr>
          </w:p>
          <w:p w14:paraId="784B0093">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highlight w:val="none"/>
                <w:lang w:val="en-US" w:eastAsia="zh-CN"/>
              </w:rPr>
            </w:pPr>
          </w:p>
          <w:p w14:paraId="479ED331">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highlight w:val="none"/>
                <w:lang w:val="en-US" w:eastAsia="zh-CN"/>
              </w:rPr>
            </w:pPr>
          </w:p>
          <w:p w14:paraId="6ABB6220">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highlight w:val="none"/>
                <w:lang w:val="en-US" w:eastAsia="zh-CN"/>
              </w:rPr>
            </w:pPr>
          </w:p>
          <w:p w14:paraId="558D3DD2">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highlight w:val="none"/>
                <w:lang w:val="en-US" w:eastAsia="zh-CN"/>
              </w:rPr>
            </w:pPr>
            <w:r>
              <w:rPr>
                <w:rFonts w:hint="eastAsia"/>
                <w:sz w:val="24"/>
                <w:szCs w:val="24"/>
                <w:highlight w:val="none"/>
                <w:lang w:val="en-US" w:eastAsia="zh-CN"/>
              </w:rPr>
              <w:t>本项目为山西华晋磁材科技有限公司年产1000吨钕铁硼生产线项目（二期），一期工程（年产1000吨钕铁硼生产线项目）位于壶关县集店镇杜家河村，项目于2024年6月14日取得项目备案证，委托山西绿洲阳光环保科技有限公司编制了环境影响评价报告表，并于2024年9月18日通过了技术审查会，后因建设单位贷款问题，一期工程于取得环评批复前中止，未进行建设。</w:t>
            </w:r>
          </w:p>
          <w:p w14:paraId="3FA782A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highlight w:val="none"/>
                <w:lang w:val="en-US" w:eastAsia="zh-CN"/>
              </w:rPr>
            </w:pPr>
            <w:r>
              <w:rPr>
                <w:rFonts w:hint="default"/>
                <w:sz w:val="24"/>
                <w:szCs w:val="24"/>
                <w:highlight w:val="none"/>
                <w:lang w:val="en-US" w:eastAsia="zh-CN"/>
              </w:rPr>
              <w:t>本项目</w:t>
            </w:r>
            <w:r>
              <w:rPr>
                <w:rFonts w:hint="eastAsia"/>
                <w:sz w:val="24"/>
                <w:szCs w:val="24"/>
                <w:highlight w:val="none"/>
                <w:lang w:val="en-US" w:eastAsia="zh-CN"/>
              </w:rPr>
              <w:t>为新建项目，</w:t>
            </w:r>
            <w:r>
              <w:rPr>
                <w:rFonts w:hint="default"/>
                <w:sz w:val="24"/>
                <w:szCs w:val="24"/>
                <w:highlight w:val="none"/>
                <w:lang w:val="en-US" w:eastAsia="zh-CN"/>
              </w:rPr>
              <w:t>位于山西省长治市壶关县</w:t>
            </w:r>
            <w:r>
              <w:rPr>
                <w:rFonts w:hint="eastAsia"/>
                <w:sz w:val="24"/>
                <w:szCs w:val="24"/>
                <w:highlight w:val="none"/>
                <w:lang w:val="en-US" w:eastAsia="zh-CN"/>
              </w:rPr>
              <w:t>集店镇集店村东，项目占地租用山西长东盛业投资开发有限公司空地，经调查2014年至今，该地一直为荒地，空地上未进行过工业生产活动，</w:t>
            </w:r>
            <w:r>
              <w:rPr>
                <w:rFonts w:hint="default"/>
                <w:sz w:val="24"/>
                <w:szCs w:val="24"/>
                <w:highlight w:val="none"/>
                <w:lang w:val="en-US" w:eastAsia="zh-CN"/>
              </w:rPr>
              <w:t>山西长东盛业投资开发有限公司是一家</w:t>
            </w:r>
            <w:r>
              <w:rPr>
                <w:rFonts w:hint="eastAsia"/>
                <w:sz w:val="24"/>
                <w:szCs w:val="24"/>
                <w:highlight w:val="none"/>
                <w:lang w:val="en-US" w:eastAsia="zh-CN"/>
              </w:rPr>
              <w:t>主要从事园区各类基础设施、标准化厂房及管网配套项目的有限责任公司，公司委托</w:t>
            </w:r>
            <w:r>
              <w:rPr>
                <w:rFonts w:hint="default"/>
                <w:sz w:val="24"/>
                <w:szCs w:val="24"/>
                <w:highlight w:val="none"/>
                <w:lang w:val="en-US" w:eastAsia="zh-CN"/>
              </w:rPr>
              <w:t>山西长东盛业投资开发有限公司</w:t>
            </w:r>
            <w:r>
              <w:rPr>
                <w:rFonts w:hint="eastAsia"/>
                <w:sz w:val="24"/>
                <w:szCs w:val="24"/>
                <w:highlight w:val="none"/>
                <w:lang w:val="en-US" w:eastAsia="zh-CN"/>
              </w:rPr>
              <w:t>进行项目的厂房建设工作。</w:t>
            </w:r>
          </w:p>
          <w:p w14:paraId="72D4D63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highlight w:val="none"/>
                <w:lang w:val="en-US" w:eastAsia="zh-CN"/>
              </w:rPr>
            </w:pPr>
            <w:r>
              <w:rPr>
                <w:rFonts w:hint="eastAsia"/>
                <w:sz w:val="24"/>
                <w:szCs w:val="24"/>
                <w:highlight w:val="none"/>
                <w:lang w:val="en-US" w:eastAsia="zh-CN"/>
              </w:rPr>
              <w:t>经过调查，现场无遗留的建筑物，无原有污染环境问题。</w:t>
            </w:r>
          </w:p>
          <w:p w14:paraId="4D8BA39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highlight w:val="none"/>
                <w:lang w:val="en-US" w:eastAsia="zh-CN"/>
              </w:rPr>
            </w:pPr>
          </w:p>
          <w:p w14:paraId="4CCB8EC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highlight w:val="none"/>
                <w:lang w:val="en-US" w:eastAsia="zh-CN"/>
              </w:rPr>
            </w:pPr>
          </w:p>
          <w:p w14:paraId="46F1A41E">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highlight w:val="none"/>
                <w:lang w:val="en-US" w:eastAsia="zh-CN"/>
              </w:rPr>
            </w:pPr>
          </w:p>
          <w:p w14:paraId="700C7884">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highlight w:val="none"/>
                <w:lang w:val="en-US" w:eastAsia="zh-CN"/>
              </w:rPr>
            </w:pPr>
          </w:p>
          <w:p w14:paraId="121A81D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highlight w:val="none"/>
                <w:lang w:val="en-US" w:eastAsia="zh-CN"/>
              </w:rPr>
            </w:pPr>
          </w:p>
        </w:tc>
      </w:tr>
    </w:tbl>
    <w:p w14:paraId="4C10DE5C">
      <w:pPr>
        <w:pStyle w:val="19"/>
        <w:jc w:val="center"/>
        <w:rPr>
          <w:rFonts w:ascii="黑体" w:hAnsi="黑体" w:eastAsia="黑体"/>
          <w:snapToGrid w:val="0"/>
          <w:sz w:val="36"/>
          <w:szCs w:val="36"/>
          <w:highlight w:val="none"/>
        </w:rPr>
        <w:sectPr>
          <w:pgSz w:w="11906" w:h="16838"/>
          <w:pgMar w:top="1701" w:right="1531" w:bottom="1701" w:left="1531" w:header="851" w:footer="1304" w:gutter="0"/>
          <w:pgBorders>
            <w:top w:val="none" w:sz="0" w:space="0"/>
            <w:left w:val="none" w:sz="0" w:space="0"/>
            <w:bottom w:val="none" w:sz="0" w:space="0"/>
            <w:right w:val="none" w:sz="0" w:space="0"/>
          </w:pgBorders>
          <w:pgNumType w:fmt="decimal"/>
          <w:cols w:space="720" w:num="1"/>
          <w:docGrid w:linePitch="312" w:charSpace="0"/>
        </w:sectPr>
      </w:pPr>
    </w:p>
    <w:p w14:paraId="13CEFD68">
      <w:pPr>
        <w:pStyle w:val="19"/>
        <w:adjustRightInd w:val="0"/>
        <w:snapToGrid w:val="0"/>
        <w:spacing w:before="0" w:beforeAutospacing="0" w:after="0" w:afterAutospacing="0" w:line="14" w:lineRule="auto"/>
        <w:jc w:val="center"/>
        <w:outlineLvl w:val="9"/>
        <w:rPr>
          <w:rFonts w:hint="eastAsia" w:ascii="黑体" w:hAnsi="黑体" w:eastAsia="黑体"/>
          <w:snapToGrid w:val="0"/>
          <w:sz w:val="30"/>
          <w:szCs w:val="30"/>
          <w:highlight w:val="none"/>
        </w:rPr>
      </w:pPr>
    </w:p>
    <w:p w14:paraId="35AA364D">
      <w:pPr>
        <w:pStyle w:val="19"/>
        <w:jc w:val="center"/>
        <w:outlineLvl w:val="0"/>
        <w:rPr>
          <w:rFonts w:ascii="黑体" w:hAnsi="黑体" w:eastAsia="黑体"/>
          <w:snapToGrid w:val="0"/>
          <w:sz w:val="30"/>
          <w:szCs w:val="30"/>
          <w:highlight w:val="none"/>
        </w:rPr>
      </w:pPr>
      <w:bookmarkStart w:id="4" w:name="_Toc19959"/>
      <w:r>
        <w:rPr>
          <w:rFonts w:hint="eastAsia" w:ascii="黑体" w:hAnsi="黑体" w:eastAsia="黑体"/>
          <w:snapToGrid w:val="0"/>
          <w:sz w:val="30"/>
          <w:szCs w:val="30"/>
          <w:highlight w:val="none"/>
        </w:rPr>
        <w:t>三、区域环境质量现状、环境保护目标及评价标准</w:t>
      </w:r>
      <w:bookmarkEnd w:id="4"/>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28" w:type="dxa"/>
          <w:left w:w="57" w:type="dxa"/>
          <w:bottom w:w="28" w:type="dxa"/>
          <w:right w:w="57" w:type="dxa"/>
        </w:tblCellMar>
      </w:tblPr>
      <w:tblGrid>
        <w:gridCol w:w="344"/>
        <w:gridCol w:w="8615"/>
      </w:tblGrid>
      <w:tr w14:paraId="774DA2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283" w:hRule="atLeast"/>
          <w:jc w:val="center"/>
        </w:trPr>
        <w:tc>
          <w:tcPr>
            <w:tcW w:w="0" w:type="auto"/>
            <w:noWrap w:val="0"/>
            <w:vAlign w:val="center"/>
          </w:tcPr>
          <w:p w14:paraId="31401839">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区域</w:t>
            </w:r>
          </w:p>
          <w:p w14:paraId="4EE52810">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环境</w:t>
            </w:r>
          </w:p>
          <w:p w14:paraId="19452E81">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质量</w:t>
            </w:r>
          </w:p>
          <w:p w14:paraId="6825E4B9">
            <w:pPr>
              <w:keepNext w:val="0"/>
              <w:keepLines w:val="0"/>
              <w:pageBreakBefore w:val="0"/>
              <w:widowControl w:val="0"/>
              <w:kinsoku/>
              <w:wordWrap/>
              <w:overflowPunct/>
              <w:topLinePunct w:val="0"/>
              <w:autoSpaceDE/>
              <w:autoSpaceDN/>
              <w:bidi w:val="0"/>
              <w:adjustRightInd w:val="0"/>
              <w:snapToGrid w:val="0"/>
              <w:jc w:val="center"/>
              <w:rPr>
                <w:rFonts w:ascii="宋体" w:hAnsi="宋体" w:cs="宋体"/>
                <w:kern w:val="0"/>
                <w:szCs w:val="21"/>
                <w:highlight w:val="none"/>
              </w:rPr>
            </w:pPr>
            <w:r>
              <w:rPr>
                <w:rFonts w:hint="eastAsia" w:ascii="宋体" w:hAnsi="宋体" w:cs="宋体"/>
                <w:kern w:val="0"/>
                <w:szCs w:val="21"/>
                <w:highlight w:val="none"/>
              </w:rPr>
              <w:t>现状</w:t>
            </w:r>
          </w:p>
        </w:tc>
        <w:tc>
          <w:tcPr>
            <w:tcW w:w="0" w:type="auto"/>
            <w:noWrap w:val="0"/>
            <w:vAlign w:val="center"/>
          </w:tcPr>
          <w:p w14:paraId="5F47348B">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一、大气环境质量现状</w:t>
            </w:r>
          </w:p>
          <w:p w14:paraId="6083A966">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1、基本污染物环境质量现状及达标区判定</w:t>
            </w:r>
          </w:p>
          <w:p w14:paraId="4BC4049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本次评价收集了壶关县202</w:t>
            </w:r>
            <w:r>
              <w:rPr>
                <w:rFonts w:hint="eastAsia" w:cs="Times New Roman"/>
                <w:sz w:val="24"/>
                <w:szCs w:val="24"/>
                <w:highlight w:val="none"/>
                <w:lang w:val="en-US" w:eastAsia="zh-CN"/>
              </w:rPr>
              <w:t>4</w:t>
            </w:r>
            <w:r>
              <w:rPr>
                <w:rFonts w:hint="eastAsia" w:ascii="Times New Roman" w:hAnsi="Times New Roman" w:eastAsia="宋体" w:cs="Times New Roman"/>
                <w:sz w:val="24"/>
                <w:szCs w:val="24"/>
                <w:highlight w:val="none"/>
                <w:lang w:val="en-US" w:eastAsia="zh-CN"/>
              </w:rPr>
              <w:t>年的例行监测数据，监测数据见表3-1。</w:t>
            </w:r>
          </w:p>
          <w:p w14:paraId="6F02A932">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表3-1  区域环境空气质量达标情况表</w:t>
            </w:r>
          </w:p>
          <w:tbl>
            <w:tblPr>
              <w:tblStyle w:val="2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60"/>
              <w:gridCol w:w="1566"/>
              <w:gridCol w:w="1645"/>
              <w:gridCol w:w="1500"/>
              <w:gridCol w:w="1099"/>
              <w:gridCol w:w="999"/>
              <w:gridCol w:w="829"/>
            </w:tblGrid>
            <w:tr w14:paraId="6D64E1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807" w:type="dxa"/>
                  <w:tcBorders>
                    <w:tl2br w:val="nil"/>
                    <w:tr2bl w:val="nil"/>
                  </w:tcBorders>
                  <w:noWrap w:val="0"/>
                  <w:vAlign w:val="center"/>
                </w:tcPr>
                <w:p w14:paraId="1064739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监测项目</w:t>
                  </w:r>
                </w:p>
              </w:tc>
              <w:tc>
                <w:tcPr>
                  <w:tcW w:w="1469" w:type="dxa"/>
                  <w:tcBorders>
                    <w:tl2br w:val="nil"/>
                    <w:tr2bl w:val="nil"/>
                  </w:tcBorders>
                  <w:noWrap w:val="0"/>
                  <w:vAlign w:val="center"/>
                </w:tcPr>
                <w:p w14:paraId="5A95E9A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评价指标</w:t>
                  </w:r>
                </w:p>
              </w:tc>
              <w:tc>
                <w:tcPr>
                  <w:tcW w:w="1543" w:type="dxa"/>
                  <w:tcBorders>
                    <w:tl2br w:val="nil"/>
                    <w:tr2bl w:val="nil"/>
                  </w:tcBorders>
                  <w:noWrap w:val="0"/>
                  <w:vAlign w:val="center"/>
                </w:tcPr>
                <w:p w14:paraId="12F381A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现状浓度（μg/Nm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vertAlign w:val="baseline"/>
                      <w:lang w:val="en-US" w:eastAsia="zh-CN"/>
                    </w:rPr>
                    <w:t>）</w:t>
                  </w:r>
                </w:p>
              </w:tc>
              <w:tc>
                <w:tcPr>
                  <w:tcW w:w="1407" w:type="dxa"/>
                  <w:tcBorders>
                    <w:tl2br w:val="nil"/>
                    <w:tr2bl w:val="nil"/>
                  </w:tcBorders>
                  <w:noWrap w:val="0"/>
                  <w:vAlign w:val="center"/>
                </w:tcPr>
                <w:p w14:paraId="20927EB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标准值（μg/Nm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vertAlign w:val="baseline"/>
                      <w:lang w:val="en-US" w:eastAsia="zh-CN"/>
                    </w:rPr>
                    <w:t>）</w:t>
                  </w:r>
                </w:p>
              </w:tc>
              <w:tc>
                <w:tcPr>
                  <w:tcW w:w="1031" w:type="dxa"/>
                  <w:tcBorders>
                    <w:tl2br w:val="nil"/>
                    <w:tr2bl w:val="nil"/>
                  </w:tcBorders>
                  <w:noWrap w:val="0"/>
                  <w:vAlign w:val="center"/>
                </w:tcPr>
                <w:p w14:paraId="6277E5A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占标率（%）</w:t>
                  </w:r>
                </w:p>
              </w:tc>
              <w:tc>
                <w:tcPr>
                  <w:tcW w:w="937" w:type="dxa"/>
                  <w:tcBorders>
                    <w:tl2br w:val="nil"/>
                    <w:tr2bl w:val="nil"/>
                  </w:tcBorders>
                  <w:noWrap w:val="0"/>
                  <w:vAlign w:val="center"/>
                </w:tcPr>
                <w:p w14:paraId="3FA414F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超标率（%）</w:t>
                  </w:r>
                </w:p>
              </w:tc>
              <w:tc>
                <w:tcPr>
                  <w:tcW w:w="777" w:type="dxa"/>
                  <w:tcBorders>
                    <w:tl2br w:val="nil"/>
                    <w:tr2bl w:val="nil"/>
                  </w:tcBorders>
                  <w:noWrap w:val="0"/>
                  <w:vAlign w:val="center"/>
                </w:tcPr>
                <w:p w14:paraId="74A7C92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达标情况</w:t>
                  </w:r>
                </w:p>
              </w:tc>
            </w:tr>
            <w:tr w14:paraId="31E70F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807" w:type="dxa"/>
                  <w:tcBorders>
                    <w:tl2br w:val="nil"/>
                    <w:tr2bl w:val="nil"/>
                  </w:tcBorders>
                  <w:noWrap w:val="0"/>
                  <w:vAlign w:val="center"/>
                </w:tcPr>
                <w:p w14:paraId="1422510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r>
                    <w:rPr>
                      <w:rFonts w:hint="eastAsia" w:ascii="Times New Roman" w:hAnsi="Times New Roman" w:eastAsia="宋体" w:cs="Times New Roman"/>
                      <w:sz w:val="21"/>
                      <w:szCs w:val="21"/>
                      <w:highlight w:val="none"/>
                      <w:vertAlign w:val="baseline"/>
                      <w:lang w:val="en-US" w:eastAsia="zh-CN"/>
                    </w:rPr>
                    <w:t>PM</w:t>
                  </w:r>
                  <w:r>
                    <w:rPr>
                      <w:rFonts w:hint="eastAsia" w:ascii="Times New Roman" w:hAnsi="Times New Roman" w:eastAsia="宋体" w:cs="Times New Roman"/>
                      <w:sz w:val="21"/>
                      <w:szCs w:val="21"/>
                      <w:highlight w:val="none"/>
                      <w:vertAlign w:val="subscript"/>
                      <w:lang w:val="en-US" w:eastAsia="zh-CN"/>
                    </w:rPr>
                    <w:t>10</w:t>
                  </w:r>
                </w:p>
              </w:tc>
              <w:tc>
                <w:tcPr>
                  <w:tcW w:w="1469" w:type="dxa"/>
                  <w:vMerge w:val="restart"/>
                  <w:tcBorders>
                    <w:tl2br w:val="nil"/>
                    <w:tr2bl w:val="nil"/>
                  </w:tcBorders>
                  <w:noWrap w:val="0"/>
                  <w:vAlign w:val="center"/>
                </w:tcPr>
                <w:p w14:paraId="1E8D360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年平均质量浓度</w:t>
                  </w:r>
                </w:p>
              </w:tc>
              <w:tc>
                <w:tcPr>
                  <w:tcW w:w="1543" w:type="dxa"/>
                  <w:tcBorders>
                    <w:tl2br w:val="nil"/>
                    <w:tr2bl w:val="nil"/>
                  </w:tcBorders>
                  <w:noWrap w:val="0"/>
                  <w:vAlign w:val="center"/>
                </w:tcPr>
                <w:p w14:paraId="284C5F7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68</w:t>
                  </w:r>
                </w:p>
              </w:tc>
              <w:tc>
                <w:tcPr>
                  <w:tcW w:w="1407" w:type="dxa"/>
                  <w:tcBorders>
                    <w:tl2br w:val="nil"/>
                    <w:tr2bl w:val="nil"/>
                  </w:tcBorders>
                  <w:noWrap w:val="0"/>
                  <w:vAlign w:val="center"/>
                </w:tcPr>
                <w:p w14:paraId="7CB786D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70</w:t>
                  </w:r>
                </w:p>
              </w:tc>
              <w:tc>
                <w:tcPr>
                  <w:tcW w:w="1031" w:type="dxa"/>
                  <w:tcBorders>
                    <w:tl2br w:val="nil"/>
                    <w:tr2bl w:val="nil"/>
                  </w:tcBorders>
                  <w:noWrap w:val="0"/>
                  <w:vAlign w:val="center"/>
                </w:tcPr>
                <w:p w14:paraId="3C4BBEC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97.14</w:t>
                  </w:r>
                </w:p>
              </w:tc>
              <w:tc>
                <w:tcPr>
                  <w:tcW w:w="937" w:type="dxa"/>
                  <w:tcBorders>
                    <w:tl2br w:val="nil"/>
                    <w:tr2bl w:val="nil"/>
                  </w:tcBorders>
                  <w:noWrap w:val="0"/>
                  <w:vAlign w:val="center"/>
                </w:tcPr>
                <w:p w14:paraId="6486FC1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w:t>
                  </w:r>
                </w:p>
              </w:tc>
              <w:tc>
                <w:tcPr>
                  <w:tcW w:w="777" w:type="dxa"/>
                  <w:tcBorders>
                    <w:tl2br w:val="nil"/>
                    <w:tr2bl w:val="nil"/>
                  </w:tcBorders>
                  <w:noWrap w:val="0"/>
                  <w:vAlign w:val="center"/>
                </w:tcPr>
                <w:p w14:paraId="7790188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不达标</w:t>
                  </w:r>
                </w:p>
              </w:tc>
            </w:tr>
            <w:tr w14:paraId="45F21E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807" w:type="dxa"/>
                  <w:tcBorders>
                    <w:tl2br w:val="nil"/>
                    <w:tr2bl w:val="nil"/>
                  </w:tcBorders>
                  <w:noWrap w:val="0"/>
                  <w:vAlign w:val="center"/>
                </w:tcPr>
                <w:p w14:paraId="05F3D2E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r>
                    <w:rPr>
                      <w:rFonts w:hint="eastAsia" w:ascii="Times New Roman" w:hAnsi="Times New Roman" w:eastAsia="宋体" w:cs="Times New Roman"/>
                      <w:sz w:val="21"/>
                      <w:szCs w:val="21"/>
                      <w:highlight w:val="none"/>
                      <w:vertAlign w:val="baseline"/>
                      <w:lang w:val="en-US" w:eastAsia="zh-CN"/>
                    </w:rPr>
                    <w:t>PM</w:t>
                  </w:r>
                  <w:r>
                    <w:rPr>
                      <w:rFonts w:hint="eastAsia" w:ascii="Times New Roman" w:hAnsi="Times New Roman" w:eastAsia="宋体" w:cs="Times New Roman"/>
                      <w:sz w:val="21"/>
                      <w:szCs w:val="21"/>
                      <w:highlight w:val="none"/>
                      <w:vertAlign w:val="subscript"/>
                      <w:lang w:val="en-US" w:eastAsia="zh-CN"/>
                    </w:rPr>
                    <w:t>2.5</w:t>
                  </w:r>
                </w:p>
              </w:tc>
              <w:tc>
                <w:tcPr>
                  <w:tcW w:w="1469" w:type="dxa"/>
                  <w:vMerge w:val="continue"/>
                  <w:tcBorders>
                    <w:tl2br w:val="nil"/>
                    <w:tr2bl w:val="nil"/>
                  </w:tcBorders>
                  <w:noWrap w:val="0"/>
                  <w:vAlign w:val="center"/>
                </w:tcPr>
                <w:p w14:paraId="04FE030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543" w:type="dxa"/>
                  <w:tcBorders>
                    <w:tl2br w:val="nil"/>
                    <w:tr2bl w:val="nil"/>
                  </w:tcBorders>
                  <w:noWrap w:val="0"/>
                  <w:vAlign w:val="center"/>
                </w:tcPr>
                <w:p w14:paraId="2E5356C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34</w:t>
                  </w:r>
                </w:p>
              </w:tc>
              <w:tc>
                <w:tcPr>
                  <w:tcW w:w="1407" w:type="dxa"/>
                  <w:tcBorders>
                    <w:tl2br w:val="nil"/>
                    <w:tr2bl w:val="nil"/>
                  </w:tcBorders>
                  <w:noWrap w:val="0"/>
                  <w:vAlign w:val="center"/>
                </w:tcPr>
                <w:p w14:paraId="39139EC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35</w:t>
                  </w:r>
                </w:p>
              </w:tc>
              <w:tc>
                <w:tcPr>
                  <w:tcW w:w="1031" w:type="dxa"/>
                  <w:tcBorders>
                    <w:tl2br w:val="nil"/>
                    <w:tr2bl w:val="nil"/>
                  </w:tcBorders>
                  <w:noWrap w:val="0"/>
                  <w:vAlign w:val="center"/>
                </w:tcPr>
                <w:p w14:paraId="6975011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97.14</w:t>
                  </w:r>
                </w:p>
              </w:tc>
              <w:tc>
                <w:tcPr>
                  <w:tcW w:w="937" w:type="dxa"/>
                  <w:tcBorders>
                    <w:tl2br w:val="nil"/>
                    <w:tr2bl w:val="nil"/>
                  </w:tcBorders>
                  <w:noWrap w:val="0"/>
                  <w:vAlign w:val="center"/>
                </w:tcPr>
                <w:p w14:paraId="278463F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777" w:type="dxa"/>
                  <w:tcBorders>
                    <w:tl2br w:val="nil"/>
                    <w:tr2bl w:val="nil"/>
                  </w:tcBorders>
                  <w:noWrap w:val="0"/>
                  <w:vAlign w:val="center"/>
                </w:tcPr>
                <w:p w14:paraId="58DDA14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4C0617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807" w:type="dxa"/>
                  <w:tcBorders>
                    <w:tl2br w:val="nil"/>
                    <w:tr2bl w:val="nil"/>
                  </w:tcBorders>
                  <w:noWrap w:val="0"/>
                  <w:vAlign w:val="center"/>
                </w:tcPr>
                <w:p w14:paraId="396BB3F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r>
                    <w:rPr>
                      <w:rFonts w:hint="eastAsia" w:ascii="Times New Roman" w:hAnsi="Times New Roman" w:eastAsia="宋体" w:cs="Times New Roman"/>
                      <w:sz w:val="21"/>
                      <w:szCs w:val="21"/>
                      <w:highlight w:val="none"/>
                      <w:vertAlign w:val="baseline"/>
                      <w:lang w:val="en-US" w:eastAsia="zh-CN"/>
                    </w:rPr>
                    <w:t>SO</w:t>
                  </w:r>
                  <w:r>
                    <w:rPr>
                      <w:rFonts w:hint="eastAsia" w:ascii="Times New Roman" w:hAnsi="Times New Roman" w:eastAsia="宋体" w:cs="Times New Roman"/>
                      <w:sz w:val="21"/>
                      <w:szCs w:val="21"/>
                      <w:highlight w:val="none"/>
                      <w:vertAlign w:val="subscript"/>
                      <w:lang w:val="en-US" w:eastAsia="zh-CN"/>
                    </w:rPr>
                    <w:t>2</w:t>
                  </w:r>
                </w:p>
              </w:tc>
              <w:tc>
                <w:tcPr>
                  <w:tcW w:w="1469" w:type="dxa"/>
                  <w:vMerge w:val="continue"/>
                  <w:tcBorders>
                    <w:tl2br w:val="nil"/>
                    <w:tr2bl w:val="nil"/>
                  </w:tcBorders>
                  <w:noWrap w:val="0"/>
                  <w:vAlign w:val="center"/>
                </w:tcPr>
                <w:p w14:paraId="70C1398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543" w:type="dxa"/>
                  <w:tcBorders>
                    <w:tl2br w:val="nil"/>
                    <w:tr2bl w:val="nil"/>
                  </w:tcBorders>
                  <w:noWrap w:val="0"/>
                  <w:vAlign w:val="center"/>
                </w:tcPr>
                <w:p w14:paraId="18A71D7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14</w:t>
                  </w:r>
                </w:p>
              </w:tc>
              <w:tc>
                <w:tcPr>
                  <w:tcW w:w="1407" w:type="dxa"/>
                  <w:tcBorders>
                    <w:tl2br w:val="nil"/>
                    <w:tr2bl w:val="nil"/>
                  </w:tcBorders>
                  <w:noWrap w:val="0"/>
                  <w:vAlign w:val="center"/>
                </w:tcPr>
                <w:p w14:paraId="28EBC32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60</w:t>
                  </w:r>
                </w:p>
              </w:tc>
              <w:tc>
                <w:tcPr>
                  <w:tcW w:w="1031" w:type="dxa"/>
                  <w:tcBorders>
                    <w:tl2br w:val="nil"/>
                    <w:tr2bl w:val="nil"/>
                  </w:tcBorders>
                  <w:noWrap w:val="0"/>
                  <w:vAlign w:val="center"/>
                </w:tcPr>
                <w:p w14:paraId="7F5BEBA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23.33</w:t>
                  </w:r>
                </w:p>
              </w:tc>
              <w:tc>
                <w:tcPr>
                  <w:tcW w:w="937" w:type="dxa"/>
                  <w:tcBorders>
                    <w:tl2br w:val="nil"/>
                    <w:tr2bl w:val="nil"/>
                  </w:tcBorders>
                  <w:noWrap w:val="0"/>
                  <w:vAlign w:val="center"/>
                </w:tcPr>
                <w:p w14:paraId="3FBE4F2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777" w:type="dxa"/>
                  <w:tcBorders>
                    <w:tl2br w:val="nil"/>
                    <w:tr2bl w:val="nil"/>
                  </w:tcBorders>
                  <w:noWrap w:val="0"/>
                  <w:vAlign w:val="center"/>
                </w:tcPr>
                <w:p w14:paraId="02AC261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773CE6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807" w:type="dxa"/>
                  <w:tcBorders>
                    <w:tl2br w:val="nil"/>
                    <w:tr2bl w:val="nil"/>
                  </w:tcBorders>
                  <w:noWrap w:val="0"/>
                  <w:vAlign w:val="center"/>
                </w:tcPr>
                <w:p w14:paraId="2AE42E3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r>
                    <w:rPr>
                      <w:rFonts w:hint="eastAsia" w:ascii="Times New Roman" w:hAnsi="Times New Roman" w:eastAsia="宋体" w:cs="Times New Roman"/>
                      <w:sz w:val="21"/>
                      <w:szCs w:val="21"/>
                      <w:highlight w:val="none"/>
                      <w:vertAlign w:val="baseline"/>
                      <w:lang w:val="en-US" w:eastAsia="zh-CN"/>
                    </w:rPr>
                    <w:t>NO</w:t>
                  </w:r>
                  <w:r>
                    <w:rPr>
                      <w:rFonts w:hint="eastAsia" w:ascii="Times New Roman" w:hAnsi="Times New Roman" w:eastAsia="宋体" w:cs="Times New Roman"/>
                      <w:sz w:val="21"/>
                      <w:szCs w:val="21"/>
                      <w:highlight w:val="none"/>
                      <w:vertAlign w:val="subscript"/>
                      <w:lang w:val="en-US" w:eastAsia="zh-CN"/>
                    </w:rPr>
                    <w:t>2</w:t>
                  </w:r>
                </w:p>
              </w:tc>
              <w:tc>
                <w:tcPr>
                  <w:tcW w:w="1469" w:type="dxa"/>
                  <w:vMerge w:val="continue"/>
                  <w:tcBorders>
                    <w:tl2br w:val="nil"/>
                    <w:tr2bl w:val="nil"/>
                  </w:tcBorders>
                  <w:noWrap w:val="0"/>
                  <w:vAlign w:val="center"/>
                </w:tcPr>
                <w:p w14:paraId="7148B67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543" w:type="dxa"/>
                  <w:tcBorders>
                    <w:tl2br w:val="nil"/>
                    <w:tr2bl w:val="nil"/>
                  </w:tcBorders>
                  <w:noWrap w:val="0"/>
                  <w:vAlign w:val="center"/>
                </w:tcPr>
                <w:p w14:paraId="513BDCE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25</w:t>
                  </w:r>
                </w:p>
              </w:tc>
              <w:tc>
                <w:tcPr>
                  <w:tcW w:w="1407" w:type="dxa"/>
                  <w:tcBorders>
                    <w:tl2br w:val="nil"/>
                    <w:tr2bl w:val="nil"/>
                  </w:tcBorders>
                  <w:noWrap w:val="0"/>
                  <w:vAlign w:val="center"/>
                </w:tcPr>
                <w:p w14:paraId="0AF038A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40</w:t>
                  </w:r>
                </w:p>
              </w:tc>
              <w:tc>
                <w:tcPr>
                  <w:tcW w:w="1031" w:type="dxa"/>
                  <w:tcBorders>
                    <w:tl2br w:val="nil"/>
                    <w:tr2bl w:val="nil"/>
                  </w:tcBorders>
                  <w:noWrap w:val="0"/>
                  <w:vAlign w:val="center"/>
                </w:tcPr>
                <w:p w14:paraId="3848C35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62.50</w:t>
                  </w:r>
                </w:p>
              </w:tc>
              <w:tc>
                <w:tcPr>
                  <w:tcW w:w="937" w:type="dxa"/>
                  <w:tcBorders>
                    <w:tl2br w:val="nil"/>
                    <w:tr2bl w:val="nil"/>
                  </w:tcBorders>
                  <w:noWrap w:val="0"/>
                  <w:vAlign w:val="center"/>
                </w:tcPr>
                <w:p w14:paraId="24DF8B1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777" w:type="dxa"/>
                  <w:tcBorders>
                    <w:tl2br w:val="nil"/>
                    <w:tr2bl w:val="nil"/>
                  </w:tcBorders>
                  <w:noWrap w:val="0"/>
                  <w:vAlign w:val="center"/>
                </w:tcPr>
                <w:p w14:paraId="7E42B1E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1B9480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807" w:type="dxa"/>
                  <w:tcBorders>
                    <w:tl2br w:val="nil"/>
                    <w:tr2bl w:val="nil"/>
                  </w:tcBorders>
                  <w:noWrap w:val="0"/>
                  <w:vAlign w:val="center"/>
                </w:tcPr>
                <w:p w14:paraId="7387486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r>
                    <w:rPr>
                      <w:rFonts w:hint="eastAsia" w:ascii="Times New Roman" w:hAnsi="Times New Roman" w:eastAsia="宋体" w:cs="Times New Roman"/>
                      <w:sz w:val="21"/>
                      <w:szCs w:val="21"/>
                      <w:highlight w:val="none"/>
                      <w:vertAlign w:val="baseline"/>
                      <w:lang w:val="en-US" w:eastAsia="zh-CN"/>
                    </w:rPr>
                    <w:t>O</w:t>
                  </w:r>
                  <w:r>
                    <w:rPr>
                      <w:rFonts w:hint="eastAsia" w:ascii="Times New Roman" w:hAnsi="Times New Roman" w:eastAsia="宋体" w:cs="Times New Roman"/>
                      <w:sz w:val="21"/>
                      <w:szCs w:val="21"/>
                      <w:highlight w:val="none"/>
                      <w:vertAlign w:val="subscript"/>
                      <w:lang w:val="en-US" w:eastAsia="zh-CN"/>
                    </w:rPr>
                    <w:t>3</w:t>
                  </w:r>
                </w:p>
              </w:tc>
              <w:tc>
                <w:tcPr>
                  <w:tcW w:w="1469" w:type="dxa"/>
                  <w:tcBorders>
                    <w:tl2br w:val="nil"/>
                    <w:tr2bl w:val="nil"/>
                  </w:tcBorders>
                  <w:noWrap w:val="0"/>
                  <w:vAlign w:val="center"/>
                </w:tcPr>
                <w:p w14:paraId="581BAB4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日最大8小时平均第90百分位数</w:t>
                  </w:r>
                </w:p>
              </w:tc>
              <w:tc>
                <w:tcPr>
                  <w:tcW w:w="1543" w:type="dxa"/>
                  <w:tcBorders>
                    <w:tl2br w:val="nil"/>
                    <w:tr2bl w:val="nil"/>
                  </w:tcBorders>
                  <w:noWrap w:val="0"/>
                  <w:vAlign w:val="center"/>
                </w:tcPr>
                <w:p w14:paraId="74FFC15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166</w:t>
                  </w:r>
                </w:p>
              </w:tc>
              <w:tc>
                <w:tcPr>
                  <w:tcW w:w="1407" w:type="dxa"/>
                  <w:tcBorders>
                    <w:tl2br w:val="nil"/>
                    <w:tr2bl w:val="nil"/>
                  </w:tcBorders>
                  <w:noWrap w:val="0"/>
                  <w:vAlign w:val="center"/>
                </w:tcPr>
                <w:p w14:paraId="67B9406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160</w:t>
                  </w:r>
                </w:p>
              </w:tc>
              <w:tc>
                <w:tcPr>
                  <w:tcW w:w="1031" w:type="dxa"/>
                  <w:tcBorders>
                    <w:tl2br w:val="nil"/>
                    <w:tr2bl w:val="nil"/>
                  </w:tcBorders>
                  <w:noWrap w:val="0"/>
                  <w:vAlign w:val="center"/>
                </w:tcPr>
                <w:p w14:paraId="532BBD6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103.75</w:t>
                  </w:r>
                </w:p>
              </w:tc>
              <w:tc>
                <w:tcPr>
                  <w:tcW w:w="937" w:type="dxa"/>
                  <w:tcBorders>
                    <w:tl2br w:val="nil"/>
                    <w:tr2bl w:val="nil"/>
                  </w:tcBorders>
                  <w:noWrap w:val="0"/>
                  <w:vAlign w:val="center"/>
                </w:tcPr>
                <w:p w14:paraId="21F3A0C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3.75</w:t>
                  </w:r>
                </w:p>
              </w:tc>
              <w:tc>
                <w:tcPr>
                  <w:tcW w:w="777" w:type="dxa"/>
                  <w:tcBorders>
                    <w:tl2br w:val="nil"/>
                    <w:tr2bl w:val="nil"/>
                  </w:tcBorders>
                  <w:noWrap w:val="0"/>
                  <w:vAlign w:val="center"/>
                </w:tcPr>
                <w:p w14:paraId="413458F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2D3C9C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807" w:type="dxa"/>
                  <w:tcBorders>
                    <w:tl2br w:val="nil"/>
                    <w:tr2bl w:val="nil"/>
                  </w:tcBorders>
                  <w:noWrap w:val="0"/>
                  <w:vAlign w:val="center"/>
                </w:tcPr>
                <w:p w14:paraId="5BD3D73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CO</w:t>
                  </w:r>
                </w:p>
              </w:tc>
              <w:tc>
                <w:tcPr>
                  <w:tcW w:w="1469" w:type="dxa"/>
                  <w:tcBorders>
                    <w:tl2br w:val="nil"/>
                    <w:tr2bl w:val="nil"/>
                  </w:tcBorders>
                  <w:noWrap w:val="0"/>
                  <w:vAlign w:val="center"/>
                </w:tcPr>
                <w:p w14:paraId="6B8A098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24小时平均第95百分位数</w:t>
                  </w:r>
                </w:p>
              </w:tc>
              <w:tc>
                <w:tcPr>
                  <w:tcW w:w="1543" w:type="dxa"/>
                  <w:tcBorders>
                    <w:tl2br w:val="nil"/>
                    <w:tr2bl w:val="nil"/>
                  </w:tcBorders>
                  <w:noWrap w:val="0"/>
                  <w:vAlign w:val="center"/>
                </w:tcPr>
                <w:p w14:paraId="2FEB683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w:t>
                  </w:r>
                  <w:r>
                    <w:rPr>
                      <w:rFonts w:hint="eastAsia" w:cs="Times New Roman"/>
                      <w:sz w:val="21"/>
                      <w:szCs w:val="21"/>
                      <w:highlight w:val="none"/>
                      <w:vertAlign w:val="baseline"/>
                      <w:lang w:val="en-US" w:eastAsia="zh-CN"/>
                    </w:rPr>
                    <w:t>1</w:t>
                  </w:r>
                  <w:r>
                    <w:rPr>
                      <w:rFonts w:hint="eastAsia" w:ascii="Times New Roman" w:hAnsi="Times New Roman" w:eastAsia="宋体" w:cs="Times New Roman"/>
                      <w:sz w:val="21"/>
                      <w:szCs w:val="21"/>
                      <w:highlight w:val="none"/>
                      <w:vertAlign w:val="baseline"/>
                      <w:lang w:val="en-US" w:eastAsia="zh-CN"/>
                    </w:rPr>
                    <w:t>00</w:t>
                  </w:r>
                </w:p>
              </w:tc>
              <w:tc>
                <w:tcPr>
                  <w:tcW w:w="1407" w:type="dxa"/>
                  <w:tcBorders>
                    <w:tl2br w:val="nil"/>
                    <w:tr2bl w:val="nil"/>
                  </w:tcBorders>
                  <w:noWrap w:val="0"/>
                  <w:vAlign w:val="center"/>
                </w:tcPr>
                <w:p w14:paraId="37BC423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4000</w:t>
                  </w:r>
                </w:p>
              </w:tc>
              <w:tc>
                <w:tcPr>
                  <w:tcW w:w="1031" w:type="dxa"/>
                  <w:tcBorders>
                    <w:tl2br w:val="nil"/>
                    <w:tr2bl w:val="nil"/>
                  </w:tcBorders>
                  <w:noWrap w:val="0"/>
                  <w:vAlign w:val="center"/>
                </w:tcPr>
                <w:p w14:paraId="7CB4B6B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52.50</w:t>
                  </w:r>
                </w:p>
              </w:tc>
              <w:tc>
                <w:tcPr>
                  <w:tcW w:w="937" w:type="dxa"/>
                  <w:tcBorders>
                    <w:tl2br w:val="nil"/>
                    <w:tr2bl w:val="nil"/>
                  </w:tcBorders>
                  <w:noWrap w:val="0"/>
                  <w:vAlign w:val="center"/>
                </w:tcPr>
                <w:p w14:paraId="13CCF42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777" w:type="dxa"/>
                  <w:tcBorders>
                    <w:tl2br w:val="nil"/>
                    <w:tr2bl w:val="nil"/>
                  </w:tcBorders>
                  <w:noWrap w:val="0"/>
                  <w:vAlign w:val="center"/>
                </w:tcPr>
                <w:p w14:paraId="149A745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bl>
          <w:p w14:paraId="63A6B72F">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本项目的环境空气质量功能区划为二类功能区，执行《环境空气质量标准》中的二级标准。根据以上数据可知：202</w:t>
            </w:r>
            <w:r>
              <w:rPr>
                <w:rFonts w:hint="eastAsia" w:cs="Times New Roman"/>
                <w:sz w:val="24"/>
                <w:szCs w:val="24"/>
                <w:highlight w:val="none"/>
                <w:lang w:val="en-US" w:eastAsia="zh-CN"/>
              </w:rPr>
              <w:t>4</w:t>
            </w:r>
            <w:r>
              <w:rPr>
                <w:rFonts w:hint="eastAsia" w:ascii="Times New Roman" w:hAnsi="Times New Roman" w:eastAsia="宋体" w:cs="Times New Roman"/>
                <w:sz w:val="24"/>
                <w:szCs w:val="24"/>
                <w:highlight w:val="none"/>
                <w:lang w:val="en-US" w:eastAsia="zh-CN"/>
              </w:rPr>
              <w:t>年壶关县环境空气六项主要污染物的指标中，</w:t>
            </w:r>
            <w:r>
              <w:rPr>
                <w:rFonts w:hint="eastAsia" w:cs="Times New Roman"/>
                <w:sz w:val="24"/>
                <w:szCs w:val="24"/>
                <w:highlight w:val="none"/>
                <w:lang w:val="en-US" w:eastAsia="zh-CN"/>
              </w:rPr>
              <w:t>O</w:t>
            </w:r>
            <w:r>
              <w:rPr>
                <w:rFonts w:hint="eastAsia" w:cs="Times New Roman"/>
                <w:sz w:val="24"/>
                <w:szCs w:val="24"/>
                <w:highlight w:val="none"/>
                <w:vertAlign w:val="subscript"/>
                <w:lang w:val="en-US" w:eastAsia="zh-CN"/>
              </w:rPr>
              <w:t>3</w:t>
            </w:r>
            <w:r>
              <w:rPr>
                <w:rFonts w:hint="eastAsia" w:ascii="Times New Roman" w:hAnsi="Times New Roman" w:eastAsia="宋体" w:cs="Times New Roman"/>
                <w:sz w:val="24"/>
                <w:szCs w:val="24"/>
                <w:highlight w:val="none"/>
                <w:lang w:val="en-US" w:eastAsia="zh-CN"/>
              </w:rPr>
              <w:t>超标率为</w:t>
            </w:r>
            <w:r>
              <w:rPr>
                <w:rFonts w:hint="eastAsia" w:cs="Times New Roman"/>
                <w:sz w:val="24"/>
                <w:szCs w:val="24"/>
                <w:highlight w:val="none"/>
                <w:lang w:val="en-US" w:eastAsia="zh-CN"/>
              </w:rPr>
              <w:t>3.75</w:t>
            </w:r>
            <w:r>
              <w:rPr>
                <w:rFonts w:hint="eastAsia" w:ascii="Times New Roman" w:hAnsi="Times New Roman" w:eastAsia="宋体" w:cs="Times New Roman"/>
                <w:sz w:val="24"/>
                <w:szCs w:val="24"/>
                <w:highlight w:val="none"/>
                <w:lang w:val="en-US" w:eastAsia="zh-CN"/>
              </w:rPr>
              <w:t>%，表明项目所在区域202</w:t>
            </w:r>
            <w:r>
              <w:rPr>
                <w:rFonts w:hint="eastAsia" w:cs="Times New Roman"/>
                <w:sz w:val="24"/>
                <w:szCs w:val="24"/>
                <w:highlight w:val="none"/>
                <w:lang w:val="en-US" w:eastAsia="zh-CN"/>
              </w:rPr>
              <w:t>4</w:t>
            </w:r>
            <w:r>
              <w:rPr>
                <w:rFonts w:hint="eastAsia" w:ascii="Times New Roman" w:hAnsi="Times New Roman" w:eastAsia="宋体" w:cs="Times New Roman"/>
                <w:sz w:val="24"/>
                <w:szCs w:val="24"/>
                <w:highlight w:val="none"/>
                <w:lang w:val="en-US" w:eastAsia="zh-CN"/>
              </w:rPr>
              <w:t>年环境空气质量不达标。</w:t>
            </w:r>
          </w:p>
          <w:p w14:paraId="25F53CE0">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2、其他污染物环境质量现状</w:t>
            </w:r>
          </w:p>
          <w:p w14:paraId="4C331763">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的大气特征性污染物因子为TSP、非甲烷总烃，根据《建设项目环境影响报告表编制技术指南（污染影响类）（试行）》的要求，选择当季主导风向下风向1个点位补充不少于3天的监测数据，结合项目区周边实际情况，本次评价委托</w:t>
            </w:r>
            <w:r>
              <w:rPr>
                <w:rFonts w:hint="eastAsia" w:ascii="Times New Roman" w:hAnsi="Times New Roman" w:eastAsia="宋体" w:cs="Times New Roman"/>
                <w:sz w:val="24"/>
                <w:szCs w:val="24"/>
                <w:highlight w:val="none"/>
                <w:lang w:val="en-US" w:eastAsia="zh-CN"/>
              </w:rPr>
              <w:fldChar w:fldCharType="begin"/>
            </w:r>
            <w:r>
              <w:rPr>
                <w:rFonts w:hint="eastAsia" w:ascii="Times New Roman" w:hAnsi="Times New Roman" w:eastAsia="宋体" w:cs="Times New Roman"/>
                <w:sz w:val="24"/>
                <w:szCs w:val="24"/>
                <w:highlight w:val="none"/>
                <w:lang w:val="en-US" w:eastAsia="zh-CN"/>
              </w:rPr>
              <w:instrText xml:space="preserve"> HYPERLINK "https://www.qcc.com/firm/21f6f33f140182c658a1a496262dd97a.html" \t "https://cn.bing.com/_blank" </w:instrText>
            </w:r>
            <w:r>
              <w:rPr>
                <w:rFonts w:hint="eastAsia" w:ascii="Times New Roman" w:hAnsi="Times New Roman" w:eastAsia="宋体" w:cs="Times New Roman"/>
                <w:sz w:val="24"/>
                <w:szCs w:val="24"/>
                <w:highlight w:val="none"/>
                <w:lang w:val="en-US" w:eastAsia="zh-CN"/>
              </w:rPr>
              <w:fldChar w:fldCharType="separate"/>
            </w:r>
            <w:r>
              <w:rPr>
                <w:rFonts w:hint="eastAsia" w:ascii="Times New Roman" w:hAnsi="Times New Roman" w:eastAsia="宋体" w:cs="Times New Roman"/>
                <w:sz w:val="24"/>
                <w:szCs w:val="24"/>
                <w:highlight w:val="none"/>
                <w:lang w:val="en-US" w:eastAsia="zh-CN"/>
              </w:rPr>
              <w:t>山西泰之合环境监测有限公司</w:t>
            </w:r>
            <w:r>
              <w:rPr>
                <w:rFonts w:hint="eastAsia" w:ascii="Times New Roman" w:hAnsi="Times New Roman" w:eastAsia="宋体" w:cs="Times New Roman"/>
                <w:sz w:val="24"/>
                <w:szCs w:val="24"/>
                <w:highlight w:val="none"/>
                <w:lang w:val="en-US" w:eastAsia="zh-CN"/>
              </w:rPr>
              <w:fldChar w:fldCharType="end"/>
            </w:r>
            <w:r>
              <w:rPr>
                <w:rFonts w:hint="eastAsia" w:ascii="Times New Roman" w:hAnsi="Times New Roman" w:eastAsia="宋体" w:cs="Times New Roman"/>
                <w:sz w:val="24"/>
                <w:szCs w:val="24"/>
                <w:highlight w:val="none"/>
                <w:lang w:val="en-US" w:eastAsia="zh-CN"/>
              </w:rPr>
              <w:t>于2025年2月23日至2025年2月27日对区域</w:t>
            </w:r>
            <w:r>
              <w:rPr>
                <w:rFonts w:hint="default" w:ascii="Times New Roman" w:hAnsi="Times New Roman" w:eastAsia="宋体" w:cs="Times New Roman"/>
                <w:sz w:val="24"/>
                <w:szCs w:val="24"/>
                <w:highlight w:val="none"/>
                <w:lang w:val="en-US" w:eastAsia="zh-CN"/>
              </w:rPr>
              <w:t>TSP</w:t>
            </w:r>
            <w:r>
              <w:rPr>
                <w:rFonts w:hint="eastAsia" w:ascii="Times New Roman" w:hAnsi="Times New Roman" w:eastAsia="宋体" w:cs="Times New Roman"/>
                <w:sz w:val="24"/>
                <w:szCs w:val="24"/>
                <w:highlight w:val="none"/>
                <w:lang w:val="en-US" w:eastAsia="zh-CN"/>
              </w:rPr>
              <w:t>、非甲烷总烃进行了监测。</w:t>
            </w:r>
          </w:p>
          <w:p w14:paraId="031EEFCE">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1</w:t>
            </w:r>
            <w:r>
              <w:rPr>
                <w:rFonts w:hint="eastAsia" w:ascii="Times New Roman" w:hAnsi="Times New Roman" w:eastAsia="宋体" w:cs="Times New Roman"/>
                <w:sz w:val="24"/>
                <w:szCs w:val="24"/>
                <w:highlight w:val="none"/>
                <w:lang w:val="en-US" w:eastAsia="zh-CN"/>
              </w:rPr>
              <w:t>）监测点位</w:t>
            </w:r>
          </w:p>
          <w:p w14:paraId="52BEA3FF">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在呈祥村设置</w:t>
            </w:r>
            <w:r>
              <w:rPr>
                <w:rFonts w:hint="default" w:ascii="Times New Roman" w:hAnsi="Times New Roman" w:eastAsia="宋体" w:cs="Times New Roman"/>
                <w:sz w:val="24"/>
                <w:szCs w:val="24"/>
                <w:highlight w:val="none"/>
                <w:lang w:val="en-US" w:eastAsia="zh-CN"/>
              </w:rPr>
              <w:t>1</w:t>
            </w:r>
            <w:r>
              <w:rPr>
                <w:rFonts w:hint="eastAsia" w:ascii="Times New Roman" w:hAnsi="Times New Roman" w:eastAsia="宋体" w:cs="Times New Roman"/>
                <w:sz w:val="24"/>
                <w:szCs w:val="24"/>
                <w:highlight w:val="none"/>
                <w:lang w:val="en-US" w:eastAsia="zh-CN"/>
              </w:rPr>
              <w:t>个大气环境质量现状监测点。</w:t>
            </w:r>
          </w:p>
          <w:p w14:paraId="70FAEBA5">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w:t>
            </w:r>
            <w:r>
              <w:rPr>
                <w:rFonts w:hint="eastAsia" w:ascii="Times New Roman" w:hAnsi="Times New Roman" w:eastAsia="宋体" w:cs="Times New Roman"/>
                <w:sz w:val="24"/>
                <w:szCs w:val="24"/>
                <w:highlight w:val="none"/>
                <w:lang w:val="en-US" w:eastAsia="zh-CN"/>
              </w:rPr>
              <w:t>）监测项目及频次</w:t>
            </w:r>
          </w:p>
          <w:p w14:paraId="71E6AD2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监测项目：</w:t>
            </w:r>
            <w:r>
              <w:rPr>
                <w:rFonts w:hint="default" w:ascii="Times New Roman" w:hAnsi="Times New Roman" w:eastAsia="宋体" w:cs="Times New Roman"/>
                <w:sz w:val="24"/>
                <w:szCs w:val="24"/>
                <w:highlight w:val="none"/>
                <w:lang w:val="en-US" w:eastAsia="zh-CN"/>
              </w:rPr>
              <w:t>TSP</w:t>
            </w:r>
            <w:r>
              <w:rPr>
                <w:rFonts w:hint="eastAsia" w:ascii="Times New Roman" w:hAnsi="Times New Roman" w:eastAsia="宋体" w:cs="Times New Roman"/>
                <w:sz w:val="24"/>
                <w:szCs w:val="24"/>
                <w:highlight w:val="none"/>
                <w:lang w:val="en-US" w:eastAsia="zh-CN"/>
              </w:rPr>
              <w:t>、非甲烷总烃。</w:t>
            </w:r>
          </w:p>
          <w:p w14:paraId="761058F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监测频次：连续监测</w:t>
            </w:r>
            <w:r>
              <w:rPr>
                <w:rFonts w:hint="default" w:ascii="Times New Roman" w:hAnsi="Times New Roman" w:eastAsia="宋体" w:cs="Times New Roman"/>
                <w:sz w:val="24"/>
                <w:szCs w:val="24"/>
                <w:highlight w:val="none"/>
                <w:lang w:val="en-US" w:eastAsia="zh-CN"/>
              </w:rPr>
              <w:t>3</w:t>
            </w:r>
            <w:r>
              <w:rPr>
                <w:rFonts w:hint="eastAsia" w:ascii="Times New Roman" w:hAnsi="Times New Roman" w:eastAsia="宋体" w:cs="Times New Roman"/>
                <w:sz w:val="24"/>
                <w:szCs w:val="24"/>
                <w:highlight w:val="none"/>
                <w:lang w:val="en-US" w:eastAsia="zh-CN"/>
              </w:rPr>
              <w:t>天，</w:t>
            </w:r>
            <w:r>
              <w:rPr>
                <w:rFonts w:hint="default" w:ascii="Times New Roman" w:hAnsi="Times New Roman" w:eastAsia="宋体" w:cs="Times New Roman"/>
                <w:sz w:val="24"/>
                <w:szCs w:val="24"/>
                <w:highlight w:val="none"/>
                <w:lang w:val="en-US" w:eastAsia="zh-CN"/>
              </w:rPr>
              <w:t>TSP</w:t>
            </w:r>
            <w:r>
              <w:rPr>
                <w:rFonts w:hint="eastAsia" w:ascii="Times New Roman" w:hAnsi="Times New Roman" w:eastAsia="宋体" w:cs="Times New Roman"/>
                <w:sz w:val="24"/>
                <w:szCs w:val="24"/>
                <w:highlight w:val="none"/>
                <w:lang w:val="en-US" w:eastAsia="zh-CN"/>
              </w:rPr>
              <w:t>测</w:t>
            </w:r>
            <w:r>
              <w:rPr>
                <w:rFonts w:hint="default" w:ascii="Times New Roman" w:hAnsi="Times New Roman" w:eastAsia="宋体" w:cs="Times New Roman"/>
                <w:sz w:val="24"/>
                <w:szCs w:val="24"/>
                <w:highlight w:val="none"/>
                <w:lang w:val="en-US" w:eastAsia="zh-CN"/>
              </w:rPr>
              <w:t>24</w:t>
            </w:r>
            <w:r>
              <w:rPr>
                <w:rFonts w:hint="eastAsia" w:ascii="Times New Roman" w:hAnsi="Times New Roman" w:eastAsia="宋体" w:cs="Times New Roman"/>
                <w:sz w:val="24"/>
                <w:szCs w:val="24"/>
                <w:highlight w:val="none"/>
                <w:lang w:val="en-US" w:eastAsia="zh-CN"/>
              </w:rPr>
              <w:t>小时均值，非甲烷总烃测1小时均值。</w:t>
            </w:r>
          </w:p>
          <w:p w14:paraId="28E3F541">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3</w:t>
            </w:r>
            <w:r>
              <w:rPr>
                <w:rFonts w:hint="eastAsia" w:ascii="Times New Roman" w:hAnsi="Times New Roman" w:eastAsia="宋体" w:cs="Times New Roman"/>
                <w:sz w:val="24"/>
                <w:szCs w:val="24"/>
                <w:highlight w:val="none"/>
                <w:lang w:val="en-US" w:eastAsia="zh-CN"/>
              </w:rPr>
              <w:t>）监测结果</w:t>
            </w:r>
          </w:p>
          <w:p w14:paraId="19EA5F39">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监测结果见下表。</w:t>
            </w:r>
          </w:p>
          <w:p w14:paraId="1BF5A3E0">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lang w:val="en-US" w:eastAsia="zh-CN"/>
              </w:rPr>
              <w:t>表3-2  环境空气监测结果表</w:t>
            </w:r>
          </w:p>
          <w:tbl>
            <w:tblPr>
              <w:tblStyle w:val="23"/>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12"/>
              <w:gridCol w:w="1551"/>
              <w:gridCol w:w="1413"/>
              <w:gridCol w:w="1577"/>
              <w:gridCol w:w="1056"/>
              <w:gridCol w:w="1048"/>
              <w:gridCol w:w="1037"/>
            </w:tblGrid>
            <w:tr w14:paraId="326506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3" w:type="dxa"/>
                  <w:tcBorders>
                    <w:tl2br w:val="nil"/>
                    <w:tr2bl w:val="nil"/>
                  </w:tcBorders>
                  <w:noWrap w:val="0"/>
                  <w:vAlign w:val="center"/>
                </w:tcPr>
                <w:p w14:paraId="5F8A944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监测地点</w:t>
                  </w:r>
                </w:p>
              </w:tc>
              <w:tc>
                <w:tcPr>
                  <w:tcW w:w="1534" w:type="dxa"/>
                  <w:tcBorders>
                    <w:tl2br w:val="nil"/>
                    <w:tr2bl w:val="nil"/>
                  </w:tcBorders>
                  <w:noWrap w:val="0"/>
                  <w:vAlign w:val="center"/>
                </w:tcPr>
                <w:p w14:paraId="1DCD273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监测项目</w:t>
                  </w:r>
                </w:p>
              </w:tc>
              <w:tc>
                <w:tcPr>
                  <w:tcW w:w="1398" w:type="dxa"/>
                  <w:tcBorders>
                    <w:tl2br w:val="nil"/>
                    <w:tr2bl w:val="nil"/>
                  </w:tcBorders>
                  <w:noWrap w:val="0"/>
                  <w:vAlign w:val="center"/>
                </w:tcPr>
                <w:p w14:paraId="31816B1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监测日期</w:t>
                  </w:r>
                </w:p>
              </w:tc>
              <w:tc>
                <w:tcPr>
                  <w:tcW w:w="1224" w:type="dxa"/>
                  <w:tcBorders>
                    <w:tl2br w:val="nil"/>
                    <w:tr2bl w:val="nil"/>
                  </w:tcBorders>
                  <w:noWrap w:val="0"/>
                  <w:vAlign w:val="center"/>
                </w:tcPr>
                <w:p w14:paraId="7B574ED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监测结果</w:t>
                  </w:r>
                </w:p>
              </w:tc>
              <w:tc>
                <w:tcPr>
                  <w:tcW w:w="1045" w:type="dxa"/>
                  <w:tcBorders>
                    <w:tl2br w:val="nil"/>
                    <w:tr2bl w:val="nil"/>
                  </w:tcBorders>
                  <w:noWrap w:val="0"/>
                  <w:vAlign w:val="center"/>
                </w:tcPr>
                <w:p w14:paraId="579D9B4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标准限值</w:t>
                  </w:r>
                </w:p>
              </w:tc>
              <w:tc>
                <w:tcPr>
                  <w:tcW w:w="1037" w:type="dxa"/>
                  <w:tcBorders>
                    <w:tl2br w:val="nil"/>
                    <w:tr2bl w:val="nil"/>
                  </w:tcBorders>
                  <w:noWrap w:val="0"/>
                  <w:vAlign w:val="center"/>
                </w:tcPr>
                <w:p w14:paraId="34296B3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占标率（%）</w:t>
                  </w:r>
                </w:p>
              </w:tc>
              <w:tc>
                <w:tcPr>
                  <w:tcW w:w="1025" w:type="dxa"/>
                  <w:tcBorders>
                    <w:tl2br w:val="nil"/>
                    <w:tr2bl w:val="nil"/>
                  </w:tcBorders>
                  <w:noWrap w:val="0"/>
                  <w:vAlign w:val="center"/>
                </w:tcPr>
                <w:p w14:paraId="0AC872E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达标情况</w:t>
                  </w:r>
                </w:p>
              </w:tc>
            </w:tr>
            <w:tr w14:paraId="7A5094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3" w:type="dxa"/>
                  <w:vMerge w:val="restart"/>
                  <w:tcBorders>
                    <w:tl2br w:val="nil"/>
                    <w:tr2bl w:val="nil"/>
                  </w:tcBorders>
                  <w:noWrap w:val="0"/>
                  <w:vAlign w:val="center"/>
                </w:tcPr>
                <w:p w14:paraId="034353D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呈祥</w:t>
                  </w:r>
                  <w:r>
                    <w:rPr>
                      <w:rFonts w:hint="eastAsia" w:ascii="Times New Roman" w:hAnsi="Times New Roman" w:eastAsia="宋体" w:cs="Times New Roman"/>
                      <w:sz w:val="21"/>
                      <w:szCs w:val="21"/>
                      <w:highlight w:val="none"/>
                      <w:vertAlign w:val="baseline"/>
                      <w:lang w:val="en-US" w:eastAsia="zh-CN"/>
                    </w:rPr>
                    <w:t>村</w:t>
                  </w:r>
                </w:p>
              </w:tc>
              <w:tc>
                <w:tcPr>
                  <w:tcW w:w="1534" w:type="dxa"/>
                  <w:vMerge w:val="restart"/>
                  <w:tcBorders>
                    <w:tl2br w:val="nil"/>
                    <w:tr2bl w:val="nil"/>
                  </w:tcBorders>
                  <w:noWrap w:val="0"/>
                  <w:vAlign w:val="center"/>
                </w:tcPr>
                <w:p w14:paraId="19D8631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非甲烷总烃</w:t>
                  </w:r>
                </w:p>
              </w:tc>
              <w:tc>
                <w:tcPr>
                  <w:tcW w:w="1398" w:type="dxa"/>
                  <w:tcBorders>
                    <w:tl2br w:val="nil"/>
                    <w:tr2bl w:val="nil"/>
                  </w:tcBorders>
                  <w:noWrap w:val="0"/>
                  <w:vAlign w:val="center"/>
                </w:tcPr>
                <w:p w14:paraId="74B0F74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2月24日</w:t>
                  </w:r>
                </w:p>
              </w:tc>
              <w:tc>
                <w:tcPr>
                  <w:tcW w:w="1224" w:type="dxa"/>
                  <w:tcBorders>
                    <w:tl2br w:val="nil"/>
                    <w:tr2bl w:val="nil"/>
                  </w:tcBorders>
                  <w:noWrap w:val="0"/>
                  <w:vAlign w:val="center"/>
                </w:tcPr>
                <w:p w14:paraId="380B93F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0.94</w:t>
                  </w:r>
                  <w:r>
                    <w:rPr>
                      <w:rFonts w:hint="eastAsia" w:cs="Times New Roman"/>
                      <w:sz w:val="21"/>
                      <w:szCs w:val="21"/>
                      <w:highlight w:val="none"/>
                      <w:vertAlign w:val="baseline"/>
                      <w:lang w:val="en-US" w:eastAsia="zh-CN"/>
                    </w:rPr>
                    <w:t>—</w:t>
                  </w:r>
                  <w:r>
                    <w:rPr>
                      <w:rFonts w:hint="eastAsia" w:ascii="Times New Roman" w:hAnsi="Times New Roman" w:eastAsia="宋体" w:cs="Times New Roman"/>
                      <w:sz w:val="21"/>
                      <w:szCs w:val="21"/>
                      <w:highlight w:val="none"/>
                      <w:vertAlign w:val="baseline"/>
                      <w:lang w:val="en-US" w:eastAsia="zh-CN"/>
                    </w:rPr>
                    <w:t>1.00mg/m</w:t>
                  </w:r>
                  <w:r>
                    <w:rPr>
                      <w:rFonts w:hint="eastAsia" w:ascii="Times New Roman" w:hAnsi="Times New Roman" w:eastAsia="宋体" w:cs="Times New Roman"/>
                      <w:sz w:val="21"/>
                      <w:szCs w:val="21"/>
                      <w:highlight w:val="none"/>
                      <w:vertAlign w:val="superscript"/>
                      <w:lang w:val="en-US" w:eastAsia="zh-CN"/>
                    </w:rPr>
                    <w:t>3</w:t>
                  </w:r>
                </w:p>
              </w:tc>
              <w:tc>
                <w:tcPr>
                  <w:tcW w:w="1045" w:type="dxa"/>
                  <w:vMerge w:val="restart"/>
                  <w:tcBorders>
                    <w:tl2br w:val="nil"/>
                    <w:tr2bl w:val="nil"/>
                  </w:tcBorders>
                  <w:noWrap w:val="0"/>
                  <w:vAlign w:val="center"/>
                </w:tcPr>
                <w:p w14:paraId="7970656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2mg/m</w:t>
                  </w:r>
                  <w:r>
                    <w:rPr>
                      <w:rFonts w:hint="eastAsia" w:ascii="Times New Roman" w:hAnsi="Times New Roman" w:eastAsia="宋体" w:cs="Times New Roman"/>
                      <w:sz w:val="21"/>
                      <w:szCs w:val="21"/>
                      <w:highlight w:val="none"/>
                      <w:vertAlign w:val="superscript"/>
                      <w:lang w:val="en-US" w:eastAsia="zh-CN"/>
                    </w:rPr>
                    <w:t>3</w:t>
                  </w:r>
                </w:p>
              </w:tc>
              <w:tc>
                <w:tcPr>
                  <w:tcW w:w="1037" w:type="dxa"/>
                  <w:tcBorders>
                    <w:tl2br w:val="nil"/>
                    <w:tr2bl w:val="nil"/>
                  </w:tcBorders>
                  <w:noWrap w:val="0"/>
                  <w:vAlign w:val="center"/>
                </w:tcPr>
                <w:p w14:paraId="33A2EBF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48.8</w:t>
                  </w:r>
                </w:p>
              </w:tc>
              <w:tc>
                <w:tcPr>
                  <w:tcW w:w="1025" w:type="dxa"/>
                  <w:tcBorders>
                    <w:tl2br w:val="nil"/>
                    <w:tr2bl w:val="nil"/>
                  </w:tcBorders>
                  <w:noWrap w:val="0"/>
                  <w:vAlign w:val="center"/>
                </w:tcPr>
                <w:p w14:paraId="18267F1F">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30E6A7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3" w:type="dxa"/>
                  <w:vMerge w:val="continue"/>
                  <w:tcBorders>
                    <w:tl2br w:val="nil"/>
                    <w:tr2bl w:val="nil"/>
                  </w:tcBorders>
                  <w:noWrap w:val="0"/>
                  <w:vAlign w:val="center"/>
                </w:tcPr>
                <w:p w14:paraId="1547DB3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p>
              </w:tc>
              <w:tc>
                <w:tcPr>
                  <w:tcW w:w="1534" w:type="dxa"/>
                  <w:vMerge w:val="continue"/>
                  <w:tcBorders>
                    <w:tl2br w:val="nil"/>
                    <w:tr2bl w:val="nil"/>
                  </w:tcBorders>
                  <w:noWrap w:val="0"/>
                  <w:vAlign w:val="center"/>
                </w:tcPr>
                <w:p w14:paraId="31B35F0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398" w:type="dxa"/>
                  <w:tcBorders>
                    <w:tl2br w:val="nil"/>
                    <w:tr2bl w:val="nil"/>
                  </w:tcBorders>
                  <w:noWrap w:val="0"/>
                  <w:vAlign w:val="center"/>
                </w:tcPr>
                <w:p w14:paraId="2478F0C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2月25日</w:t>
                  </w:r>
                </w:p>
              </w:tc>
              <w:tc>
                <w:tcPr>
                  <w:tcW w:w="1224" w:type="dxa"/>
                  <w:tcBorders>
                    <w:tl2br w:val="nil"/>
                    <w:tr2bl w:val="nil"/>
                  </w:tcBorders>
                  <w:noWrap w:val="0"/>
                  <w:vAlign w:val="center"/>
                </w:tcPr>
                <w:p w14:paraId="1011F0A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0.93</w:t>
                  </w:r>
                  <w:r>
                    <w:rPr>
                      <w:rFonts w:hint="eastAsia" w:cs="Times New Roman"/>
                      <w:sz w:val="21"/>
                      <w:szCs w:val="21"/>
                      <w:highlight w:val="none"/>
                      <w:vertAlign w:val="baseline"/>
                      <w:lang w:val="en-US" w:eastAsia="zh-CN"/>
                    </w:rPr>
                    <w:t>—</w:t>
                  </w:r>
                  <w:r>
                    <w:rPr>
                      <w:rFonts w:hint="eastAsia" w:ascii="Times New Roman" w:hAnsi="Times New Roman" w:eastAsia="宋体" w:cs="Times New Roman"/>
                      <w:sz w:val="21"/>
                      <w:szCs w:val="21"/>
                      <w:highlight w:val="none"/>
                      <w:vertAlign w:val="baseline"/>
                      <w:lang w:val="en-US" w:eastAsia="zh-CN"/>
                    </w:rPr>
                    <w:t>0.96mg/m</w:t>
                  </w:r>
                  <w:r>
                    <w:rPr>
                      <w:rFonts w:hint="eastAsia" w:ascii="Times New Roman" w:hAnsi="Times New Roman" w:eastAsia="宋体" w:cs="Times New Roman"/>
                      <w:sz w:val="21"/>
                      <w:szCs w:val="21"/>
                      <w:highlight w:val="none"/>
                      <w:vertAlign w:val="superscript"/>
                      <w:lang w:val="en-US" w:eastAsia="zh-CN"/>
                    </w:rPr>
                    <w:t>3</w:t>
                  </w:r>
                </w:p>
              </w:tc>
              <w:tc>
                <w:tcPr>
                  <w:tcW w:w="1045" w:type="dxa"/>
                  <w:vMerge w:val="continue"/>
                  <w:tcBorders>
                    <w:tl2br w:val="nil"/>
                    <w:tr2bl w:val="nil"/>
                  </w:tcBorders>
                  <w:noWrap w:val="0"/>
                  <w:vAlign w:val="center"/>
                </w:tcPr>
                <w:p w14:paraId="7E9A1B9F">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p>
              </w:tc>
              <w:tc>
                <w:tcPr>
                  <w:tcW w:w="1037" w:type="dxa"/>
                  <w:tcBorders>
                    <w:tl2br w:val="nil"/>
                    <w:tr2bl w:val="nil"/>
                  </w:tcBorders>
                  <w:noWrap w:val="0"/>
                  <w:vAlign w:val="center"/>
                </w:tcPr>
                <w:p w14:paraId="7124263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47.4</w:t>
                  </w:r>
                </w:p>
              </w:tc>
              <w:tc>
                <w:tcPr>
                  <w:tcW w:w="1025" w:type="dxa"/>
                  <w:tcBorders>
                    <w:tl2br w:val="nil"/>
                    <w:tr2bl w:val="nil"/>
                  </w:tcBorders>
                  <w:noWrap w:val="0"/>
                  <w:vAlign w:val="center"/>
                </w:tcPr>
                <w:p w14:paraId="6D614F2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6F824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3" w:type="dxa"/>
                  <w:vMerge w:val="continue"/>
                  <w:tcBorders>
                    <w:tl2br w:val="nil"/>
                    <w:tr2bl w:val="nil"/>
                  </w:tcBorders>
                  <w:noWrap w:val="0"/>
                  <w:vAlign w:val="center"/>
                </w:tcPr>
                <w:p w14:paraId="3B09D3A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p>
              </w:tc>
              <w:tc>
                <w:tcPr>
                  <w:tcW w:w="1534" w:type="dxa"/>
                  <w:vMerge w:val="continue"/>
                  <w:tcBorders>
                    <w:tl2br w:val="nil"/>
                    <w:tr2bl w:val="nil"/>
                  </w:tcBorders>
                  <w:noWrap w:val="0"/>
                  <w:vAlign w:val="center"/>
                </w:tcPr>
                <w:p w14:paraId="0C05D4E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398" w:type="dxa"/>
                  <w:tcBorders>
                    <w:tl2br w:val="nil"/>
                    <w:tr2bl w:val="nil"/>
                  </w:tcBorders>
                  <w:noWrap w:val="0"/>
                  <w:vAlign w:val="center"/>
                </w:tcPr>
                <w:p w14:paraId="35DF950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2月26日</w:t>
                  </w:r>
                </w:p>
              </w:tc>
              <w:tc>
                <w:tcPr>
                  <w:tcW w:w="1224" w:type="dxa"/>
                  <w:tcBorders>
                    <w:tl2br w:val="nil"/>
                    <w:tr2bl w:val="nil"/>
                  </w:tcBorders>
                  <w:noWrap w:val="0"/>
                  <w:vAlign w:val="center"/>
                </w:tcPr>
                <w:p w14:paraId="16DB0B0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0.88</w:t>
                  </w:r>
                  <w:r>
                    <w:rPr>
                      <w:rFonts w:hint="eastAsia" w:cs="Times New Roman"/>
                      <w:sz w:val="21"/>
                      <w:szCs w:val="21"/>
                      <w:highlight w:val="none"/>
                      <w:vertAlign w:val="baseline"/>
                      <w:lang w:val="en-US" w:eastAsia="zh-CN"/>
                    </w:rPr>
                    <w:t>—</w:t>
                  </w:r>
                  <w:r>
                    <w:rPr>
                      <w:rFonts w:hint="eastAsia" w:ascii="Times New Roman" w:hAnsi="Times New Roman" w:eastAsia="宋体" w:cs="Times New Roman"/>
                      <w:sz w:val="21"/>
                      <w:szCs w:val="21"/>
                      <w:highlight w:val="none"/>
                      <w:vertAlign w:val="baseline"/>
                      <w:lang w:val="en-US" w:eastAsia="zh-CN"/>
                    </w:rPr>
                    <w:t>0.95mg/m</w:t>
                  </w:r>
                  <w:r>
                    <w:rPr>
                      <w:rFonts w:hint="eastAsia" w:ascii="Times New Roman" w:hAnsi="Times New Roman" w:eastAsia="宋体" w:cs="Times New Roman"/>
                      <w:sz w:val="21"/>
                      <w:szCs w:val="21"/>
                      <w:highlight w:val="none"/>
                      <w:vertAlign w:val="superscript"/>
                      <w:lang w:val="en-US" w:eastAsia="zh-CN"/>
                    </w:rPr>
                    <w:t>3</w:t>
                  </w:r>
                </w:p>
              </w:tc>
              <w:tc>
                <w:tcPr>
                  <w:tcW w:w="1045" w:type="dxa"/>
                  <w:vMerge w:val="continue"/>
                  <w:tcBorders>
                    <w:tl2br w:val="nil"/>
                    <w:tr2bl w:val="nil"/>
                  </w:tcBorders>
                  <w:noWrap w:val="0"/>
                  <w:vAlign w:val="center"/>
                </w:tcPr>
                <w:p w14:paraId="50B9074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p>
              </w:tc>
              <w:tc>
                <w:tcPr>
                  <w:tcW w:w="1037" w:type="dxa"/>
                  <w:tcBorders>
                    <w:tl2br w:val="nil"/>
                    <w:tr2bl w:val="nil"/>
                  </w:tcBorders>
                  <w:noWrap w:val="0"/>
                  <w:vAlign w:val="center"/>
                </w:tcPr>
                <w:p w14:paraId="7D57969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45.6</w:t>
                  </w:r>
                </w:p>
              </w:tc>
              <w:tc>
                <w:tcPr>
                  <w:tcW w:w="1025" w:type="dxa"/>
                  <w:tcBorders>
                    <w:tl2br w:val="nil"/>
                    <w:tr2bl w:val="nil"/>
                  </w:tcBorders>
                  <w:noWrap w:val="0"/>
                  <w:vAlign w:val="center"/>
                </w:tcPr>
                <w:p w14:paraId="2BDC807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3983F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3" w:type="dxa"/>
                  <w:vMerge w:val="continue"/>
                  <w:tcBorders>
                    <w:tl2br w:val="nil"/>
                    <w:tr2bl w:val="nil"/>
                  </w:tcBorders>
                  <w:noWrap w:val="0"/>
                  <w:vAlign w:val="center"/>
                </w:tcPr>
                <w:p w14:paraId="30CE57A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p>
              </w:tc>
              <w:tc>
                <w:tcPr>
                  <w:tcW w:w="1534" w:type="dxa"/>
                  <w:vMerge w:val="restart"/>
                  <w:tcBorders>
                    <w:tl2br w:val="nil"/>
                    <w:tr2bl w:val="nil"/>
                  </w:tcBorders>
                  <w:noWrap w:val="0"/>
                  <w:vAlign w:val="center"/>
                </w:tcPr>
                <w:p w14:paraId="1D56963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TSP</w:t>
                  </w:r>
                </w:p>
              </w:tc>
              <w:tc>
                <w:tcPr>
                  <w:tcW w:w="1398" w:type="dxa"/>
                  <w:tcBorders>
                    <w:tl2br w:val="nil"/>
                    <w:tr2bl w:val="nil"/>
                  </w:tcBorders>
                  <w:noWrap w:val="0"/>
                  <w:vAlign w:val="center"/>
                </w:tcPr>
                <w:p w14:paraId="2D7E2F3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2月24日</w:t>
                  </w:r>
                  <w:r>
                    <w:rPr>
                      <w:rFonts w:hint="eastAsia" w:cs="Times New Roman"/>
                      <w:sz w:val="21"/>
                      <w:szCs w:val="21"/>
                      <w:highlight w:val="none"/>
                      <w:vertAlign w:val="baseline"/>
                      <w:lang w:val="en-US" w:eastAsia="zh-CN"/>
                    </w:rPr>
                    <w:t>—</w:t>
                  </w:r>
                  <w:r>
                    <w:rPr>
                      <w:rFonts w:hint="eastAsia" w:ascii="Times New Roman" w:hAnsi="Times New Roman" w:eastAsia="宋体" w:cs="Times New Roman"/>
                      <w:sz w:val="21"/>
                      <w:szCs w:val="21"/>
                      <w:highlight w:val="none"/>
                      <w:vertAlign w:val="baseline"/>
                      <w:lang w:val="en-US" w:eastAsia="zh-CN"/>
                    </w:rPr>
                    <w:t>25日</w:t>
                  </w:r>
                </w:p>
              </w:tc>
              <w:tc>
                <w:tcPr>
                  <w:tcW w:w="1224" w:type="dxa"/>
                  <w:tcBorders>
                    <w:tl2br w:val="nil"/>
                    <w:tr2bl w:val="nil"/>
                  </w:tcBorders>
                  <w:noWrap w:val="0"/>
                  <w:vAlign w:val="center"/>
                </w:tcPr>
                <w:p w14:paraId="62BB150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114</w:t>
                  </w:r>
                  <w:r>
                    <w:rPr>
                      <w:rFonts w:hint="default" w:ascii="Times New Roman" w:hAnsi="Times New Roman" w:eastAsia="宋体" w:cs="Times New Roman"/>
                      <w:sz w:val="21"/>
                      <w:szCs w:val="21"/>
                      <w:highlight w:val="none"/>
                      <w:vertAlign w:val="baseline"/>
                      <w:lang w:val="en-US" w:eastAsia="zh-CN"/>
                    </w:rPr>
                    <w:t>μg/m</w:t>
                  </w:r>
                  <w:r>
                    <w:rPr>
                      <w:rFonts w:hint="default" w:ascii="Times New Roman" w:hAnsi="Times New Roman" w:eastAsia="宋体" w:cs="Times New Roman"/>
                      <w:sz w:val="21"/>
                      <w:szCs w:val="21"/>
                      <w:highlight w:val="none"/>
                      <w:vertAlign w:val="superscript"/>
                      <w:lang w:val="en-US" w:eastAsia="zh-CN"/>
                    </w:rPr>
                    <w:t>3</w:t>
                  </w:r>
                </w:p>
              </w:tc>
              <w:tc>
                <w:tcPr>
                  <w:tcW w:w="1045" w:type="dxa"/>
                  <w:vMerge w:val="restart"/>
                  <w:tcBorders>
                    <w:tl2br w:val="nil"/>
                    <w:tr2bl w:val="nil"/>
                  </w:tcBorders>
                  <w:noWrap w:val="0"/>
                  <w:vAlign w:val="center"/>
                </w:tcPr>
                <w:p w14:paraId="776DA6B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300</w:t>
                  </w:r>
                  <w:r>
                    <w:rPr>
                      <w:rFonts w:hint="default" w:ascii="Times New Roman" w:hAnsi="Times New Roman" w:eastAsia="宋体" w:cs="Times New Roman"/>
                      <w:sz w:val="21"/>
                      <w:szCs w:val="21"/>
                      <w:highlight w:val="none"/>
                      <w:vertAlign w:val="baseline"/>
                      <w:lang w:val="en-US" w:eastAsia="zh-CN"/>
                    </w:rPr>
                    <w:t>μg/m</w:t>
                  </w:r>
                  <w:r>
                    <w:rPr>
                      <w:rFonts w:hint="default" w:ascii="Times New Roman" w:hAnsi="Times New Roman" w:eastAsia="宋体" w:cs="Times New Roman"/>
                      <w:sz w:val="21"/>
                      <w:szCs w:val="21"/>
                      <w:highlight w:val="none"/>
                      <w:vertAlign w:val="superscript"/>
                      <w:lang w:val="en-US" w:eastAsia="zh-CN"/>
                    </w:rPr>
                    <w:t>3</w:t>
                  </w:r>
                </w:p>
              </w:tc>
              <w:tc>
                <w:tcPr>
                  <w:tcW w:w="1037" w:type="dxa"/>
                  <w:tcBorders>
                    <w:tl2br w:val="nil"/>
                    <w:tr2bl w:val="nil"/>
                  </w:tcBorders>
                  <w:noWrap w:val="0"/>
                  <w:vAlign w:val="center"/>
                </w:tcPr>
                <w:p w14:paraId="6759296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38.0</w:t>
                  </w:r>
                </w:p>
              </w:tc>
              <w:tc>
                <w:tcPr>
                  <w:tcW w:w="1025" w:type="dxa"/>
                  <w:tcBorders>
                    <w:tl2br w:val="nil"/>
                    <w:tr2bl w:val="nil"/>
                  </w:tcBorders>
                  <w:noWrap w:val="0"/>
                  <w:vAlign w:val="center"/>
                </w:tcPr>
                <w:p w14:paraId="584A027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56E383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3" w:type="dxa"/>
                  <w:vMerge w:val="continue"/>
                  <w:tcBorders>
                    <w:tl2br w:val="nil"/>
                    <w:tr2bl w:val="nil"/>
                  </w:tcBorders>
                  <w:noWrap w:val="0"/>
                  <w:vAlign w:val="center"/>
                </w:tcPr>
                <w:p w14:paraId="31F29EB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p>
              </w:tc>
              <w:tc>
                <w:tcPr>
                  <w:tcW w:w="1534" w:type="dxa"/>
                  <w:vMerge w:val="continue"/>
                  <w:tcBorders>
                    <w:tl2br w:val="nil"/>
                    <w:tr2bl w:val="nil"/>
                  </w:tcBorders>
                  <w:noWrap w:val="0"/>
                  <w:vAlign w:val="center"/>
                </w:tcPr>
                <w:p w14:paraId="010C0ED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398" w:type="dxa"/>
                  <w:tcBorders>
                    <w:tl2br w:val="nil"/>
                    <w:tr2bl w:val="nil"/>
                  </w:tcBorders>
                  <w:noWrap w:val="0"/>
                  <w:vAlign w:val="center"/>
                </w:tcPr>
                <w:p w14:paraId="01A9F77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2月25日</w:t>
                  </w:r>
                  <w:r>
                    <w:rPr>
                      <w:rFonts w:hint="eastAsia" w:cs="Times New Roman"/>
                      <w:sz w:val="21"/>
                      <w:szCs w:val="21"/>
                      <w:highlight w:val="none"/>
                      <w:vertAlign w:val="baseline"/>
                      <w:lang w:val="en-US" w:eastAsia="zh-CN"/>
                    </w:rPr>
                    <w:t>—</w:t>
                  </w:r>
                  <w:r>
                    <w:rPr>
                      <w:rFonts w:hint="eastAsia" w:ascii="Times New Roman" w:hAnsi="Times New Roman" w:eastAsia="宋体" w:cs="Times New Roman"/>
                      <w:sz w:val="21"/>
                      <w:szCs w:val="21"/>
                      <w:highlight w:val="none"/>
                      <w:vertAlign w:val="baseline"/>
                      <w:lang w:val="en-US" w:eastAsia="zh-CN"/>
                    </w:rPr>
                    <w:t>26日</w:t>
                  </w:r>
                </w:p>
              </w:tc>
              <w:tc>
                <w:tcPr>
                  <w:tcW w:w="1224" w:type="dxa"/>
                  <w:tcBorders>
                    <w:tl2br w:val="nil"/>
                    <w:tr2bl w:val="nil"/>
                  </w:tcBorders>
                  <w:noWrap w:val="0"/>
                  <w:vAlign w:val="center"/>
                </w:tcPr>
                <w:p w14:paraId="2EB893C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113</w:t>
                  </w:r>
                  <w:r>
                    <w:rPr>
                      <w:rFonts w:hint="default" w:ascii="Times New Roman" w:hAnsi="Times New Roman" w:eastAsia="宋体" w:cs="Times New Roman"/>
                      <w:sz w:val="21"/>
                      <w:szCs w:val="21"/>
                      <w:highlight w:val="none"/>
                      <w:vertAlign w:val="baseline"/>
                      <w:lang w:val="en-US" w:eastAsia="zh-CN"/>
                    </w:rPr>
                    <w:t>μg/m</w:t>
                  </w:r>
                  <w:r>
                    <w:rPr>
                      <w:rFonts w:hint="default" w:ascii="Times New Roman" w:hAnsi="Times New Roman" w:eastAsia="宋体" w:cs="Times New Roman"/>
                      <w:sz w:val="21"/>
                      <w:szCs w:val="21"/>
                      <w:highlight w:val="none"/>
                      <w:vertAlign w:val="superscript"/>
                      <w:lang w:val="en-US" w:eastAsia="zh-CN"/>
                    </w:rPr>
                    <w:t>3</w:t>
                  </w:r>
                </w:p>
              </w:tc>
              <w:tc>
                <w:tcPr>
                  <w:tcW w:w="1045" w:type="dxa"/>
                  <w:vMerge w:val="continue"/>
                  <w:tcBorders>
                    <w:tl2br w:val="nil"/>
                    <w:tr2bl w:val="nil"/>
                  </w:tcBorders>
                  <w:noWrap w:val="0"/>
                  <w:vAlign w:val="center"/>
                </w:tcPr>
                <w:p w14:paraId="4723858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p>
              </w:tc>
              <w:tc>
                <w:tcPr>
                  <w:tcW w:w="1037" w:type="dxa"/>
                  <w:tcBorders>
                    <w:tl2br w:val="nil"/>
                    <w:tr2bl w:val="nil"/>
                  </w:tcBorders>
                  <w:noWrap w:val="0"/>
                  <w:vAlign w:val="center"/>
                </w:tcPr>
                <w:p w14:paraId="4D8E17F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37.7</w:t>
                  </w:r>
                </w:p>
              </w:tc>
              <w:tc>
                <w:tcPr>
                  <w:tcW w:w="1025" w:type="dxa"/>
                  <w:tcBorders>
                    <w:tl2br w:val="nil"/>
                    <w:tr2bl w:val="nil"/>
                  </w:tcBorders>
                  <w:noWrap w:val="0"/>
                  <w:vAlign w:val="center"/>
                </w:tcPr>
                <w:p w14:paraId="26B00CB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r w14:paraId="2CEC6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3" w:type="dxa"/>
                  <w:vMerge w:val="continue"/>
                  <w:tcBorders>
                    <w:tl2br w:val="nil"/>
                    <w:tr2bl w:val="nil"/>
                  </w:tcBorders>
                  <w:noWrap w:val="0"/>
                  <w:vAlign w:val="center"/>
                </w:tcPr>
                <w:p w14:paraId="59D8665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subscript"/>
                      <w:lang w:val="en-US" w:eastAsia="zh-CN"/>
                    </w:rPr>
                  </w:pPr>
                </w:p>
              </w:tc>
              <w:tc>
                <w:tcPr>
                  <w:tcW w:w="1534" w:type="dxa"/>
                  <w:vMerge w:val="continue"/>
                  <w:tcBorders>
                    <w:tl2br w:val="nil"/>
                    <w:tr2bl w:val="nil"/>
                  </w:tcBorders>
                  <w:noWrap w:val="0"/>
                  <w:vAlign w:val="center"/>
                </w:tcPr>
                <w:p w14:paraId="624166E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398" w:type="dxa"/>
                  <w:tcBorders>
                    <w:tl2br w:val="nil"/>
                    <w:tr2bl w:val="nil"/>
                  </w:tcBorders>
                  <w:noWrap w:val="0"/>
                  <w:vAlign w:val="center"/>
                </w:tcPr>
                <w:p w14:paraId="6B78D0E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2月26日</w:t>
                  </w:r>
                  <w:r>
                    <w:rPr>
                      <w:rFonts w:hint="eastAsia" w:cs="Times New Roman"/>
                      <w:sz w:val="21"/>
                      <w:szCs w:val="21"/>
                      <w:highlight w:val="none"/>
                      <w:vertAlign w:val="baseline"/>
                      <w:lang w:val="en-US" w:eastAsia="zh-CN"/>
                    </w:rPr>
                    <w:t>—</w:t>
                  </w:r>
                  <w:r>
                    <w:rPr>
                      <w:rFonts w:hint="eastAsia" w:ascii="Times New Roman" w:hAnsi="Times New Roman" w:eastAsia="宋体" w:cs="Times New Roman"/>
                      <w:sz w:val="21"/>
                      <w:szCs w:val="21"/>
                      <w:highlight w:val="none"/>
                      <w:vertAlign w:val="baseline"/>
                      <w:lang w:val="en-US" w:eastAsia="zh-CN"/>
                    </w:rPr>
                    <w:t>27日</w:t>
                  </w:r>
                </w:p>
              </w:tc>
              <w:tc>
                <w:tcPr>
                  <w:tcW w:w="1224" w:type="dxa"/>
                  <w:tcBorders>
                    <w:tl2br w:val="nil"/>
                    <w:tr2bl w:val="nil"/>
                  </w:tcBorders>
                  <w:noWrap w:val="0"/>
                  <w:vAlign w:val="center"/>
                </w:tcPr>
                <w:p w14:paraId="0871C0E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114</w:t>
                  </w:r>
                  <w:r>
                    <w:rPr>
                      <w:rFonts w:hint="default" w:ascii="Times New Roman" w:hAnsi="Times New Roman" w:eastAsia="宋体" w:cs="Times New Roman"/>
                      <w:sz w:val="21"/>
                      <w:szCs w:val="21"/>
                      <w:highlight w:val="none"/>
                      <w:vertAlign w:val="baseline"/>
                      <w:lang w:val="en-US" w:eastAsia="zh-CN"/>
                    </w:rPr>
                    <w:t>μg/m</w:t>
                  </w:r>
                  <w:r>
                    <w:rPr>
                      <w:rFonts w:hint="default" w:ascii="Times New Roman" w:hAnsi="Times New Roman" w:eastAsia="宋体" w:cs="Times New Roman"/>
                      <w:sz w:val="21"/>
                      <w:szCs w:val="21"/>
                      <w:highlight w:val="none"/>
                      <w:vertAlign w:val="superscript"/>
                      <w:lang w:val="en-US" w:eastAsia="zh-CN"/>
                    </w:rPr>
                    <w:t>3</w:t>
                  </w:r>
                </w:p>
              </w:tc>
              <w:tc>
                <w:tcPr>
                  <w:tcW w:w="1045" w:type="dxa"/>
                  <w:vMerge w:val="continue"/>
                  <w:tcBorders>
                    <w:tl2br w:val="nil"/>
                    <w:tr2bl w:val="nil"/>
                  </w:tcBorders>
                  <w:noWrap w:val="0"/>
                  <w:vAlign w:val="center"/>
                </w:tcPr>
                <w:p w14:paraId="751BE66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p>
              </w:tc>
              <w:tc>
                <w:tcPr>
                  <w:tcW w:w="1037" w:type="dxa"/>
                  <w:tcBorders>
                    <w:tl2br w:val="nil"/>
                    <w:tr2bl w:val="nil"/>
                  </w:tcBorders>
                  <w:noWrap w:val="0"/>
                  <w:vAlign w:val="center"/>
                </w:tcPr>
                <w:p w14:paraId="29FA1CF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38.0</w:t>
                  </w:r>
                </w:p>
              </w:tc>
              <w:tc>
                <w:tcPr>
                  <w:tcW w:w="1025" w:type="dxa"/>
                  <w:tcBorders>
                    <w:tl2br w:val="nil"/>
                    <w:tr2bl w:val="nil"/>
                  </w:tcBorders>
                  <w:noWrap w:val="0"/>
                  <w:vAlign w:val="center"/>
                </w:tcPr>
                <w:p w14:paraId="639B72B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达标</w:t>
                  </w:r>
                </w:p>
              </w:tc>
            </w:tr>
          </w:tbl>
          <w:p w14:paraId="1263EDC7">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由上表可知，项目所在地</w:t>
            </w:r>
            <w:r>
              <w:rPr>
                <w:rFonts w:hint="default" w:ascii="Times New Roman" w:hAnsi="Times New Roman" w:eastAsia="宋体" w:cs="Times New Roman"/>
                <w:sz w:val="24"/>
                <w:szCs w:val="24"/>
                <w:highlight w:val="none"/>
                <w:lang w:val="en-US" w:eastAsia="zh-CN"/>
              </w:rPr>
              <w:t>TSP</w:t>
            </w:r>
            <w:r>
              <w:rPr>
                <w:rFonts w:hint="eastAsia" w:ascii="Times New Roman" w:hAnsi="Times New Roman" w:eastAsia="宋体" w:cs="Times New Roman"/>
                <w:sz w:val="24"/>
                <w:szCs w:val="24"/>
                <w:highlight w:val="none"/>
                <w:lang w:val="en-US" w:eastAsia="zh-CN"/>
              </w:rPr>
              <w:t>、非甲烷总烃监测结果满足标准限值要求。</w:t>
            </w:r>
          </w:p>
          <w:p w14:paraId="61DE04CB">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二</w:t>
            </w:r>
            <w:r>
              <w:rPr>
                <w:rFonts w:hint="default" w:ascii="Times New Roman" w:hAnsi="Times New Roman" w:eastAsia="宋体" w:cs="Times New Roman"/>
                <w:b/>
                <w:bCs/>
                <w:sz w:val="24"/>
                <w:szCs w:val="24"/>
                <w:highlight w:val="none"/>
                <w:lang w:val="en-US" w:eastAsia="zh-CN"/>
              </w:rPr>
              <w:t>、地表水质量现状</w:t>
            </w:r>
          </w:p>
          <w:p w14:paraId="5B26242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cs="Times New Roman"/>
                <w:sz w:val="24"/>
                <w:szCs w:val="24"/>
                <w:highlight w:val="none"/>
                <w:lang w:val="en-US" w:eastAsia="zh-CN"/>
              </w:rPr>
              <w:t>本项目最近的地表水体为西侧的石子河（浊漳南源的主要支流），距离约0.33km，</w:t>
            </w:r>
            <w:r>
              <w:rPr>
                <w:rFonts w:hint="default" w:ascii="Times New Roman" w:hAnsi="Times New Roman" w:eastAsia="宋体" w:cs="Times New Roman"/>
                <w:sz w:val="24"/>
                <w:szCs w:val="24"/>
                <w:highlight w:val="none"/>
                <w:lang w:val="en-US" w:eastAsia="zh-CN"/>
              </w:rPr>
              <w:t>依据山西省地方标准《山西省</w:t>
            </w:r>
            <w:r>
              <w:rPr>
                <w:rFonts w:hint="eastAsia" w:cs="Times New Roman"/>
                <w:sz w:val="24"/>
                <w:szCs w:val="24"/>
                <w:highlight w:val="none"/>
                <w:lang w:val="en-US" w:eastAsia="zh-CN"/>
              </w:rPr>
              <w:t>地表</w:t>
            </w:r>
            <w:r>
              <w:rPr>
                <w:rFonts w:hint="default" w:ascii="Times New Roman" w:hAnsi="Times New Roman" w:eastAsia="宋体" w:cs="Times New Roman"/>
                <w:sz w:val="24"/>
                <w:szCs w:val="24"/>
                <w:highlight w:val="none"/>
                <w:lang w:val="en-US" w:eastAsia="zh-CN"/>
              </w:rPr>
              <w:t>水环境功能区划》（DB14/67-2019）</w:t>
            </w:r>
            <w:r>
              <w:rPr>
                <w:rFonts w:hint="eastAsia" w:cs="Times New Roman"/>
                <w:sz w:val="24"/>
                <w:szCs w:val="24"/>
                <w:highlight w:val="none"/>
                <w:lang w:val="en-US" w:eastAsia="zh-CN"/>
              </w:rPr>
              <w:t>，本项目所在区域属于海河流域，漳河山区，浊漳河水系，浊漳南源“申村水库出口至漳泽水库入口”段，</w:t>
            </w:r>
            <w:r>
              <w:rPr>
                <w:rFonts w:hint="default" w:ascii="Times New Roman" w:hAnsi="Times New Roman" w:eastAsia="宋体" w:cs="Times New Roman"/>
                <w:sz w:val="24"/>
                <w:szCs w:val="24"/>
                <w:highlight w:val="none"/>
                <w:lang w:val="en-US" w:eastAsia="zh-CN"/>
              </w:rPr>
              <w:t>水质要求为</w:t>
            </w:r>
            <w:r>
              <w:rPr>
                <w:rFonts w:hint="default" w:ascii="Times New Roman" w:hAnsi="Times New Roman" w:eastAsia="仿宋" w:cs="Times New Roman"/>
                <w:sz w:val="24"/>
                <w:szCs w:val="24"/>
                <w:highlight w:val="none"/>
                <w:lang w:val="en-US" w:eastAsia="zh-CN"/>
              </w:rPr>
              <w:t>Ⅴ</w:t>
            </w:r>
            <w:r>
              <w:rPr>
                <w:rFonts w:hint="default" w:ascii="Times New Roman" w:hAnsi="Times New Roman" w:eastAsia="宋体" w:cs="Times New Roman"/>
                <w:sz w:val="24"/>
                <w:szCs w:val="24"/>
                <w:highlight w:val="none"/>
                <w:lang w:val="en-US" w:eastAsia="zh-CN"/>
              </w:rPr>
              <w:t>类</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监测断面为暴马断面，</w:t>
            </w:r>
            <w:r>
              <w:rPr>
                <w:rFonts w:hint="eastAsia" w:ascii="Times New Roman" w:hAnsi="Times New Roman" w:eastAsia="宋体" w:cs="Times New Roman"/>
                <w:sz w:val="24"/>
                <w:szCs w:val="24"/>
                <w:highlight w:val="none"/>
                <w:lang w:val="en-US" w:eastAsia="zh-CN"/>
              </w:rPr>
              <w:t>水环境功能为一般景观用水保护</w:t>
            </w:r>
            <w:r>
              <w:rPr>
                <w:rFonts w:hint="default" w:ascii="Times New Roman" w:hAnsi="Times New Roman" w:eastAsia="宋体" w:cs="Times New Roman"/>
                <w:sz w:val="24"/>
                <w:szCs w:val="24"/>
                <w:highlight w:val="none"/>
                <w:lang w:val="en-US" w:eastAsia="zh-CN"/>
              </w:rPr>
              <w:t>。</w:t>
            </w:r>
          </w:p>
          <w:p w14:paraId="56A61708">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本次环评引用了长治市</w:t>
            </w:r>
            <w:r>
              <w:rPr>
                <w:rFonts w:hint="eastAsia" w:ascii="Times New Roman" w:hAnsi="Times New Roman" w:eastAsia="宋体" w:cs="Times New Roman"/>
                <w:sz w:val="24"/>
                <w:szCs w:val="24"/>
                <w:highlight w:val="none"/>
                <w:lang w:val="en-US" w:eastAsia="zh-CN"/>
              </w:rPr>
              <w:t>生态环境保护委员会</w:t>
            </w:r>
            <w:r>
              <w:rPr>
                <w:rFonts w:hint="default" w:ascii="Times New Roman" w:hAnsi="Times New Roman" w:eastAsia="宋体" w:cs="Times New Roman"/>
                <w:sz w:val="24"/>
                <w:szCs w:val="24"/>
                <w:highlight w:val="none"/>
                <w:lang w:val="en-US" w:eastAsia="zh-CN"/>
              </w:rPr>
              <w:t>办公室公布的</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202</w:t>
            </w: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lang w:val="en-US" w:eastAsia="zh-CN"/>
              </w:rPr>
              <w:t>年1-12月</w:t>
            </w:r>
            <w:r>
              <w:rPr>
                <w:rFonts w:hint="eastAsia" w:ascii="Times New Roman" w:hAnsi="Times New Roman" w:eastAsia="宋体" w:cs="Times New Roman"/>
                <w:sz w:val="24"/>
                <w:szCs w:val="24"/>
                <w:highlight w:val="none"/>
                <w:lang w:val="en-US" w:eastAsia="zh-CN"/>
              </w:rPr>
              <w:t>份及12月份各县区生态环境质量信息》</w:t>
            </w:r>
            <w:r>
              <w:rPr>
                <w:rFonts w:hint="default" w:ascii="Times New Roman" w:hAnsi="Times New Roman" w:eastAsia="宋体" w:cs="Times New Roman"/>
                <w:sz w:val="24"/>
                <w:szCs w:val="24"/>
                <w:highlight w:val="none"/>
                <w:lang w:val="en-US" w:eastAsia="zh-CN"/>
              </w:rPr>
              <w:t>，浊漳南源暴马断面202</w:t>
            </w: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lang w:val="en-US" w:eastAsia="zh-CN"/>
              </w:rPr>
              <w:t>年1-12月水质类别为Ⅳ类水质，满足《地表水环境质量标准》（GB3838-2002）中的V类标准限值。</w:t>
            </w:r>
          </w:p>
          <w:p w14:paraId="76583F82">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三</w:t>
            </w:r>
            <w:r>
              <w:rPr>
                <w:rFonts w:hint="default" w:ascii="Times New Roman" w:hAnsi="Times New Roman" w:eastAsia="宋体" w:cs="Times New Roman"/>
                <w:b/>
                <w:bCs/>
                <w:sz w:val="24"/>
                <w:szCs w:val="24"/>
                <w:highlight w:val="none"/>
                <w:lang w:val="en-US" w:eastAsia="zh-CN"/>
              </w:rPr>
              <w:t>、声环境质量现状</w:t>
            </w:r>
          </w:p>
          <w:p w14:paraId="607E29FD">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4"/>
                <w:szCs w:val="24"/>
                <w:highlight w:val="none"/>
                <w:lang w:val="en-US" w:eastAsia="zh-CN"/>
              </w:rPr>
              <w:t>根据《声环境质量标准》（GB3096-2008）</w:t>
            </w:r>
            <w:r>
              <w:rPr>
                <w:rFonts w:hint="eastAsia" w:ascii="Times New Roman" w:hAnsi="Times New Roman" w:eastAsia="宋体" w:cs="Times New Roman"/>
                <w:sz w:val="24"/>
                <w:szCs w:val="24"/>
                <w:highlight w:val="none"/>
                <w:lang w:val="en-US" w:eastAsia="zh-CN"/>
              </w:rPr>
              <w:t>项目所在地属于2</w:t>
            </w:r>
            <w:r>
              <w:rPr>
                <w:rFonts w:hint="default" w:ascii="Times New Roman" w:hAnsi="Times New Roman" w:eastAsia="宋体" w:cs="Times New Roman"/>
                <w:sz w:val="24"/>
                <w:szCs w:val="24"/>
                <w:highlight w:val="none"/>
                <w:lang w:val="en-US" w:eastAsia="zh-CN"/>
              </w:rPr>
              <w:t>类</w:t>
            </w:r>
            <w:r>
              <w:rPr>
                <w:rFonts w:hint="eastAsia" w:ascii="Times New Roman" w:hAnsi="Times New Roman" w:eastAsia="宋体" w:cs="Times New Roman"/>
                <w:sz w:val="24"/>
                <w:szCs w:val="24"/>
                <w:highlight w:val="none"/>
                <w:lang w:val="en-US" w:eastAsia="zh-CN"/>
              </w:rPr>
              <w:t>声环境功能区，执行标准中2类标准限制。本次环评委托</w:t>
            </w:r>
            <w:r>
              <w:rPr>
                <w:rFonts w:hint="eastAsia" w:ascii="Times New Roman" w:hAnsi="Times New Roman" w:eastAsia="宋体" w:cs="Times New Roman"/>
                <w:sz w:val="24"/>
                <w:szCs w:val="24"/>
                <w:highlight w:val="none"/>
                <w:lang w:val="en-US" w:eastAsia="zh-CN"/>
              </w:rPr>
              <w:fldChar w:fldCharType="begin"/>
            </w:r>
            <w:r>
              <w:rPr>
                <w:rFonts w:hint="eastAsia" w:ascii="Times New Roman" w:hAnsi="Times New Roman" w:eastAsia="宋体" w:cs="Times New Roman"/>
                <w:sz w:val="24"/>
                <w:szCs w:val="24"/>
                <w:highlight w:val="none"/>
                <w:lang w:val="en-US" w:eastAsia="zh-CN"/>
              </w:rPr>
              <w:instrText xml:space="preserve"> HYPERLINK "https://www.qcc.com/firm/21f6f33f140182c658a1a496262dd97a.html" \t "https://cn.bing.com/_blank" </w:instrText>
            </w:r>
            <w:r>
              <w:rPr>
                <w:rFonts w:hint="eastAsia" w:ascii="Times New Roman" w:hAnsi="Times New Roman" w:eastAsia="宋体" w:cs="Times New Roman"/>
                <w:sz w:val="24"/>
                <w:szCs w:val="24"/>
                <w:highlight w:val="none"/>
                <w:lang w:val="en-US" w:eastAsia="zh-CN"/>
              </w:rPr>
              <w:fldChar w:fldCharType="separate"/>
            </w:r>
            <w:r>
              <w:rPr>
                <w:rFonts w:hint="eastAsia" w:ascii="Times New Roman" w:hAnsi="Times New Roman" w:eastAsia="宋体" w:cs="Times New Roman"/>
                <w:sz w:val="24"/>
                <w:szCs w:val="24"/>
                <w:highlight w:val="none"/>
                <w:lang w:val="en-US" w:eastAsia="zh-CN"/>
              </w:rPr>
              <w:t>山西泰之合环境监测有限公司</w:t>
            </w:r>
            <w:r>
              <w:rPr>
                <w:rFonts w:hint="eastAsia" w:ascii="Times New Roman" w:hAnsi="Times New Roman" w:eastAsia="宋体" w:cs="Times New Roman"/>
                <w:sz w:val="24"/>
                <w:szCs w:val="24"/>
                <w:highlight w:val="none"/>
                <w:lang w:val="en-US" w:eastAsia="zh-CN"/>
              </w:rPr>
              <w:fldChar w:fldCharType="end"/>
            </w:r>
            <w:r>
              <w:rPr>
                <w:rFonts w:hint="eastAsia" w:ascii="Times New Roman" w:hAnsi="Times New Roman" w:eastAsia="宋体" w:cs="Times New Roman"/>
                <w:sz w:val="24"/>
                <w:szCs w:val="24"/>
                <w:highlight w:val="none"/>
                <w:lang w:val="en-US" w:eastAsia="zh-CN"/>
              </w:rPr>
              <w:t>于2025年2月24日对</w:t>
            </w:r>
            <w:r>
              <w:rPr>
                <w:rFonts w:hint="default" w:ascii="Times New Roman" w:hAnsi="Times New Roman" w:eastAsia="宋体" w:cs="Times New Roman"/>
                <w:sz w:val="24"/>
                <w:szCs w:val="24"/>
                <w:highlight w:val="none"/>
                <w:lang w:val="en-US" w:eastAsia="zh-CN"/>
              </w:rPr>
              <w:t>本项目声</w:t>
            </w:r>
            <w:r>
              <w:rPr>
                <w:rFonts w:hint="eastAsia" w:ascii="Times New Roman" w:hAnsi="Times New Roman" w:eastAsia="宋体" w:cs="Times New Roman"/>
                <w:sz w:val="24"/>
                <w:szCs w:val="24"/>
                <w:highlight w:val="none"/>
                <w:lang w:val="en-US" w:eastAsia="zh-CN"/>
              </w:rPr>
              <w:t>环境质量现状进行</w:t>
            </w:r>
            <w:r>
              <w:rPr>
                <w:rFonts w:hint="default" w:ascii="Times New Roman" w:hAnsi="Times New Roman" w:eastAsia="宋体" w:cs="Times New Roman"/>
                <w:sz w:val="24"/>
                <w:szCs w:val="24"/>
                <w:highlight w:val="none"/>
                <w:lang w:val="en-US" w:eastAsia="zh-CN"/>
              </w:rPr>
              <w:t>监测</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监测结果见下表</w:t>
            </w:r>
            <w:r>
              <w:rPr>
                <w:rFonts w:hint="eastAsia" w:ascii="Times New Roman" w:hAnsi="Times New Roman" w:eastAsia="宋体" w:cs="Times New Roman"/>
                <w:sz w:val="24"/>
                <w:szCs w:val="24"/>
                <w:highlight w:val="none"/>
                <w:lang w:val="en-US" w:eastAsia="zh-CN"/>
              </w:rPr>
              <w:t>，由监测结果</w:t>
            </w:r>
            <w:r>
              <w:rPr>
                <w:rFonts w:hint="default" w:ascii="Times New Roman" w:hAnsi="Times New Roman" w:eastAsia="宋体" w:cs="Times New Roman"/>
                <w:sz w:val="24"/>
                <w:szCs w:val="24"/>
                <w:highlight w:val="none"/>
                <w:lang w:val="en-US" w:eastAsia="zh-CN"/>
              </w:rPr>
              <w:t>可知本项目区域声环境质量较好，能够满足《声环境质量标准》（GB3096-2008）中的标准</w:t>
            </w:r>
            <w:r>
              <w:rPr>
                <w:rFonts w:hint="eastAsia" w:ascii="Times New Roman" w:hAnsi="Times New Roman" w:eastAsia="宋体" w:cs="Times New Roman"/>
                <w:sz w:val="24"/>
                <w:szCs w:val="24"/>
                <w:highlight w:val="none"/>
                <w:lang w:val="en-US" w:eastAsia="zh-CN"/>
              </w:rPr>
              <w:t>限值。</w:t>
            </w:r>
          </w:p>
          <w:p w14:paraId="2E172058">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表3</w:t>
            </w:r>
            <w:r>
              <w:rPr>
                <w:rFonts w:hint="eastAsia" w:ascii="Times New Roman" w:hAnsi="Times New Roman" w:eastAsia="宋体" w:cs="Times New Roman"/>
                <w:b/>
                <w:bCs/>
                <w:sz w:val="21"/>
                <w:szCs w:val="21"/>
                <w:highlight w:val="none"/>
                <w:lang w:val="en-US" w:eastAsia="zh-CN"/>
              </w:rPr>
              <w:t>-3</w:t>
            </w:r>
            <w:r>
              <w:rPr>
                <w:rFonts w:hint="default" w:ascii="Times New Roman" w:hAnsi="Times New Roman" w:eastAsia="宋体" w:cs="Times New Roman"/>
                <w:b/>
                <w:bCs/>
                <w:sz w:val="21"/>
                <w:szCs w:val="21"/>
                <w:highlight w:val="none"/>
                <w:lang w:val="en-US" w:eastAsia="zh-CN"/>
              </w:rPr>
              <w:t xml:space="preserve">  噪声监测结果一览表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906"/>
              <w:gridCol w:w="975"/>
              <w:gridCol w:w="818"/>
              <w:gridCol w:w="821"/>
              <w:gridCol w:w="823"/>
              <w:gridCol w:w="836"/>
              <w:gridCol w:w="827"/>
              <w:gridCol w:w="827"/>
              <w:gridCol w:w="827"/>
              <w:gridCol w:w="841"/>
            </w:tblGrid>
            <w:tr w14:paraId="0FE167C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537" w:type="pct"/>
                  <w:vMerge w:val="restart"/>
                  <w:tcBorders>
                    <w:tl2br w:val="nil"/>
                    <w:tr2bl w:val="nil"/>
                  </w:tcBorders>
                  <w:noWrap w:val="0"/>
                  <w:tcMar>
                    <w:top w:w="15" w:type="dxa"/>
                    <w:left w:w="15" w:type="dxa"/>
                    <w:bottom w:w="0" w:type="dxa"/>
                    <w:right w:w="15" w:type="dxa"/>
                  </w:tcMar>
                  <w:vAlign w:val="center"/>
                </w:tcPr>
                <w:p w14:paraId="6112B551">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监测点位</w:t>
                  </w:r>
                </w:p>
              </w:tc>
              <w:tc>
                <w:tcPr>
                  <w:tcW w:w="538" w:type="pct"/>
                  <w:vMerge w:val="restart"/>
                  <w:tcBorders>
                    <w:tl2br w:val="nil"/>
                    <w:tr2bl w:val="nil"/>
                  </w:tcBorders>
                  <w:noWrap w:val="0"/>
                  <w:tcMar>
                    <w:top w:w="15" w:type="dxa"/>
                    <w:left w:w="15" w:type="dxa"/>
                    <w:bottom w:w="0" w:type="dxa"/>
                    <w:right w:w="15" w:type="dxa"/>
                  </w:tcMar>
                  <w:vAlign w:val="center"/>
                </w:tcPr>
                <w:p w14:paraId="71C977DA">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监测</w:t>
                  </w:r>
                </w:p>
                <w:p w14:paraId="7DDFCF02">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时间</w:t>
                  </w:r>
                </w:p>
              </w:tc>
              <w:tc>
                <w:tcPr>
                  <w:tcW w:w="3924" w:type="pct"/>
                  <w:gridSpan w:val="8"/>
                  <w:tcBorders>
                    <w:tl2br w:val="nil"/>
                    <w:tr2bl w:val="nil"/>
                  </w:tcBorders>
                  <w:noWrap w:val="0"/>
                  <w:tcMar>
                    <w:top w:w="15" w:type="dxa"/>
                    <w:left w:w="15" w:type="dxa"/>
                    <w:bottom w:w="0" w:type="dxa"/>
                    <w:right w:w="15" w:type="dxa"/>
                  </w:tcMar>
                  <w:vAlign w:val="center"/>
                </w:tcPr>
                <w:p w14:paraId="5A87148E">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监测结果   dB（A）</w:t>
                  </w:r>
                </w:p>
              </w:tc>
            </w:tr>
            <w:tr w14:paraId="0AD3CF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537" w:type="pct"/>
                  <w:vMerge w:val="continue"/>
                  <w:tcBorders>
                    <w:tl2br w:val="nil"/>
                    <w:tr2bl w:val="nil"/>
                  </w:tcBorders>
                  <w:noWrap w:val="0"/>
                  <w:vAlign w:val="center"/>
                </w:tcPr>
                <w:p w14:paraId="0FAB3BB0">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zh-CN"/>
                    </w:rPr>
                  </w:pPr>
                </w:p>
              </w:tc>
              <w:tc>
                <w:tcPr>
                  <w:tcW w:w="538" w:type="pct"/>
                  <w:vMerge w:val="continue"/>
                  <w:tcBorders>
                    <w:tl2br w:val="nil"/>
                    <w:tr2bl w:val="nil"/>
                  </w:tcBorders>
                  <w:noWrap w:val="0"/>
                  <w:vAlign w:val="center"/>
                </w:tcPr>
                <w:p w14:paraId="25A062DD">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zh-CN"/>
                    </w:rPr>
                  </w:pPr>
                </w:p>
              </w:tc>
              <w:tc>
                <w:tcPr>
                  <w:tcW w:w="1956" w:type="pct"/>
                  <w:gridSpan w:val="4"/>
                  <w:tcBorders>
                    <w:tl2br w:val="nil"/>
                    <w:tr2bl w:val="nil"/>
                  </w:tcBorders>
                  <w:noWrap w:val="0"/>
                  <w:tcMar>
                    <w:top w:w="15" w:type="dxa"/>
                    <w:left w:w="15" w:type="dxa"/>
                    <w:bottom w:w="0" w:type="dxa"/>
                    <w:right w:w="15" w:type="dxa"/>
                  </w:tcMar>
                  <w:vAlign w:val="center"/>
                </w:tcPr>
                <w:p w14:paraId="0EDFE32D">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zh-CN"/>
                    </w:rPr>
                    <w:t>昼间</w:t>
                  </w:r>
                </w:p>
              </w:tc>
              <w:tc>
                <w:tcPr>
                  <w:tcW w:w="1968" w:type="pct"/>
                  <w:gridSpan w:val="4"/>
                  <w:tcBorders>
                    <w:tl2br w:val="nil"/>
                    <w:tr2bl w:val="nil"/>
                  </w:tcBorders>
                  <w:noWrap w:val="0"/>
                  <w:vAlign w:val="center"/>
                </w:tcPr>
                <w:p w14:paraId="79C5D13B">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夜间</w:t>
                  </w:r>
                </w:p>
              </w:tc>
            </w:tr>
            <w:tr w14:paraId="09B274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537" w:type="pct"/>
                  <w:vMerge w:val="continue"/>
                  <w:tcBorders>
                    <w:tl2br w:val="nil"/>
                    <w:tr2bl w:val="nil"/>
                  </w:tcBorders>
                  <w:noWrap w:val="0"/>
                  <w:vAlign w:val="center"/>
                </w:tcPr>
                <w:p w14:paraId="03EFE7B4">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zh-CN"/>
                    </w:rPr>
                  </w:pPr>
                </w:p>
              </w:tc>
              <w:tc>
                <w:tcPr>
                  <w:tcW w:w="538" w:type="pct"/>
                  <w:vMerge w:val="continue"/>
                  <w:tcBorders>
                    <w:tl2br w:val="nil"/>
                    <w:tr2bl w:val="nil"/>
                  </w:tcBorders>
                  <w:noWrap w:val="0"/>
                  <w:vAlign w:val="center"/>
                </w:tcPr>
                <w:p w14:paraId="51A5752E">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zh-CN"/>
                    </w:rPr>
                  </w:pPr>
                </w:p>
              </w:tc>
              <w:tc>
                <w:tcPr>
                  <w:tcW w:w="485" w:type="pct"/>
                  <w:tcBorders>
                    <w:tl2br w:val="nil"/>
                    <w:tr2bl w:val="nil"/>
                  </w:tcBorders>
                  <w:noWrap w:val="0"/>
                  <w:tcMar>
                    <w:top w:w="15" w:type="dxa"/>
                    <w:left w:w="15" w:type="dxa"/>
                    <w:bottom w:w="0" w:type="dxa"/>
                    <w:right w:w="15" w:type="dxa"/>
                  </w:tcMar>
                  <w:vAlign w:val="center"/>
                </w:tcPr>
                <w:p w14:paraId="700AB427">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rPr>
                    <w:t>eq</w:t>
                  </w:r>
                </w:p>
              </w:tc>
              <w:tc>
                <w:tcPr>
                  <w:tcW w:w="487" w:type="pct"/>
                  <w:tcBorders>
                    <w:tl2br w:val="nil"/>
                    <w:tr2bl w:val="nil"/>
                  </w:tcBorders>
                  <w:noWrap w:val="0"/>
                  <w:tcMar>
                    <w:top w:w="15" w:type="dxa"/>
                    <w:left w:w="15" w:type="dxa"/>
                    <w:bottom w:w="0" w:type="dxa"/>
                    <w:right w:w="15" w:type="dxa"/>
                  </w:tcMar>
                  <w:vAlign w:val="center"/>
                </w:tcPr>
                <w:p w14:paraId="65AADF52">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lang w:val="en-US" w:eastAsia="zh-CN"/>
                    </w:rPr>
                    <w:t>10</w:t>
                  </w:r>
                </w:p>
              </w:tc>
              <w:tc>
                <w:tcPr>
                  <w:tcW w:w="488" w:type="pct"/>
                  <w:tcBorders>
                    <w:tl2br w:val="nil"/>
                    <w:tr2bl w:val="nil"/>
                  </w:tcBorders>
                  <w:noWrap w:val="0"/>
                  <w:tcMar>
                    <w:top w:w="15" w:type="dxa"/>
                    <w:left w:w="15" w:type="dxa"/>
                    <w:bottom w:w="0" w:type="dxa"/>
                    <w:right w:w="15" w:type="dxa"/>
                  </w:tcMar>
                  <w:vAlign w:val="center"/>
                </w:tcPr>
                <w:p w14:paraId="04EDAEA3">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lang w:val="en-US" w:eastAsia="zh-CN"/>
                    </w:rPr>
                    <w:t>5</w:t>
                  </w:r>
                  <w:r>
                    <w:rPr>
                      <w:rFonts w:hint="default" w:ascii="Times New Roman" w:hAnsi="Times New Roman" w:eastAsia="宋体" w:cs="Times New Roman"/>
                      <w:b/>
                      <w:bCs/>
                      <w:color w:val="auto"/>
                      <w:sz w:val="21"/>
                      <w:szCs w:val="21"/>
                      <w:highlight w:val="none"/>
                      <w:vertAlign w:val="subscript"/>
                    </w:rPr>
                    <w:t>0</w:t>
                  </w:r>
                </w:p>
              </w:tc>
              <w:tc>
                <w:tcPr>
                  <w:tcW w:w="495" w:type="pct"/>
                  <w:tcBorders>
                    <w:tl2br w:val="nil"/>
                    <w:tr2bl w:val="nil"/>
                  </w:tcBorders>
                  <w:noWrap w:val="0"/>
                  <w:vAlign w:val="center"/>
                </w:tcPr>
                <w:p w14:paraId="04B3B1A0">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lang w:val="en-US" w:eastAsia="zh-CN"/>
                    </w:rPr>
                    <w:t>9</w:t>
                  </w:r>
                  <w:r>
                    <w:rPr>
                      <w:rFonts w:hint="default" w:ascii="Times New Roman" w:hAnsi="Times New Roman" w:eastAsia="宋体" w:cs="Times New Roman"/>
                      <w:b/>
                      <w:bCs/>
                      <w:color w:val="auto"/>
                      <w:sz w:val="21"/>
                      <w:szCs w:val="21"/>
                      <w:highlight w:val="none"/>
                      <w:vertAlign w:val="subscript"/>
                    </w:rPr>
                    <w:t>0</w:t>
                  </w:r>
                </w:p>
              </w:tc>
              <w:tc>
                <w:tcPr>
                  <w:tcW w:w="490" w:type="pct"/>
                  <w:tcBorders>
                    <w:tl2br w:val="nil"/>
                    <w:tr2bl w:val="nil"/>
                  </w:tcBorders>
                  <w:noWrap w:val="0"/>
                  <w:vAlign w:val="center"/>
                </w:tcPr>
                <w:p w14:paraId="527DD52C">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rPr>
                    <w:t>eq</w:t>
                  </w:r>
                </w:p>
              </w:tc>
              <w:tc>
                <w:tcPr>
                  <w:tcW w:w="490" w:type="pct"/>
                  <w:tcBorders>
                    <w:tl2br w:val="nil"/>
                    <w:tr2bl w:val="nil"/>
                  </w:tcBorders>
                  <w:noWrap w:val="0"/>
                  <w:vAlign w:val="center"/>
                </w:tcPr>
                <w:p w14:paraId="4F58858D">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lang w:val="en-US" w:eastAsia="zh-CN"/>
                    </w:rPr>
                    <w:t>10</w:t>
                  </w:r>
                </w:p>
              </w:tc>
              <w:tc>
                <w:tcPr>
                  <w:tcW w:w="490" w:type="pct"/>
                  <w:tcBorders>
                    <w:tl2br w:val="nil"/>
                    <w:tr2bl w:val="nil"/>
                  </w:tcBorders>
                  <w:noWrap w:val="0"/>
                  <w:vAlign w:val="center"/>
                </w:tcPr>
                <w:p w14:paraId="02860171">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lang w:val="en-US" w:eastAsia="zh-CN"/>
                    </w:rPr>
                    <w:t>5</w:t>
                  </w:r>
                  <w:r>
                    <w:rPr>
                      <w:rFonts w:hint="default" w:ascii="Times New Roman" w:hAnsi="Times New Roman" w:eastAsia="宋体" w:cs="Times New Roman"/>
                      <w:b/>
                      <w:bCs/>
                      <w:color w:val="auto"/>
                      <w:sz w:val="21"/>
                      <w:szCs w:val="21"/>
                      <w:highlight w:val="none"/>
                      <w:vertAlign w:val="subscript"/>
                    </w:rPr>
                    <w:t>0</w:t>
                  </w:r>
                </w:p>
              </w:tc>
              <w:tc>
                <w:tcPr>
                  <w:tcW w:w="498" w:type="pct"/>
                  <w:tcBorders>
                    <w:tl2br w:val="nil"/>
                    <w:tr2bl w:val="nil"/>
                  </w:tcBorders>
                  <w:noWrap w:val="0"/>
                  <w:vAlign w:val="center"/>
                </w:tcPr>
                <w:p w14:paraId="3CAA6F10">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lang w:val="en-US" w:eastAsia="zh-CN"/>
                    </w:rPr>
                    <w:t>9</w:t>
                  </w:r>
                  <w:r>
                    <w:rPr>
                      <w:rFonts w:hint="default" w:ascii="Times New Roman" w:hAnsi="Times New Roman" w:eastAsia="宋体" w:cs="Times New Roman"/>
                      <w:b/>
                      <w:bCs/>
                      <w:color w:val="auto"/>
                      <w:sz w:val="21"/>
                      <w:szCs w:val="21"/>
                      <w:highlight w:val="none"/>
                      <w:vertAlign w:val="subscript"/>
                    </w:rPr>
                    <w:t>0</w:t>
                  </w:r>
                </w:p>
              </w:tc>
            </w:tr>
            <w:tr w14:paraId="55F931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537" w:type="pct"/>
                  <w:tcBorders>
                    <w:tl2br w:val="nil"/>
                    <w:tr2bl w:val="nil"/>
                  </w:tcBorders>
                  <w:noWrap w:val="0"/>
                  <w:tcMar>
                    <w:top w:w="15" w:type="dxa"/>
                    <w:left w:w="15" w:type="dxa"/>
                    <w:bottom w:w="0" w:type="dxa"/>
                    <w:right w:w="15" w:type="dxa"/>
                  </w:tcMar>
                  <w:vAlign w:val="center"/>
                </w:tcPr>
                <w:p w14:paraId="3F4D825F">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厂界1#</w:t>
                  </w:r>
                </w:p>
              </w:tc>
              <w:tc>
                <w:tcPr>
                  <w:tcW w:w="538" w:type="pct"/>
                  <w:vMerge w:val="restart"/>
                  <w:tcBorders>
                    <w:tl2br w:val="nil"/>
                    <w:tr2bl w:val="nil"/>
                  </w:tcBorders>
                  <w:noWrap w:val="0"/>
                  <w:tcMar>
                    <w:top w:w="15" w:type="dxa"/>
                    <w:left w:w="15" w:type="dxa"/>
                    <w:bottom w:w="0" w:type="dxa"/>
                    <w:right w:w="15" w:type="dxa"/>
                  </w:tcMar>
                  <w:vAlign w:val="center"/>
                </w:tcPr>
                <w:p w14:paraId="0ECC50C1">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2024.08.07</w:t>
                  </w:r>
                </w:p>
              </w:tc>
              <w:tc>
                <w:tcPr>
                  <w:tcW w:w="485" w:type="pct"/>
                  <w:tcBorders>
                    <w:tl2br w:val="nil"/>
                    <w:tr2bl w:val="nil"/>
                  </w:tcBorders>
                  <w:noWrap w:val="0"/>
                  <w:vAlign w:val="center"/>
                </w:tcPr>
                <w:p w14:paraId="6B37A2A1">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52.1</w:t>
                  </w:r>
                </w:p>
              </w:tc>
              <w:tc>
                <w:tcPr>
                  <w:tcW w:w="487" w:type="pct"/>
                  <w:tcBorders>
                    <w:tl2br w:val="nil"/>
                    <w:tr2bl w:val="nil"/>
                  </w:tcBorders>
                  <w:noWrap w:val="0"/>
                  <w:vAlign w:val="center"/>
                </w:tcPr>
                <w:p w14:paraId="372EF025">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54.6</w:t>
                  </w:r>
                </w:p>
              </w:tc>
              <w:tc>
                <w:tcPr>
                  <w:tcW w:w="488" w:type="pct"/>
                  <w:tcBorders>
                    <w:tl2br w:val="nil"/>
                    <w:tr2bl w:val="nil"/>
                  </w:tcBorders>
                  <w:noWrap w:val="0"/>
                  <w:vAlign w:val="center"/>
                </w:tcPr>
                <w:p w14:paraId="7D7131F3">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51.2</w:t>
                  </w:r>
                </w:p>
              </w:tc>
              <w:tc>
                <w:tcPr>
                  <w:tcW w:w="495" w:type="pct"/>
                  <w:tcBorders>
                    <w:tl2br w:val="nil"/>
                    <w:tr2bl w:val="nil"/>
                  </w:tcBorders>
                  <w:noWrap w:val="0"/>
                  <w:vAlign w:val="center"/>
                </w:tcPr>
                <w:p w14:paraId="29369181">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49.4</w:t>
                  </w:r>
                </w:p>
              </w:tc>
              <w:tc>
                <w:tcPr>
                  <w:tcW w:w="490" w:type="pct"/>
                  <w:tcBorders>
                    <w:tl2br w:val="nil"/>
                    <w:tr2bl w:val="nil"/>
                  </w:tcBorders>
                  <w:noWrap w:val="0"/>
                  <w:vAlign w:val="center"/>
                </w:tcPr>
                <w:p w14:paraId="7939BCD1">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42.2</w:t>
                  </w:r>
                </w:p>
              </w:tc>
              <w:tc>
                <w:tcPr>
                  <w:tcW w:w="490" w:type="pct"/>
                  <w:tcBorders>
                    <w:tl2br w:val="nil"/>
                    <w:tr2bl w:val="nil"/>
                  </w:tcBorders>
                  <w:noWrap w:val="0"/>
                  <w:vAlign w:val="center"/>
                </w:tcPr>
                <w:p w14:paraId="3802D40F">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44.4</w:t>
                  </w:r>
                </w:p>
              </w:tc>
              <w:tc>
                <w:tcPr>
                  <w:tcW w:w="490" w:type="pct"/>
                  <w:tcBorders>
                    <w:tl2br w:val="nil"/>
                    <w:tr2bl w:val="nil"/>
                  </w:tcBorders>
                  <w:noWrap w:val="0"/>
                  <w:vAlign w:val="center"/>
                </w:tcPr>
                <w:p w14:paraId="58D48AF3">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41.2</w:t>
                  </w:r>
                </w:p>
              </w:tc>
              <w:tc>
                <w:tcPr>
                  <w:tcW w:w="498" w:type="pct"/>
                  <w:tcBorders>
                    <w:tl2br w:val="nil"/>
                    <w:tr2bl w:val="nil"/>
                  </w:tcBorders>
                  <w:noWrap w:val="0"/>
                  <w:vAlign w:val="center"/>
                </w:tcPr>
                <w:p w14:paraId="36C3696B">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39.4</w:t>
                  </w:r>
                </w:p>
              </w:tc>
            </w:tr>
            <w:tr w14:paraId="45587E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537" w:type="pct"/>
                  <w:tcBorders>
                    <w:bottom w:val="single" w:color="auto" w:sz="4" w:space="0"/>
                    <w:tl2br w:val="nil"/>
                    <w:tr2bl w:val="nil"/>
                  </w:tcBorders>
                  <w:noWrap w:val="0"/>
                  <w:vAlign w:val="center"/>
                </w:tcPr>
                <w:p w14:paraId="45216F0B">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厂界</w:t>
                  </w: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w:t>
                  </w:r>
                </w:p>
              </w:tc>
              <w:tc>
                <w:tcPr>
                  <w:tcW w:w="538" w:type="pct"/>
                  <w:vMerge w:val="continue"/>
                  <w:tcBorders>
                    <w:tl2br w:val="nil"/>
                    <w:tr2bl w:val="nil"/>
                  </w:tcBorders>
                  <w:noWrap w:val="0"/>
                  <w:vAlign w:val="center"/>
                </w:tcPr>
                <w:p w14:paraId="2B12E409">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zh-CN"/>
                    </w:rPr>
                  </w:pPr>
                </w:p>
              </w:tc>
              <w:tc>
                <w:tcPr>
                  <w:tcW w:w="485" w:type="pct"/>
                  <w:tcBorders>
                    <w:tl2br w:val="nil"/>
                    <w:tr2bl w:val="nil"/>
                  </w:tcBorders>
                  <w:noWrap w:val="0"/>
                  <w:vAlign w:val="center"/>
                </w:tcPr>
                <w:p w14:paraId="56291165">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53.6</w:t>
                  </w:r>
                </w:p>
              </w:tc>
              <w:tc>
                <w:tcPr>
                  <w:tcW w:w="487" w:type="pct"/>
                  <w:tcBorders>
                    <w:tl2br w:val="nil"/>
                    <w:tr2bl w:val="nil"/>
                  </w:tcBorders>
                  <w:noWrap w:val="0"/>
                  <w:vAlign w:val="center"/>
                </w:tcPr>
                <w:p w14:paraId="6FE625CB">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56.0</w:t>
                  </w:r>
                </w:p>
              </w:tc>
              <w:tc>
                <w:tcPr>
                  <w:tcW w:w="488" w:type="pct"/>
                  <w:tcBorders>
                    <w:tl2br w:val="nil"/>
                    <w:tr2bl w:val="nil"/>
                  </w:tcBorders>
                  <w:noWrap w:val="0"/>
                  <w:vAlign w:val="center"/>
                </w:tcPr>
                <w:p w14:paraId="04AAF342">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52.6</w:t>
                  </w:r>
                </w:p>
              </w:tc>
              <w:tc>
                <w:tcPr>
                  <w:tcW w:w="495" w:type="pct"/>
                  <w:tcBorders>
                    <w:tl2br w:val="nil"/>
                    <w:tr2bl w:val="nil"/>
                  </w:tcBorders>
                  <w:noWrap w:val="0"/>
                  <w:vAlign w:val="center"/>
                </w:tcPr>
                <w:p w14:paraId="54ACEE5E">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50.4</w:t>
                  </w:r>
                </w:p>
              </w:tc>
              <w:tc>
                <w:tcPr>
                  <w:tcW w:w="490" w:type="pct"/>
                  <w:tcBorders>
                    <w:tl2br w:val="nil"/>
                    <w:tr2bl w:val="nil"/>
                  </w:tcBorders>
                  <w:noWrap w:val="0"/>
                  <w:vAlign w:val="center"/>
                </w:tcPr>
                <w:p w14:paraId="57EB0D19">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43.3</w:t>
                  </w:r>
                </w:p>
              </w:tc>
              <w:tc>
                <w:tcPr>
                  <w:tcW w:w="490" w:type="pct"/>
                  <w:tcBorders>
                    <w:tl2br w:val="nil"/>
                    <w:tr2bl w:val="nil"/>
                  </w:tcBorders>
                  <w:noWrap w:val="0"/>
                  <w:vAlign w:val="center"/>
                </w:tcPr>
                <w:p w14:paraId="370E8814">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45.4</w:t>
                  </w:r>
                </w:p>
              </w:tc>
              <w:tc>
                <w:tcPr>
                  <w:tcW w:w="490" w:type="pct"/>
                  <w:tcBorders>
                    <w:tl2br w:val="nil"/>
                    <w:tr2bl w:val="nil"/>
                  </w:tcBorders>
                  <w:noWrap w:val="0"/>
                  <w:vAlign w:val="center"/>
                </w:tcPr>
                <w:p w14:paraId="4D19EE23">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42.6</w:t>
                  </w:r>
                </w:p>
              </w:tc>
              <w:tc>
                <w:tcPr>
                  <w:tcW w:w="498" w:type="pct"/>
                  <w:tcBorders>
                    <w:tl2br w:val="nil"/>
                    <w:tr2bl w:val="nil"/>
                  </w:tcBorders>
                  <w:noWrap w:val="0"/>
                  <w:vAlign w:val="center"/>
                </w:tcPr>
                <w:p w14:paraId="5EBBB468">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40.2</w:t>
                  </w:r>
                </w:p>
              </w:tc>
            </w:tr>
            <w:tr w14:paraId="001BAB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537" w:type="pct"/>
                  <w:tcBorders>
                    <w:bottom w:val="single" w:color="auto" w:sz="4" w:space="0"/>
                    <w:tl2br w:val="nil"/>
                    <w:tr2bl w:val="nil"/>
                  </w:tcBorders>
                  <w:noWrap w:val="0"/>
                  <w:vAlign w:val="center"/>
                </w:tcPr>
                <w:p w14:paraId="5D3F5B5D">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en-US" w:eastAsia="zh-CN"/>
                    </w:rPr>
                    <w:t>厂界</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w:t>
                  </w:r>
                </w:p>
              </w:tc>
              <w:tc>
                <w:tcPr>
                  <w:tcW w:w="538" w:type="pct"/>
                  <w:vMerge w:val="continue"/>
                  <w:tcBorders>
                    <w:tl2br w:val="nil"/>
                    <w:tr2bl w:val="nil"/>
                  </w:tcBorders>
                  <w:noWrap w:val="0"/>
                  <w:vAlign w:val="center"/>
                </w:tcPr>
                <w:p w14:paraId="6CA0F09A">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zh-CN"/>
                    </w:rPr>
                  </w:pPr>
                </w:p>
              </w:tc>
              <w:tc>
                <w:tcPr>
                  <w:tcW w:w="485" w:type="pct"/>
                  <w:tcBorders>
                    <w:tl2br w:val="nil"/>
                    <w:tr2bl w:val="nil"/>
                  </w:tcBorders>
                  <w:noWrap w:val="0"/>
                  <w:vAlign w:val="center"/>
                </w:tcPr>
                <w:p w14:paraId="0A4A6FA5">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53.9</w:t>
                  </w:r>
                </w:p>
              </w:tc>
              <w:tc>
                <w:tcPr>
                  <w:tcW w:w="487" w:type="pct"/>
                  <w:tcBorders>
                    <w:tl2br w:val="nil"/>
                    <w:tr2bl w:val="nil"/>
                  </w:tcBorders>
                  <w:noWrap w:val="0"/>
                  <w:vAlign w:val="center"/>
                </w:tcPr>
                <w:p w14:paraId="4207171A">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56.2</w:t>
                  </w:r>
                </w:p>
              </w:tc>
              <w:tc>
                <w:tcPr>
                  <w:tcW w:w="488" w:type="pct"/>
                  <w:tcBorders>
                    <w:tl2br w:val="nil"/>
                    <w:tr2bl w:val="nil"/>
                  </w:tcBorders>
                  <w:noWrap w:val="0"/>
                  <w:vAlign w:val="center"/>
                </w:tcPr>
                <w:p w14:paraId="219F2929">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53.0</w:t>
                  </w:r>
                </w:p>
              </w:tc>
              <w:tc>
                <w:tcPr>
                  <w:tcW w:w="495" w:type="pct"/>
                  <w:tcBorders>
                    <w:tl2br w:val="nil"/>
                    <w:tr2bl w:val="nil"/>
                  </w:tcBorders>
                  <w:noWrap w:val="0"/>
                  <w:vAlign w:val="center"/>
                </w:tcPr>
                <w:p w14:paraId="770CB621">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50.6</w:t>
                  </w:r>
                </w:p>
              </w:tc>
              <w:tc>
                <w:tcPr>
                  <w:tcW w:w="490" w:type="pct"/>
                  <w:tcBorders>
                    <w:tl2br w:val="nil"/>
                    <w:tr2bl w:val="nil"/>
                  </w:tcBorders>
                  <w:noWrap w:val="0"/>
                  <w:vAlign w:val="center"/>
                </w:tcPr>
                <w:p w14:paraId="0E0A978D">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43.8</w:t>
                  </w:r>
                </w:p>
              </w:tc>
              <w:tc>
                <w:tcPr>
                  <w:tcW w:w="490" w:type="pct"/>
                  <w:tcBorders>
                    <w:tl2br w:val="nil"/>
                    <w:tr2bl w:val="nil"/>
                  </w:tcBorders>
                  <w:noWrap w:val="0"/>
                  <w:vAlign w:val="center"/>
                </w:tcPr>
                <w:p w14:paraId="12311F9F">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45.8</w:t>
                  </w:r>
                </w:p>
              </w:tc>
              <w:tc>
                <w:tcPr>
                  <w:tcW w:w="490" w:type="pct"/>
                  <w:tcBorders>
                    <w:tl2br w:val="nil"/>
                    <w:tr2bl w:val="nil"/>
                  </w:tcBorders>
                  <w:noWrap w:val="0"/>
                  <w:vAlign w:val="center"/>
                </w:tcPr>
                <w:p w14:paraId="404E1B55">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43.0</w:t>
                  </w:r>
                </w:p>
              </w:tc>
              <w:tc>
                <w:tcPr>
                  <w:tcW w:w="498" w:type="pct"/>
                  <w:tcBorders>
                    <w:tl2br w:val="nil"/>
                    <w:tr2bl w:val="nil"/>
                  </w:tcBorders>
                  <w:noWrap w:val="0"/>
                  <w:vAlign w:val="center"/>
                </w:tcPr>
                <w:p w14:paraId="29EB46DC">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41.2</w:t>
                  </w:r>
                </w:p>
              </w:tc>
            </w:tr>
            <w:tr w14:paraId="6C06113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537" w:type="pct"/>
                  <w:tcBorders>
                    <w:bottom w:val="single" w:color="auto" w:sz="4" w:space="0"/>
                    <w:tl2br w:val="nil"/>
                    <w:tr2bl w:val="nil"/>
                  </w:tcBorders>
                  <w:noWrap w:val="0"/>
                  <w:vAlign w:val="center"/>
                </w:tcPr>
                <w:p w14:paraId="63041A96">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厂界</w:t>
                  </w:r>
                  <w:r>
                    <w:rPr>
                      <w:rFonts w:hint="eastAsia"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w:t>
                  </w:r>
                </w:p>
              </w:tc>
              <w:tc>
                <w:tcPr>
                  <w:tcW w:w="538" w:type="pct"/>
                  <w:vMerge w:val="continue"/>
                  <w:tcBorders>
                    <w:tl2br w:val="nil"/>
                    <w:tr2bl w:val="nil"/>
                  </w:tcBorders>
                  <w:noWrap w:val="0"/>
                  <w:vAlign w:val="center"/>
                </w:tcPr>
                <w:p w14:paraId="71429EC0">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zh-CN"/>
                    </w:rPr>
                  </w:pPr>
                </w:p>
              </w:tc>
              <w:tc>
                <w:tcPr>
                  <w:tcW w:w="485" w:type="pct"/>
                  <w:tcBorders>
                    <w:tl2br w:val="nil"/>
                    <w:tr2bl w:val="nil"/>
                  </w:tcBorders>
                  <w:noWrap w:val="0"/>
                  <w:vAlign w:val="center"/>
                </w:tcPr>
                <w:p w14:paraId="41696C64">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54.1</w:t>
                  </w:r>
                </w:p>
              </w:tc>
              <w:tc>
                <w:tcPr>
                  <w:tcW w:w="487" w:type="pct"/>
                  <w:tcBorders>
                    <w:tl2br w:val="nil"/>
                    <w:tr2bl w:val="nil"/>
                  </w:tcBorders>
                  <w:noWrap w:val="0"/>
                  <w:vAlign w:val="center"/>
                </w:tcPr>
                <w:p w14:paraId="5C21C49A">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56.6</w:t>
                  </w:r>
                </w:p>
              </w:tc>
              <w:tc>
                <w:tcPr>
                  <w:tcW w:w="488" w:type="pct"/>
                  <w:tcBorders>
                    <w:tl2br w:val="nil"/>
                    <w:tr2bl w:val="nil"/>
                  </w:tcBorders>
                  <w:noWrap w:val="0"/>
                  <w:vAlign w:val="center"/>
                </w:tcPr>
                <w:p w14:paraId="643A16BD">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53.2</w:t>
                  </w:r>
                </w:p>
              </w:tc>
              <w:tc>
                <w:tcPr>
                  <w:tcW w:w="495" w:type="pct"/>
                  <w:tcBorders>
                    <w:tl2br w:val="nil"/>
                    <w:tr2bl w:val="nil"/>
                  </w:tcBorders>
                  <w:noWrap w:val="0"/>
                  <w:vAlign w:val="center"/>
                </w:tcPr>
                <w:p w14:paraId="43507247">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50.2</w:t>
                  </w:r>
                </w:p>
              </w:tc>
              <w:tc>
                <w:tcPr>
                  <w:tcW w:w="490" w:type="pct"/>
                  <w:tcBorders>
                    <w:tl2br w:val="nil"/>
                    <w:tr2bl w:val="nil"/>
                  </w:tcBorders>
                  <w:noWrap w:val="0"/>
                  <w:vAlign w:val="center"/>
                </w:tcPr>
                <w:p w14:paraId="0E198B23">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43.0</w:t>
                  </w:r>
                </w:p>
              </w:tc>
              <w:tc>
                <w:tcPr>
                  <w:tcW w:w="490" w:type="pct"/>
                  <w:tcBorders>
                    <w:tl2br w:val="nil"/>
                    <w:tr2bl w:val="nil"/>
                  </w:tcBorders>
                  <w:noWrap w:val="0"/>
                  <w:vAlign w:val="center"/>
                </w:tcPr>
                <w:p w14:paraId="1D6D47F3">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44.8</w:t>
                  </w:r>
                </w:p>
              </w:tc>
              <w:tc>
                <w:tcPr>
                  <w:tcW w:w="490" w:type="pct"/>
                  <w:tcBorders>
                    <w:tl2br w:val="nil"/>
                    <w:tr2bl w:val="nil"/>
                  </w:tcBorders>
                  <w:noWrap w:val="0"/>
                  <w:vAlign w:val="center"/>
                </w:tcPr>
                <w:p w14:paraId="3C1FC70A">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42.4</w:t>
                  </w:r>
                </w:p>
              </w:tc>
              <w:tc>
                <w:tcPr>
                  <w:tcW w:w="498" w:type="pct"/>
                  <w:tcBorders>
                    <w:tl2br w:val="nil"/>
                    <w:tr2bl w:val="nil"/>
                  </w:tcBorders>
                  <w:noWrap w:val="0"/>
                  <w:vAlign w:val="center"/>
                </w:tcPr>
                <w:p w14:paraId="6C35AB8A">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40.8</w:t>
                  </w:r>
                </w:p>
              </w:tc>
            </w:tr>
            <w:tr w14:paraId="422684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1075" w:type="pct"/>
                  <w:gridSpan w:val="2"/>
                  <w:tcBorders>
                    <w:tl2br w:val="nil"/>
                    <w:tr2bl w:val="nil"/>
                  </w:tcBorders>
                  <w:noWrap w:val="0"/>
                  <w:vAlign w:val="center"/>
                </w:tcPr>
                <w:p w14:paraId="7D36B827">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en-US" w:eastAsia="zh-CN"/>
                    </w:rPr>
                    <w:t>标准值</w:t>
                  </w:r>
                </w:p>
              </w:tc>
              <w:tc>
                <w:tcPr>
                  <w:tcW w:w="1956" w:type="pct"/>
                  <w:gridSpan w:val="4"/>
                  <w:tcBorders>
                    <w:tl2br w:val="nil"/>
                    <w:tr2bl w:val="nil"/>
                  </w:tcBorders>
                  <w:noWrap w:val="0"/>
                  <w:vAlign w:val="center"/>
                </w:tcPr>
                <w:p w14:paraId="5B75E156">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w:t>
                  </w:r>
                </w:p>
              </w:tc>
              <w:tc>
                <w:tcPr>
                  <w:tcW w:w="1968" w:type="pct"/>
                  <w:gridSpan w:val="4"/>
                  <w:tcBorders>
                    <w:tl2br w:val="nil"/>
                    <w:tr2bl w:val="nil"/>
                  </w:tcBorders>
                  <w:noWrap w:val="0"/>
                  <w:vAlign w:val="center"/>
                </w:tcPr>
                <w:p w14:paraId="740F23D5">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w:t>
                  </w:r>
                </w:p>
              </w:tc>
            </w:tr>
            <w:tr w14:paraId="19C40D3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283" w:hRule="atLeast"/>
                <w:jc w:val="center"/>
              </w:trPr>
              <w:tc>
                <w:tcPr>
                  <w:tcW w:w="1075" w:type="pct"/>
                  <w:gridSpan w:val="2"/>
                  <w:tcBorders>
                    <w:tl2br w:val="nil"/>
                    <w:tr2bl w:val="nil"/>
                  </w:tcBorders>
                  <w:noWrap w:val="0"/>
                  <w:vAlign w:val="center"/>
                </w:tcPr>
                <w:p w14:paraId="295A0150">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达标情况</w:t>
                  </w:r>
                </w:p>
              </w:tc>
              <w:tc>
                <w:tcPr>
                  <w:tcW w:w="1956" w:type="pct"/>
                  <w:gridSpan w:val="4"/>
                  <w:tcBorders>
                    <w:tl2br w:val="nil"/>
                    <w:tr2bl w:val="nil"/>
                  </w:tcBorders>
                  <w:noWrap w:val="0"/>
                  <w:vAlign w:val="center"/>
                </w:tcPr>
                <w:p w14:paraId="6E4AC66F">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w:t>
                  </w:r>
                </w:p>
              </w:tc>
              <w:tc>
                <w:tcPr>
                  <w:tcW w:w="1968" w:type="pct"/>
                  <w:gridSpan w:val="4"/>
                  <w:tcBorders>
                    <w:tl2br w:val="nil"/>
                    <w:tr2bl w:val="nil"/>
                  </w:tcBorders>
                  <w:noWrap w:val="0"/>
                  <w:vAlign w:val="center"/>
                </w:tcPr>
                <w:p w14:paraId="22224BF8">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w:t>
                  </w:r>
                </w:p>
              </w:tc>
            </w:tr>
          </w:tbl>
          <w:p w14:paraId="6AE8799F">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sz w:val="24"/>
                <w:szCs w:val="24"/>
                <w:highlight w:val="none"/>
              </w:rPr>
            </w:pPr>
            <w:r>
              <w:rPr>
                <w:rFonts w:hint="default" w:ascii="Times New Roman" w:hAnsi="Times New Roman" w:eastAsia="宋体" w:cs="Times New Roman"/>
                <w:sz w:val="24"/>
                <w:szCs w:val="24"/>
                <w:highlight w:val="none"/>
                <w:lang w:val="en-US" w:eastAsia="zh-CN"/>
              </w:rPr>
              <w:t>根据</w:t>
            </w:r>
            <w:r>
              <w:rPr>
                <w:rFonts w:hint="eastAsia" w:ascii="Times New Roman" w:hAnsi="Times New Roman" w:eastAsia="宋体" w:cs="Times New Roman"/>
                <w:sz w:val="24"/>
                <w:szCs w:val="24"/>
                <w:highlight w:val="none"/>
                <w:lang w:val="en-US" w:eastAsia="zh-CN"/>
              </w:rPr>
              <w:t>监测数据，本项目所在地声环境质量现状达到</w:t>
            </w:r>
            <w:r>
              <w:rPr>
                <w:rFonts w:hint="default" w:ascii="Times New Roman" w:hAnsi="Times New Roman" w:eastAsia="宋体" w:cs="Times New Roman"/>
                <w:sz w:val="24"/>
                <w:szCs w:val="24"/>
                <w:highlight w:val="none"/>
                <w:lang w:val="en-US" w:eastAsia="zh-CN"/>
              </w:rPr>
              <w:t>《声环境质量标准》（GB3096-2008）</w:t>
            </w:r>
            <w:r>
              <w:rPr>
                <w:rFonts w:hint="eastAsia" w:ascii="Times New Roman" w:hAnsi="Times New Roman" w:eastAsia="宋体" w:cs="Times New Roman"/>
                <w:sz w:val="24"/>
                <w:szCs w:val="24"/>
                <w:highlight w:val="none"/>
                <w:lang w:val="en-US" w:eastAsia="zh-CN"/>
              </w:rPr>
              <w:t>2类标准限值</w:t>
            </w:r>
            <w:r>
              <w:rPr>
                <w:rFonts w:hint="default" w:ascii="Times New Roman" w:hAnsi="Times New Roman" w:eastAsia="宋体" w:cs="Times New Roman"/>
                <w:sz w:val="24"/>
                <w:szCs w:val="24"/>
                <w:highlight w:val="none"/>
                <w:lang w:val="en-US" w:eastAsia="zh-CN"/>
              </w:rPr>
              <w:t>。</w:t>
            </w:r>
          </w:p>
          <w:p w14:paraId="1A4C43F1">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四</w:t>
            </w:r>
            <w:r>
              <w:rPr>
                <w:rFonts w:hint="default" w:ascii="Times New Roman" w:hAnsi="Times New Roman" w:eastAsia="宋体" w:cs="Times New Roman"/>
                <w:b/>
                <w:bCs/>
                <w:sz w:val="24"/>
                <w:szCs w:val="24"/>
                <w:highlight w:val="none"/>
                <w:lang w:val="en-US" w:eastAsia="zh-CN"/>
              </w:rPr>
              <w:t>、地下水、土壤环境质量现状</w:t>
            </w:r>
          </w:p>
          <w:p w14:paraId="4C7A05AC">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color w:val="auto"/>
                <w:highlight w:val="none"/>
                <w:lang w:eastAsia="zh-CN"/>
              </w:rPr>
            </w:pPr>
            <w:r>
              <w:rPr>
                <w:rFonts w:hint="eastAsia" w:ascii="Times New Roman" w:hAnsi="Times New Roman" w:eastAsia="宋体" w:cs="Times New Roman"/>
                <w:color w:val="auto"/>
                <w:kern w:val="2"/>
                <w:sz w:val="24"/>
                <w:szCs w:val="24"/>
                <w:highlight w:val="none"/>
                <w:lang w:val="en-US" w:eastAsia="zh-CN" w:bidi="ar-SA"/>
              </w:rPr>
              <w:t>项目危废贮存库存在污染地下水和土壤的可能性。危废贮存库作为重点防渗区按要求铺设2mm厚高密度聚乙烯（HDPE）+10cm防渗混凝土+5~7mm厚防油渗耐磨涂料，墙裙采用2mm厚高密度聚乙烯（HDPE）+防渗混凝土进行防渗，渗透系数≤10</w:t>
            </w:r>
            <w:r>
              <w:rPr>
                <w:rFonts w:hint="eastAsia" w:cs="Times New Roman"/>
                <w:color w:val="auto"/>
                <w:kern w:val="2"/>
                <w:sz w:val="24"/>
                <w:szCs w:val="24"/>
                <w:highlight w:val="none"/>
                <w:vertAlign w:val="superscript"/>
                <w:lang w:val="en-US" w:eastAsia="zh-CN" w:bidi="ar-SA"/>
              </w:rPr>
              <w:t>—</w:t>
            </w:r>
            <w:r>
              <w:rPr>
                <w:rFonts w:hint="eastAsia" w:ascii="Times New Roman" w:hAnsi="Times New Roman" w:eastAsia="宋体" w:cs="Times New Roman"/>
                <w:color w:val="auto"/>
                <w:kern w:val="2"/>
                <w:sz w:val="24"/>
                <w:szCs w:val="24"/>
                <w:highlight w:val="none"/>
                <w:vertAlign w:val="superscript"/>
                <w:lang w:val="en-US" w:eastAsia="zh-CN" w:bidi="ar-SA"/>
              </w:rPr>
              <w:t>10</w:t>
            </w:r>
            <w:r>
              <w:rPr>
                <w:rFonts w:hint="eastAsia" w:ascii="Times New Roman" w:hAnsi="Times New Roman" w:eastAsia="宋体" w:cs="Times New Roman"/>
                <w:color w:val="auto"/>
                <w:kern w:val="2"/>
                <w:sz w:val="24"/>
                <w:szCs w:val="24"/>
                <w:highlight w:val="none"/>
                <w:lang w:val="en-US" w:eastAsia="zh-CN" w:bidi="ar-SA"/>
              </w:rPr>
              <w:t>cm/s。项目采取防渗措施并加强管理可以有效防止项目污染物渗漏污染土壤、地下水，且项目周边无地下水保护目标，根据《建设项目环境影响报告表编制技术指南（污染影响类）（试行）》，不需要开展环境质量现状调查。</w:t>
            </w:r>
          </w:p>
        </w:tc>
      </w:tr>
      <w:tr w14:paraId="293ADD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283" w:hRule="atLeast"/>
          <w:jc w:val="center"/>
        </w:trPr>
        <w:tc>
          <w:tcPr>
            <w:tcW w:w="0" w:type="auto"/>
            <w:noWrap w:val="0"/>
            <w:vAlign w:val="center"/>
          </w:tcPr>
          <w:p w14:paraId="0FA3717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Cs w:val="21"/>
                <w:highlight w:val="none"/>
              </w:rPr>
            </w:pPr>
            <w:r>
              <w:rPr>
                <w:rFonts w:hint="eastAsia" w:ascii="宋体" w:hAnsi="宋体" w:cs="宋体"/>
                <w:kern w:val="0"/>
                <w:szCs w:val="21"/>
                <w:highlight w:val="none"/>
              </w:rPr>
              <w:t>环境</w:t>
            </w:r>
          </w:p>
          <w:p w14:paraId="269C98B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Cs w:val="21"/>
                <w:highlight w:val="none"/>
              </w:rPr>
            </w:pPr>
            <w:r>
              <w:rPr>
                <w:rFonts w:hint="eastAsia" w:ascii="宋体" w:hAnsi="宋体" w:cs="宋体"/>
                <w:kern w:val="0"/>
                <w:szCs w:val="21"/>
                <w:highlight w:val="none"/>
              </w:rPr>
              <w:t>保护</w:t>
            </w:r>
          </w:p>
          <w:p w14:paraId="3CF7EA8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Cs w:val="21"/>
                <w:highlight w:val="none"/>
              </w:rPr>
            </w:pPr>
            <w:r>
              <w:rPr>
                <w:rFonts w:hint="eastAsia" w:ascii="宋体" w:hAnsi="宋体" w:cs="宋体"/>
                <w:kern w:val="0"/>
                <w:szCs w:val="21"/>
                <w:highlight w:val="none"/>
              </w:rPr>
              <w:t>目标</w:t>
            </w:r>
          </w:p>
        </w:tc>
        <w:tc>
          <w:tcPr>
            <w:tcW w:w="0" w:type="auto"/>
            <w:noWrap w:val="0"/>
            <w:vAlign w:val="center"/>
          </w:tcPr>
          <w:p w14:paraId="4CE821F9">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highlight w:val="none"/>
              </w:rPr>
            </w:pPr>
            <w:r>
              <w:rPr>
                <w:rFonts w:hint="eastAsia" w:ascii="Times New Roman" w:hAnsi="Times New Roman" w:eastAsia="宋体" w:cs="Times New Roman"/>
                <w:b/>
                <w:bCs/>
                <w:kern w:val="2"/>
                <w:sz w:val="21"/>
                <w:szCs w:val="21"/>
                <w:highlight w:val="none"/>
                <w:lang w:val="en-US" w:eastAsia="zh-CN" w:bidi="ar-SA"/>
              </w:rPr>
              <w:t>表3-4  项目主要环境保护目标一览表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527"/>
              <w:gridCol w:w="918"/>
              <w:gridCol w:w="1201"/>
              <w:gridCol w:w="1068"/>
              <w:gridCol w:w="903"/>
              <w:gridCol w:w="619"/>
              <w:gridCol w:w="724"/>
              <w:gridCol w:w="2541"/>
            </w:tblGrid>
            <w:tr w14:paraId="1CB483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8" w:type="dxa"/>
                  <w:vMerge w:val="restart"/>
                  <w:tcBorders>
                    <w:tl2br w:val="nil"/>
                    <w:tr2bl w:val="nil"/>
                  </w:tcBorders>
                  <w:noWrap w:val="0"/>
                  <w:vAlign w:val="center"/>
                </w:tcPr>
                <w:p w14:paraId="35CF4D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环境要素</w:t>
                  </w:r>
                </w:p>
              </w:tc>
              <w:tc>
                <w:tcPr>
                  <w:tcW w:w="920" w:type="dxa"/>
                  <w:vMerge w:val="restart"/>
                  <w:tcBorders>
                    <w:tl2br w:val="nil"/>
                    <w:tr2bl w:val="nil"/>
                  </w:tcBorders>
                  <w:noWrap w:val="0"/>
                  <w:vAlign w:val="center"/>
                </w:tcPr>
                <w:p w14:paraId="1F7C5B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保护目标</w:t>
                  </w:r>
                </w:p>
              </w:tc>
              <w:tc>
                <w:tcPr>
                  <w:tcW w:w="2269" w:type="dxa"/>
                  <w:gridSpan w:val="2"/>
                  <w:tcBorders>
                    <w:tl2br w:val="nil"/>
                    <w:tr2bl w:val="nil"/>
                  </w:tcBorders>
                  <w:noWrap w:val="0"/>
                  <w:vAlign w:val="center"/>
                </w:tcPr>
                <w:p w14:paraId="3D3DE58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坐标</w:t>
                  </w:r>
                </w:p>
              </w:tc>
              <w:tc>
                <w:tcPr>
                  <w:tcW w:w="903" w:type="dxa"/>
                  <w:vMerge w:val="restart"/>
                  <w:tcBorders>
                    <w:tl2br w:val="nil"/>
                    <w:tr2bl w:val="nil"/>
                  </w:tcBorders>
                  <w:noWrap w:val="0"/>
                  <w:vAlign w:val="center"/>
                </w:tcPr>
                <w:p w14:paraId="1CB8D4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位置</w:t>
                  </w:r>
                </w:p>
              </w:tc>
              <w:tc>
                <w:tcPr>
                  <w:tcW w:w="620" w:type="dxa"/>
                  <w:vMerge w:val="restart"/>
                  <w:tcBorders>
                    <w:tl2br w:val="nil"/>
                    <w:tr2bl w:val="nil"/>
                  </w:tcBorders>
                  <w:noWrap w:val="0"/>
                  <w:vAlign w:val="center"/>
                </w:tcPr>
                <w:p w14:paraId="6CE75A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保护对象</w:t>
                  </w:r>
                </w:p>
              </w:tc>
              <w:tc>
                <w:tcPr>
                  <w:tcW w:w="725" w:type="dxa"/>
                  <w:vMerge w:val="restart"/>
                  <w:tcBorders>
                    <w:tl2br w:val="nil"/>
                    <w:tr2bl w:val="nil"/>
                  </w:tcBorders>
                  <w:noWrap w:val="0"/>
                  <w:vAlign w:val="center"/>
                </w:tcPr>
                <w:p w14:paraId="0C2322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内容/人</w:t>
                  </w:r>
                </w:p>
              </w:tc>
              <w:tc>
                <w:tcPr>
                  <w:tcW w:w="2544" w:type="dxa"/>
                  <w:vMerge w:val="restart"/>
                  <w:tcBorders>
                    <w:tl2br w:val="nil"/>
                    <w:tr2bl w:val="nil"/>
                  </w:tcBorders>
                  <w:noWrap w:val="0"/>
                  <w:vAlign w:val="center"/>
                </w:tcPr>
                <w:p w14:paraId="12E80B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功能要求</w:t>
                  </w:r>
                </w:p>
              </w:tc>
            </w:tr>
            <w:tr w14:paraId="028A58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8" w:type="dxa"/>
                  <w:vMerge w:val="continue"/>
                  <w:tcBorders>
                    <w:tl2br w:val="nil"/>
                    <w:tr2bl w:val="nil"/>
                  </w:tcBorders>
                  <w:noWrap w:val="0"/>
                  <w:vAlign w:val="center"/>
                </w:tcPr>
                <w:p w14:paraId="4D08C1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920" w:type="dxa"/>
                  <w:vMerge w:val="continue"/>
                  <w:tcBorders>
                    <w:tl2br w:val="nil"/>
                    <w:tr2bl w:val="nil"/>
                  </w:tcBorders>
                  <w:noWrap w:val="0"/>
                  <w:vAlign w:val="center"/>
                </w:tcPr>
                <w:p w14:paraId="26373F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201" w:type="dxa"/>
                  <w:tcBorders>
                    <w:tl2br w:val="nil"/>
                    <w:tr2bl w:val="nil"/>
                  </w:tcBorders>
                  <w:noWrap w:val="0"/>
                  <w:vAlign w:val="center"/>
                </w:tcPr>
                <w:p w14:paraId="35F457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经度</w:t>
                  </w:r>
                  <w:r>
                    <w:rPr>
                      <w:rFonts w:hint="eastAsia" w:ascii="Times New Roman" w:hAnsi="Times New Roman" w:eastAsia="宋体" w:cs="Times New Roman"/>
                      <w:sz w:val="21"/>
                      <w:szCs w:val="21"/>
                      <w:highlight w:val="none"/>
                      <w:vertAlign w:val="baseline"/>
                      <w:lang w:val="en-US" w:eastAsia="zh-CN"/>
                    </w:rPr>
                    <w:t>（°）</w:t>
                  </w:r>
                </w:p>
              </w:tc>
              <w:tc>
                <w:tcPr>
                  <w:tcW w:w="1068" w:type="dxa"/>
                  <w:tcBorders>
                    <w:tl2br w:val="nil"/>
                    <w:tr2bl w:val="nil"/>
                  </w:tcBorders>
                  <w:noWrap w:val="0"/>
                  <w:vAlign w:val="center"/>
                </w:tcPr>
                <w:p w14:paraId="18A209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纬度</w:t>
                  </w:r>
                  <w:r>
                    <w:rPr>
                      <w:rFonts w:hint="eastAsia" w:ascii="Times New Roman" w:hAnsi="Times New Roman" w:eastAsia="宋体" w:cs="Times New Roman"/>
                      <w:sz w:val="21"/>
                      <w:szCs w:val="21"/>
                      <w:highlight w:val="none"/>
                      <w:vertAlign w:val="baseline"/>
                      <w:lang w:val="en-US" w:eastAsia="zh-CN"/>
                    </w:rPr>
                    <w:t>（°）</w:t>
                  </w:r>
                </w:p>
              </w:tc>
              <w:tc>
                <w:tcPr>
                  <w:tcW w:w="903" w:type="dxa"/>
                  <w:vMerge w:val="continue"/>
                  <w:tcBorders>
                    <w:tl2br w:val="nil"/>
                    <w:tr2bl w:val="nil"/>
                  </w:tcBorders>
                  <w:noWrap w:val="0"/>
                  <w:vAlign w:val="center"/>
                </w:tcPr>
                <w:p w14:paraId="29DC39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620" w:type="dxa"/>
                  <w:vMerge w:val="continue"/>
                  <w:tcBorders>
                    <w:tl2br w:val="nil"/>
                    <w:tr2bl w:val="nil"/>
                  </w:tcBorders>
                  <w:noWrap w:val="0"/>
                  <w:vAlign w:val="center"/>
                </w:tcPr>
                <w:p w14:paraId="4A9EF7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25" w:type="dxa"/>
                  <w:vMerge w:val="continue"/>
                  <w:tcBorders>
                    <w:tl2br w:val="nil"/>
                    <w:tr2bl w:val="nil"/>
                  </w:tcBorders>
                  <w:noWrap w:val="0"/>
                  <w:vAlign w:val="center"/>
                </w:tcPr>
                <w:p w14:paraId="4742F5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2544" w:type="dxa"/>
                  <w:vMerge w:val="continue"/>
                  <w:tcBorders>
                    <w:tl2br w:val="nil"/>
                    <w:tr2bl w:val="nil"/>
                  </w:tcBorders>
                  <w:noWrap w:val="0"/>
                  <w:vAlign w:val="center"/>
                </w:tcPr>
                <w:p w14:paraId="0C4617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r>
            <w:tr w14:paraId="2959AB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8" w:type="dxa"/>
                  <w:vMerge w:val="restart"/>
                  <w:tcBorders>
                    <w:tl2br w:val="nil"/>
                    <w:tr2bl w:val="nil"/>
                  </w:tcBorders>
                  <w:noWrap w:val="0"/>
                  <w:vAlign w:val="center"/>
                </w:tcPr>
                <w:p w14:paraId="59CE3B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大气</w:t>
                  </w:r>
                </w:p>
              </w:tc>
              <w:tc>
                <w:tcPr>
                  <w:tcW w:w="920" w:type="dxa"/>
                  <w:tcBorders>
                    <w:tl2br w:val="nil"/>
                    <w:tr2bl w:val="nil"/>
                  </w:tcBorders>
                  <w:noWrap w:val="0"/>
                  <w:vAlign w:val="center"/>
                </w:tcPr>
                <w:p w14:paraId="66D744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呈祥村</w:t>
                  </w:r>
                </w:p>
              </w:tc>
              <w:tc>
                <w:tcPr>
                  <w:tcW w:w="1201" w:type="dxa"/>
                  <w:tcBorders>
                    <w:tl2br w:val="nil"/>
                    <w:tr2bl w:val="nil"/>
                  </w:tcBorders>
                  <w:noWrap w:val="0"/>
                  <w:vAlign w:val="center"/>
                </w:tcPr>
                <w:p w14:paraId="6FB40C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113.209555</w:t>
                  </w:r>
                </w:p>
              </w:tc>
              <w:tc>
                <w:tcPr>
                  <w:tcW w:w="1068" w:type="dxa"/>
                  <w:tcBorders>
                    <w:tl2br w:val="nil"/>
                    <w:tr2bl w:val="nil"/>
                  </w:tcBorders>
                  <w:noWrap w:val="0"/>
                  <w:vAlign w:val="center"/>
                </w:tcPr>
                <w:p w14:paraId="2A3387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36.140877</w:t>
                  </w:r>
                </w:p>
              </w:tc>
              <w:tc>
                <w:tcPr>
                  <w:tcW w:w="903" w:type="dxa"/>
                  <w:tcBorders>
                    <w:tl2br w:val="nil"/>
                    <w:tr2bl w:val="nil"/>
                  </w:tcBorders>
                  <w:noWrap w:val="0"/>
                  <w:vAlign w:val="center"/>
                </w:tcPr>
                <w:p w14:paraId="7E93E7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E108m</w:t>
                  </w:r>
                </w:p>
              </w:tc>
              <w:tc>
                <w:tcPr>
                  <w:tcW w:w="620" w:type="dxa"/>
                  <w:tcBorders>
                    <w:tl2br w:val="nil"/>
                    <w:tr2bl w:val="nil"/>
                  </w:tcBorders>
                  <w:noWrap w:val="0"/>
                  <w:vAlign w:val="center"/>
                </w:tcPr>
                <w:p w14:paraId="2A213C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村民</w:t>
                  </w:r>
                </w:p>
              </w:tc>
              <w:tc>
                <w:tcPr>
                  <w:tcW w:w="725" w:type="dxa"/>
                  <w:tcBorders>
                    <w:tl2br w:val="nil"/>
                    <w:tr2bl w:val="nil"/>
                  </w:tcBorders>
                  <w:noWrap w:val="0"/>
                  <w:vAlign w:val="center"/>
                </w:tcPr>
                <w:p w14:paraId="705107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945</w:t>
                  </w:r>
                </w:p>
              </w:tc>
              <w:tc>
                <w:tcPr>
                  <w:tcW w:w="2544" w:type="dxa"/>
                  <w:vMerge w:val="restart"/>
                  <w:tcBorders>
                    <w:tl2br w:val="nil"/>
                    <w:tr2bl w:val="nil"/>
                  </w:tcBorders>
                  <w:noWrap w:val="0"/>
                  <w:vAlign w:val="center"/>
                </w:tcPr>
                <w:p w14:paraId="512052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《环境空气质量标准》（GB3095-20</w:t>
                  </w:r>
                  <w:r>
                    <w:rPr>
                      <w:rFonts w:hint="eastAsia" w:ascii="Times New Roman" w:hAnsi="Times New Roman" w:eastAsia="宋体" w:cs="Times New Roman"/>
                      <w:sz w:val="21"/>
                      <w:szCs w:val="21"/>
                      <w:highlight w:val="none"/>
                      <w:vertAlign w:val="baseline"/>
                      <w:lang w:val="en-US" w:eastAsia="zh-CN"/>
                    </w:rPr>
                    <w:t>12</w:t>
                  </w:r>
                  <w:r>
                    <w:rPr>
                      <w:rFonts w:hint="default" w:ascii="Times New Roman" w:hAnsi="Times New Roman" w:eastAsia="宋体" w:cs="Times New Roman"/>
                      <w:sz w:val="21"/>
                      <w:szCs w:val="21"/>
                      <w:highlight w:val="none"/>
                      <w:vertAlign w:val="baseline"/>
                      <w:lang w:val="en-US" w:eastAsia="zh-CN"/>
                    </w:rPr>
                    <w:t>）</w:t>
                  </w:r>
                  <w:r>
                    <w:rPr>
                      <w:rFonts w:hint="eastAsia" w:ascii="Times New Roman" w:hAnsi="Times New Roman" w:eastAsia="宋体" w:cs="Times New Roman"/>
                      <w:sz w:val="21"/>
                      <w:szCs w:val="21"/>
                      <w:highlight w:val="none"/>
                      <w:vertAlign w:val="baseline"/>
                      <w:lang w:val="en-US" w:eastAsia="zh-CN"/>
                    </w:rPr>
                    <w:t>二级</w:t>
                  </w:r>
                  <w:r>
                    <w:rPr>
                      <w:rFonts w:hint="default" w:ascii="Times New Roman" w:hAnsi="Times New Roman" w:eastAsia="宋体" w:cs="Times New Roman"/>
                      <w:sz w:val="21"/>
                      <w:szCs w:val="21"/>
                      <w:highlight w:val="none"/>
                      <w:vertAlign w:val="baseline"/>
                      <w:lang w:val="en-US" w:eastAsia="zh-CN"/>
                    </w:rPr>
                    <w:t>标准</w:t>
                  </w:r>
                </w:p>
              </w:tc>
            </w:tr>
            <w:tr w14:paraId="0CAA3D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8" w:type="dxa"/>
                  <w:vMerge w:val="continue"/>
                  <w:tcBorders>
                    <w:tl2br w:val="nil"/>
                    <w:tr2bl w:val="nil"/>
                  </w:tcBorders>
                  <w:noWrap w:val="0"/>
                  <w:vAlign w:val="center"/>
                </w:tcPr>
                <w:p w14:paraId="57E9A9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920" w:type="dxa"/>
                  <w:tcBorders>
                    <w:tl2br w:val="nil"/>
                    <w:tr2bl w:val="nil"/>
                  </w:tcBorders>
                  <w:noWrap w:val="0"/>
                  <w:vAlign w:val="center"/>
                </w:tcPr>
                <w:p w14:paraId="060435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集店村</w:t>
                  </w:r>
                </w:p>
              </w:tc>
              <w:tc>
                <w:tcPr>
                  <w:tcW w:w="1201" w:type="dxa"/>
                  <w:tcBorders>
                    <w:tl2br w:val="nil"/>
                    <w:tr2bl w:val="nil"/>
                  </w:tcBorders>
                  <w:noWrap w:val="0"/>
                  <w:vAlign w:val="center"/>
                </w:tcPr>
                <w:p w14:paraId="6237D3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113.204963</w:t>
                  </w:r>
                </w:p>
              </w:tc>
              <w:tc>
                <w:tcPr>
                  <w:tcW w:w="1068" w:type="dxa"/>
                  <w:tcBorders>
                    <w:tl2br w:val="nil"/>
                    <w:tr2bl w:val="nil"/>
                  </w:tcBorders>
                  <w:noWrap w:val="0"/>
                  <w:vAlign w:val="center"/>
                </w:tcPr>
                <w:p w14:paraId="69485F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36.145322</w:t>
                  </w:r>
                </w:p>
              </w:tc>
              <w:tc>
                <w:tcPr>
                  <w:tcW w:w="903" w:type="dxa"/>
                  <w:tcBorders>
                    <w:tl2br w:val="nil"/>
                    <w:tr2bl w:val="nil"/>
                  </w:tcBorders>
                  <w:noWrap w:val="0"/>
                  <w:vAlign w:val="center"/>
                </w:tcPr>
                <w:p w14:paraId="673F20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N</w:t>
                  </w:r>
                  <w:r>
                    <w:rPr>
                      <w:rFonts w:hint="eastAsia" w:cs="Times New Roman"/>
                      <w:sz w:val="21"/>
                      <w:szCs w:val="21"/>
                      <w:highlight w:val="none"/>
                      <w:vertAlign w:val="baseline"/>
                      <w:lang w:val="en-US" w:eastAsia="zh-CN"/>
                    </w:rPr>
                    <w:t>W</w:t>
                  </w:r>
                  <w:r>
                    <w:rPr>
                      <w:rFonts w:hint="eastAsia" w:ascii="Times New Roman" w:hAnsi="Times New Roman" w:eastAsia="宋体" w:cs="Times New Roman"/>
                      <w:sz w:val="21"/>
                      <w:szCs w:val="21"/>
                      <w:highlight w:val="none"/>
                      <w:vertAlign w:val="baseline"/>
                      <w:lang w:val="en-US" w:eastAsia="zh-CN"/>
                    </w:rPr>
                    <w:t>107m</w:t>
                  </w:r>
                </w:p>
              </w:tc>
              <w:tc>
                <w:tcPr>
                  <w:tcW w:w="620" w:type="dxa"/>
                  <w:tcBorders>
                    <w:tl2br w:val="nil"/>
                    <w:tr2bl w:val="nil"/>
                  </w:tcBorders>
                  <w:noWrap w:val="0"/>
                  <w:vAlign w:val="center"/>
                </w:tcPr>
                <w:p w14:paraId="72992F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村民</w:t>
                  </w:r>
                </w:p>
              </w:tc>
              <w:tc>
                <w:tcPr>
                  <w:tcW w:w="725" w:type="dxa"/>
                  <w:tcBorders>
                    <w:tl2br w:val="nil"/>
                    <w:tr2bl w:val="nil"/>
                  </w:tcBorders>
                  <w:noWrap w:val="0"/>
                  <w:vAlign w:val="center"/>
                </w:tcPr>
                <w:p w14:paraId="0D8B70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3117</w:t>
                  </w:r>
                </w:p>
              </w:tc>
              <w:tc>
                <w:tcPr>
                  <w:tcW w:w="2544" w:type="dxa"/>
                  <w:vMerge w:val="continue"/>
                  <w:tcBorders>
                    <w:tl2br w:val="nil"/>
                    <w:tr2bl w:val="nil"/>
                  </w:tcBorders>
                  <w:noWrap w:val="0"/>
                  <w:vAlign w:val="center"/>
                </w:tcPr>
                <w:p w14:paraId="1A4B89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r>
            <w:tr w14:paraId="68C865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8" w:type="dxa"/>
                  <w:tcBorders>
                    <w:tl2br w:val="nil"/>
                    <w:tr2bl w:val="nil"/>
                  </w:tcBorders>
                  <w:noWrap w:val="0"/>
                  <w:vAlign w:val="center"/>
                </w:tcPr>
                <w:p w14:paraId="7BE1B8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声环境</w:t>
                  </w:r>
                </w:p>
              </w:tc>
              <w:tc>
                <w:tcPr>
                  <w:tcW w:w="920" w:type="dxa"/>
                  <w:tcBorders>
                    <w:tl2br w:val="nil"/>
                    <w:tr2bl w:val="nil"/>
                  </w:tcBorders>
                  <w:noWrap w:val="0"/>
                  <w:vAlign w:val="center"/>
                </w:tcPr>
                <w:p w14:paraId="1F4E14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厂界</w:t>
                  </w:r>
                </w:p>
              </w:tc>
              <w:tc>
                <w:tcPr>
                  <w:tcW w:w="7061" w:type="dxa"/>
                  <w:gridSpan w:val="6"/>
                  <w:tcBorders>
                    <w:tl2br w:val="nil"/>
                    <w:tr2bl w:val="nil"/>
                  </w:tcBorders>
                  <w:noWrap w:val="0"/>
                  <w:vAlign w:val="center"/>
                </w:tcPr>
                <w:p w14:paraId="22B68C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厂界外50米范围内无声环境保护目标。</w:t>
                  </w:r>
                </w:p>
              </w:tc>
            </w:tr>
            <w:tr w14:paraId="6CCCB5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8" w:type="dxa"/>
                  <w:tcBorders>
                    <w:tl2br w:val="nil"/>
                    <w:tr2bl w:val="nil"/>
                  </w:tcBorders>
                  <w:noWrap w:val="0"/>
                  <w:vAlign w:val="center"/>
                </w:tcPr>
                <w:p w14:paraId="1C8829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地下水</w:t>
                  </w:r>
                </w:p>
              </w:tc>
              <w:tc>
                <w:tcPr>
                  <w:tcW w:w="920" w:type="dxa"/>
                  <w:tcBorders>
                    <w:tl2br w:val="nil"/>
                    <w:tr2bl w:val="nil"/>
                  </w:tcBorders>
                  <w:noWrap w:val="0"/>
                  <w:vAlign w:val="center"/>
                </w:tcPr>
                <w:p w14:paraId="42CFA2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集店镇集中供水水源地</w:t>
                  </w:r>
                </w:p>
              </w:tc>
              <w:tc>
                <w:tcPr>
                  <w:tcW w:w="1201" w:type="dxa"/>
                  <w:tcBorders>
                    <w:tl2br w:val="nil"/>
                    <w:tr2bl w:val="nil"/>
                  </w:tcBorders>
                  <w:noWrap w:val="0"/>
                  <w:vAlign w:val="center"/>
                </w:tcPr>
                <w:p w14:paraId="575F33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ascii="Helvetica" w:hAnsi="Helvetica" w:eastAsia="Helvetica" w:cs="Helvetica"/>
                      <w:i w:val="0"/>
                      <w:iCs w:val="0"/>
                      <w:caps w:val="0"/>
                      <w:color w:val="000000"/>
                      <w:spacing w:val="0"/>
                      <w:sz w:val="21"/>
                      <w:szCs w:val="21"/>
                      <w:highlight w:val="none"/>
                      <w:shd w:val="clear" w:fill="FFFFFF"/>
                    </w:rPr>
                    <w:t>113.205000</w:t>
                  </w:r>
                </w:p>
              </w:tc>
              <w:tc>
                <w:tcPr>
                  <w:tcW w:w="1068" w:type="dxa"/>
                  <w:tcBorders>
                    <w:tl2br w:val="nil"/>
                    <w:tr2bl w:val="nil"/>
                  </w:tcBorders>
                  <w:noWrap w:val="0"/>
                  <w:vAlign w:val="center"/>
                </w:tcPr>
                <w:p w14:paraId="4A21DF0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ascii="Helvetica" w:hAnsi="Helvetica" w:eastAsia="Helvetica" w:cs="Helvetica"/>
                      <w:i w:val="0"/>
                      <w:iCs w:val="0"/>
                      <w:caps w:val="0"/>
                      <w:color w:val="000000"/>
                      <w:spacing w:val="0"/>
                      <w:sz w:val="21"/>
                      <w:szCs w:val="21"/>
                      <w:highlight w:val="none"/>
                      <w:shd w:val="clear" w:fill="FFFFFF"/>
                    </w:rPr>
                    <w:t>36.146667</w:t>
                  </w:r>
                </w:p>
              </w:tc>
              <w:tc>
                <w:tcPr>
                  <w:tcW w:w="903" w:type="dxa"/>
                  <w:tcBorders>
                    <w:tl2br w:val="nil"/>
                    <w:tr2bl w:val="nil"/>
                  </w:tcBorders>
                  <w:noWrap w:val="0"/>
                  <w:vAlign w:val="center"/>
                </w:tcPr>
                <w:p w14:paraId="0D6478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NW500</w:t>
                  </w:r>
                </w:p>
              </w:tc>
              <w:tc>
                <w:tcPr>
                  <w:tcW w:w="620" w:type="dxa"/>
                  <w:tcBorders>
                    <w:tl2br w:val="nil"/>
                    <w:tr2bl w:val="nil"/>
                  </w:tcBorders>
                  <w:noWrap w:val="0"/>
                  <w:vAlign w:val="center"/>
                </w:tcPr>
                <w:p w14:paraId="70C582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地下水</w:t>
                  </w:r>
                </w:p>
              </w:tc>
              <w:tc>
                <w:tcPr>
                  <w:tcW w:w="725" w:type="dxa"/>
                  <w:tcBorders>
                    <w:tl2br w:val="nil"/>
                    <w:tr2bl w:val="nil"/>
                  </w:tcBorders>
                  <w:noWrap w:val="0"/>
                  <w:vAlign w:val="center"/>
                </w:tcPr>
                <w:p w14:paraId="2B8828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w:t>
                  </w:r>
                </w:p>
              </w:tc>
              <w:tc>
                <w:tcPr>
                  <w:tcW w:w="2544" w:type="dxa"/>
                  <w:tcBorders>
                    <w:tl2br w:val="nil"/>
                    <w:tr2bl w:val="nil"/>
                  </w:tcBorders>
                  <w:noWrap w:val="0"/>
                  <w:vAlign w:val="center"/>
                </w:tcPr>
                <w:p w14:paraId="081091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《地下水质量标准》</w:t>
                  </w:r>
                </w:p>
                <w:p w14:paraId="10AC5A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（GB14848-2017）</w:t>
                  </w:r>
                  <w:r>
                    <w:rPr>
                      <w:rFonts w:hint="eastAsia" w:ascii="微软雅黑" w:hAnsi="微软雅黑" w:eastAsia="微软雅黑" w:cs="微软雅黑"/>
                      <w:sz w:val="21"/>
                      <w:szCs w:val="21"/>
                      <w:highlight w:val="none"/>
                      <w:vertAlign w:val="baseline"/>
                      <w:lang w:val="en-US" w:eastAsia="zh-CN"/>
                    </w:rPr>
                    <w:t>Ⅲ</w:t>
                  </w:r>
                  <w:r>
                    <w:rPr>
                      <w:rFonts w:hint="eastAsia" w:cs="Times New Roman"/>
                      <w:sz w:val="21"/>
                      <w:szCs w:val="21"/>
                      <w:highlight w:val="none"/>
                      <w:vertAlign w:val="baseline"/>
                      <w:lang w:val="en-US" w:eastAsia="zh-CN"/>
                    </w:rPr>
                    <w:t>类</w:t>
                  </w:r>
                </w:p>
              </w:tc>
            </w:tr>
            <w:tr w14:paraId="3CC292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8" w:type="dxa"/>
                  <w:tcBorders>
                    <w:tl2br w:val="nil"/>
                    <w:tr2bl w:val="nil"/>
                  </w:tcBorders>
                  <w:noWrap w:val="0"/>
                  <w:vAlign w:val="center"/>
                </w:tcPr>
                <w:p w14:paraId="512F6A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生态</w:t>
                  </w:r>
                </w:p>
              </w:tc>
              <w:tc>
                <w:tcPr>
                  <w:tcW w:w="7981" w:type="dxa"/>
                  <w:gridSpan w:val="7"/>
                  <w:tcBorders>
                    <w:tl2br w:val="nil"/>
                    <w:tr2bl w:val="nil"/>
                  </w:tcBorders>
                  <w:noWrap w:val="0"/>
                  <w:vAlign w:val="center"/>
                </w:tcPr>
                <w:p w14:paraId="1E6BD7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不涉及生态环境保护目标</w:t>
                  </w:r>
                </w:p>
              </w:tc>
            </w:tr>
          </w:tbl>
          <w:p w14:paraId="3E9DB883">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1、大气环境</w:t>
            </w:r>
          </w:p>
          <w:p w14:paraId="6796C0C4">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本项目厂界外500米范围内无自然保护区、风景名胜区等保护目标。厂界外500m范围涉及呈祥村和集店村。</w:t>
            </w:r>
          </w:p>
          <w:p w14:paraId="75748B44">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2、声环境</w:t>
            </w:r>
          </w:p>
          <w:p w14:paraId="4EA5DFB9">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本项目厂界外50米范围内无声环境保护目标。</w:t>
            </w:r>
          </w:p>
          <w:p w14:paraId="0C8D8B64">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3、地下水环境</w:t>
            </w:r>
          </w:p>
          <w:p w14:paraId="2048A980">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本项目厂界外500米范围内无热水、矿泉水、温泉等特殊地下水资源</w:t>
            </w:r>
            <w:r>
              <w:rPr>
                <w:rFonts w:hint="eastAsia" w:cs="Times New Roman"/>
                <w:sz w:val="24"/>
                <w:szCs w:val="24"/>
                <w:highlight w:val="none"/>
                <w:lang w:val="en-US" w:eastAsia="zh-CN"/>
              </w:rPr>
              <w:t>，厂界外500m范围内设计集店镇集中供水水源地</w:t>
            </w:r>
            <w:r>
              <w:rPr>
                <w:rFonts w:hint="eastAsia" w:ascii="Times New Roman" w:hAnsi="Times New Roman" w:eastAsia="宋体" w:cs="Times New Roman"/>
                <w:sz w:val="24"/>
                <w:szCs w:val="24"/>
                <w:highlight w:val="none"/>
                <w:lang w:val="en-US" w:eastAsia="zh-CN"/>
              </w:rPr>
              <w:t>。</w:t>
            </w:r>
          </w:p>
          <w:p w14:paraId="7A58654C">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4、生态环境</w:t>
            </w:r>
          </w:p>
          <w:p w14:paraId="17C0E7BF">
            <w:pPr>
              <w:keepNext w:val="0"/>
              <w:keepLines w:val="0"/>
              <w:pageBreakBefore w:val="0"/>
              <w:widowControl w:val="0"/>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highlight w:val="none"/>
                <w:lang w:val="en-US"/>
              </w:rPr>
            </w:pPr>
            <w:r>
              <w:rPr>
                <w:rFonts w:hint="eastAsia" w:ascii="Times New Roman" w:hAnsi="Times New Roman" w:eastAsia="宋体" w:cs="Times New Roman"/>
                <w:sz w:val="24"/>
                <w:szCs w:val="24"/>
                <w:highlight w:val="none"/>
                <w:lang w:val="en-US" w:eastAsia="zh-CN"/>
              </w:rPr>
              <w:t>依据《建设项目环境影响报告表编制技术指南》（污染影响类）（试行），</w:t>
            </w:r>
            <w:r>
              <w:rPr>
                <w:rFonts w:hint="eastAsia"/>
                <w:sz w:val="24"/>
                <w:szCs w:val="24"/>
                <w:highlight w:val="none"/>
                <w:lang w:val="en-US" w:eastAsia="zh-CN"/>
              </w:rPr>
              <w:t>本项目未新增建设用地，因此，不涉及生态环境保护目标。</w:t>
            </w:r>
          </w:p>
        </w:tc>
      </w:tr>
      <w:tr w14:paraId="1B4D38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283" w:hRule="atLeast"/>
          <w:jc w:val="center"/>
        </w:trPr>
        <w:tc>
          <w:tcPr>
            <w:tcW w:w="0" w:type="auto"/>
            <w:noWrap w:val="0"/>
            <w:tcMar>
              <w:left w:w="28" w:type="dxa"/>
              <w:right w:w="28" w:type="dxa"/>
            </w:tcMar>
            <w:vAlign w:val="center"/>
          </w:tcPr>
          <w:p w14:paraId="22FAABE5">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污染</w:t>
            </w:r>
          </w:p>
          <w:p w14:paraId="35506B51">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物排</w:t>
            </w:r>
          </w:p>
          <w:p w14:paraId="3832F31D">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放控</w:t>
            </w:r>
          </w:p>
          <w:p w14:paraId="7D4A3243">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制标</w:t>
            </w:r>
          </w:p>
          <w:p w14:paraId="55F924E9">
            <w:pPr>
              <w:keepNext w:val="0"/>
              <w:keepLines w:val="0"/>
              <w:pageBreakBefore w:val="0"/>
              <w:widowControl w:val="0"/>
              <w:kinsoku/>
              <w:wordWrap/>
              <w:overflowPunct/>
              <w:topLinePunct w:val="0"/>
              <w:autoSpaceDE/>
              <w:autoSpaceDN/>
              <w:bidi w:val="0"/>
              <w:adjustRightInd w:val="0"/>
              <w:snapToGrid w:val="0"/>
              <w:jc w:val="center"/>
              <w:rPr>
                <w:rFonts w:ascii="宋体" w:hAnsi="宋体" w:cs="宋体"/>
                <w:kern w:val="0"/>
                <w:szCs w:val="21"/>
                <w:highlight w:val="none"/>
              </w:rPr>
            </w:pPr>
            <w:r>
              <w:rPr>
                <w:rFonts w:hint="eastAsia" w:ascii="宋体" w:hAnsi="宋体" w:cs="宋体"/>
                <w:kern w:val="0"/>
                <w:szCs w:val="21"/>
                <w:highlight w:val="none"/>
              </w:rPr>
              <w:t>准</w:t>
            </w:r>
          </w:p>
        </w:tc>
        <w:tc>
          <w:tcPr>
            <w:tcW w:w="0" w:type="auto"/>
            <w:noWrap w:val="0"/>
            <w:vAlign w:val="center"/>
          </w:tcPr>
          <w:p w14:paraId="4FEBDE6D">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1、大气污染物排放标准</w:t>
            </w:r>
          </w:p>
          <w:p w14:paraId="0DAAC3AF">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运营期原料处理工序废气、烧结抽真空工序废气、等静压废气、氢碎炉含尘废气排放标准执行《大气污染物综合排放标准》（GB16297-1996）中的表2新污染源大气污染物排放限值要求。同时颗粒物（有组织）按照《长治市工业企业无组织排放治理实施方案》（长气防办〔2019〕9号）（10</w:t>
            </w:r>
            <w:r>
              <w:rPr>
                <w:rFonts w:hint="default" w:ascii="Times New Roman" w:hAnsi="Times New Roman" w:cs="Times New Roman"/>
                <w:sz w:val="24"/>
                <w:szCs w:val="24"/>
                <w:highlight w:val="none"/>
                <w:lang w:val="en-US" w:eastAsia="zh-CN"/>
              </w:rPr>
              <w:t>mg/m</w:t>
            </w:r>
            <w:r>
              <w:rPr>
                <w:rFonts w:hint="default" w:ascii="Times New Roman" w:hAnsi="Times New Roman" w:cs="Times New Roman"/>
                <w:sz w:val="24"/>
                <w:szCs w:val="24"/>
                <w:highlight w:val="none"/>
                <w:vertAlign w:val="superscript"/>
                <w:lang w:val="en-US" w:eastAsia="zh-CN"/>
              </w:rPr>
              <w:t>3</w:t>
            </w:r>
            <w:r>
              <w:rPr>
                <w:rFonts w:hint="default" w:ascii="Times New Roman" w:hAnsi="Times New Roman" w:eastAsia="宋体" w:cs="Times New Roman"/>
                <w:color w:val="auto"/>
                <w:kern w:val="2"/>
                <w:sz w:val="24"/>
                <w:szCs w:val="24"/>
                <w:highlight w:val="none"/>
                <w:lang w:val="en-US" w:eastAsia="zh-CN" w:bidi="ar-SA"/>
              </w:rPr>
              <w:t>）进行管控，挥发性有机物（有组织）参照《山西省重点行业挥发性有机物（VOCs）2017年专项治理方案》（晋气防办〔2017〕32号）（60</w:t>
            </w:r>
            <w:r>
              <w:rPr>
                <w:rFonts w:hint="default" w:ascii="Times New Roman" w:hAnsi="Times New Roman" w:cs="Times New Roman"/>
                <w:sz w:val="24"/>
                <w:szCs w:val="24"/>
                <w:highlight w:val="none"/>
                <w:lang w:val="en-US" w:eastAsia="zh-CN"/>
              </w:rPr>
              <w:t>mg/m</w:t>
            </w:r>
            <w:r>
              <w:rPr>
                <w:rFonts w:hint="default" w:ascii="Times New Roman" w:hAnsi="Times New Roman" w:cs="Times New Roman"/>
                <w:sz w:val="24"/>
                <w:szCs w:val="24"/>
                <w:highlight w:val="none"/>
                <w:vertAlign w:val="superscript"/>
                <w:lang w:val="en-US" w:eastAsia="zh-CN"/>
              </w:rPr>
              <w:t>3</w:t>
            </w:r>
            <w:r>
              <w:rPr>
                <w:rFonts w:hint="default" w:ascii="Times New Roman" w:hAnsi="Times New Roman" w:eastAsia="宋体" w:cs="Times New Roman"/>
                <w:color w:val="auto"/>
                <w:kern w:val="2"/>
                <w:sz w:val="24"/>
                <w:szCs w:val="24"/>
                <w:highlight w:val="none"/>
                <w:lang w:val="en-US" w:eastAsia="zh-CN" w:bidi="ar-SA"/>
              </w:rPr>
              <w:t>）进行管控。</w:t>
            </w:r>
          </w:p>
          <w:p w14:paraId="33B89CD2">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厂界无组织颗粒物执行《大气污染物综合排放标准》（GB16297-1996）中的表2新污染源大气污染物排放限值要求。无组织挥发性有机物（厂区内）执行《挥发性有机物无组织排放控制标准》（GB37822-2019）附录A特别排放限值。无组织挥发性有机物（厂界）执行《大气污染物综合排放标准》（GB16297-1996）中的表2新污染源大气污染物排放限值要求。</w:t>
            </w:r>
          </w:p>
          <w:p w14:paraId="26C38CFA">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表</w:t>
            </w:r>
            <w:r>
              <w:rPr>
                <w:rFonts w:hint="eastAsia" w:ascii="Times New Roman" w:hAnsi="Times New Roman" w:eastAsia="宋体" w:cs="Times New Roman"/>
                <w:b/>
                <w:bCs/>
                <w:sz w:val="21"/>
                <w:szCs w:val="21"/>
                <w:highlight w:val="none"/>
                <w:lang w:val="en-US" w:eastAsia="zh-CN"/>
              </w:rPr>
              <w:t>3-5</w:t>
            </w:r>
            <w:r>
              <w:rPr>
                <w:rFonts w:hint="default" w:ascii="Times New Roman" w:hAnsi="Times New Roman" w:eastAsia="宋体" w:cs="Times New Roman"/>
                <w:b/>
                <w:bCs/>
                <w:sz w:val="21"/>
                <w:szCs w:val="21"/>
                <w:highlight w:val="none"/>
                <w:lang w:val="en-US" w:eastAsia="zh-CN"/>
              </w:rPr>
              <w:t xml:space="preserve">  《大气污染物综合排放标准》</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60"/>
              <w:gridCol w:w="1855"/>
              <w:gridCol w:w="1406"/>
              <w:gridCol w:w="1100"/>
              <w:gridCol w:w="2471"/>
              <w:gridCol w:w="454"/>
            </w:tblGrid>
            <w:tr w14:paraId="340FCE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160" w:type="dxa"/>
                  <w:vMerge w:val="restart"/>
                  <w:tcBorders>
                    <w:tl2br w:val="nil"/>
                    <w:tr2bl w:val="nil"/>
                  </w:tcBorders>
                  <w:noWrap w:val="0"/>
                  <w:vAlign w:val="center"/>
                </w:tcPr>
                <w:p w14:paraId="2A0631C7">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污染物</w:t>
                  </w:r>
                </w:p>
              </w:tc>
              <w:tc>
                <w:tcPr>
                  <w:tcW w:w="1855" w:type="dxa"/>
                  <w:vMerge w:val="restart"/>
                  <w:tcBorders>
                    <w:tl2br w:val="nil"/>
                    <w:tr2bl w:val="nil"/>
                  </w:tcBorders>
                  <w:noWrap w:val="0"/>
                  <w:vAlign w:val="center"/>
                </w:tcPr>
                <w:p w14:paraId="66BFD16C">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最高允许排放浓度（</w:t>
                  </w:r>
                  <w:r>
                    <w:rPr>
                      <w:rFonts w:hint="eastAsia"/>
                      <w:b w:val="0"/>
                      <w:bCs w:val="0"/>
                      <w:sz w:val="21"/>
                      <w:szCs w:val="21"/>
                      <w:highlight w:val="none"/>
                      <w:lang w:val="en-US" w:eastAsia="zh-CN"/>
                    </w:rPr>
                    <w:t>mg/m</w:t>
                  </w:r>
                  <w:r>
                    <w:rPr>
                      <w:rFonts w:hint="eastAsia"/>
                      <w:b w:val="0"/>
                      <w:bCs w:val="0"/>
                      <w:sz w:val="21"/>
                      <w:szCs w:val="21"/>
                      <w:highlight w:val="none"/>
                      <w:vertAlign w:val="superscript"/>
                      <w:lang w:val="en-US" w:eastAsia="zh-CN"/>
                    </w:rPr>
                    <w:t>3</w:t>
                  </w:r>
                  <w:r>
                    <w:rPr>
                      <w:rFonts w:hint="eastAsia" w:eastAsia="宋体"/>
                      <w:sz w:val="21"/>
                      <w:szCs w:val="21"/>
                      <w:highlight w:val="none"/>
                      <w:lang w:val="en-US" w:eastAsia="zh-CN"/>
                    </w:rPr>
                    <w:t>）</w:t>
                  </w:r>
                </w:p>
              </w:tc>
              <w:tc>
                <w:tcPr>
                  <w:tcW w:w="2506" w:type="dxa"/>
                  <w:gridSpan w:val="2"/>
                  <w:tcBorders>
                    <w:tl2br w:val="nil"/>
                    <w:tr2bl w:val="nil"/>
                  </w:tcBorders>
                  <w:noWrap w:val="0"/>
                  <w:vAlign w:val="center"/>
                </w:tcPr>
                <w:p w14:paraId="0D21FCC3">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sz w:val="21"/>
                      <w:szCs w:val="21"/>
                      <w:highlight w:val="none"/>
                      <w:lang w:val="en-US" w:eastAsia="zh-CN"/>
                    </w:rPr>
                  </w:pPr>
                  <w:r>
                    <w:rPr>
                      <w:rFonts w:hint="eastAsia" w:eastAsia="宋体"/>
                      <w:sz w:val="21"/>
                      <w:szCs w:val="21"/>
                      <w:highlight w:val="none"/>
                      <w:lang w:val="en-US" w:eastAsia="zh-CN"/>
                    </w:rPr>
                    <w:t>最高允许排放速率（kg/h）</w:t>
                  </w:r>
                </w:p>
              </w:tc>
              <w:tc>
                <w:tcPr>
                  <w:tcW w:w="0" w:type="auto"/>
                  <w:gridSpan w:val="2"/>
                  <w:vMerge w:val="restart"/>
                  <w:tcBorders>
                    <w:tl2br w:val="nil"/>
                    <w:tr2bl w:val="nil"/>
                  </w:tcBorders>
                  <w:noWrap w:val="0"/>
                  <w:vAlign w:val="center"/>
                </w:tcPr>
                <w:p w14:paraId="55885CBE">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无组织排放监控浓度（</w:t>
                  </w:r>
                  <w:r>
                    <w:rPr>
                      <w:rFonts w:hint="eastAsia"/>
                      <w:b w:val="0"/>
                      <w:bCs w:val="0"/>
                      <w:sz w:val="21"/>
                      <w:szCs w:val="21"/>
                      <w:highlight w:val="none"/>
                      <w:lang w:val="en-US" w:eastAsia="zh-CN"/>
                    </w:rPr>
                    <w:t>mg/m</w:t>
                  </w:r>
                  <w:r>
                    <w:rPr>
                      <w:rFonts w:hint="eastAsia"/>
                      <w:b w:val="0"/>
                      <w:bCs w:val="0"/>
                      <w:sz w:val="21"/>
                      <w:szCs w:val="21"/>
                      <w:highlight w:val="none"/>
                      <w:vertAlign w:val="superscript"/>
                      <w:lang w:val="en-US" w:eastAsia="zh-CN"/>
                    </w:rPr>
                    <w:t>3</w:t>
                  </w:r>
                  <w:r>
                    <w:rPr>
                      <w:rFonts w:hint="eastAsia" w:eastAsia="宋体"/>
                      <w:sz w:val="21"/>
                      <w:szCs w:val="21"/>
                      <w:highlight w:val="none"/>
                      <w:lang w:val="en-US" w:eastAsia="zh-CN"/>
                    </w:rPr>
                    <w:t>）</w:t>
                  </w:r>
                </w:p>
              </w:tc>
            </w:tr>
            <w:tr w14:paraId="672493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160" w:type="dxa"/>
                  <w:vMerge w:val="continue"/>
                  <w:tcBorders>
                    <w:tl2br w:val="nil"/>
                    <w:tr2bl w:val="nil"/>
                  </w:tcBorders>
                  <w:noWrap w:val="0"/>
                  <w:vAlign w:val="center"/>
                </w:tcPr>
                <w:p w14:paraId="4957A1C4">
                  <w:pPr>
                    <w:pStyle w:val="52"/>
                    <w:keepNext w:val="0"/>
                    <w:keepLines w:val="0"/>
                    <w:pageBreakBefore w:val="0"/>
                    <w:widowControl w:val="0"/>
                    <w:kinsoku/>
                    <w:wordWrap/>
                    <w:overflowPunct/>
                    <w:topLinePunct w:val="0"/>
                    <w:autoSpaceDE/>
                    <w:autoSpaceDN/>
                    <w:bidi w:val="0"/>
                    <w:adjustRightInd/>
                    <w:snapToGrid/>
                    <w:spacing w:line="240" w:lineRule="auto"/>
                    <w:textAlignment w:val="auto"/>
                    <w:rPr>
                      <w:sz w:val="21"/>
                      <w:szCs w:val="21"/>
                      <w:highlight w:val="none"/>
                    </w:rPr>
                  </w:pPr>
                </w:p>
              </w:tc>
              <w:tc>
                <w:tcPr>
                  <w:tcW w:w="1855" w:type="dxa"/>
                  <w:vMerge w:val="continue"/>
                  <w:tcBorders>
                    <w:tl2br w:val="nil"/>
                    <w:tr2bl w:val="nil"/>
                  </w:tcBorders>
                  <w:noWrap w:val="0"/>
                  <w:vAlign w:val="center"/>
                </w:tcPr>
                <w:p w14:paraId="123FB5E0">
                  <w:pPr>
                    <w:pStyle w:val="52"/>
                    <w:keepNext w:val="0"/>
                    <w:keepLines w:val="0"/>
                    <w:pageBreakBefore w:val="0"/>
                    <w:widowControl w:val="0"/>
                    <w:kinsoku/>
                    <w:wordWrap/>
                    <w:overflowPunct/>
                    <w:topLinePunct w:val="0"/>
                    <w:autoSpaceDE/>
                    <w:autoSpaceDN/>
                    <w:bidi w:val="0"/>
                    <w:adjustRightInd/>
                    <w:snapToGrid/>
                    <w:spacing w:line="240" w:lineRule="auto"/>
                    <w:textAlignment w:val="auto"/>
                    <w:rPr>
                      <w:sz w:val="21"/>
                      <w:szCs w:val="21"/>
                      <w:highlight w:val="none"/>
                    </w:rPr>
                  </w:pPr>
                </w:p>
              </w:tc>
              <w:tc>
                <w:tcPr>
                  <w:tcW w:w="1406" w:type="dxa"/>
                  <w:tcBorders>
                    <w:tl2br w:val="nil"/>
                    <w:tr2bl w:val="nil"/>
                  </w:tcBorders>
                  <w:noWrap w:val="0"/>
                  <w:vAlign w:val="center"/>
                </w:tcPr>
                <w:p w14:paraId="38731D45">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sz w:val="21"/>
                      <w:szCs w:val="21"/>
                      <w:highlight w:val="none"/>
                      <w:lang w:val="en-US" w:eastAsia="zh-CN"/>
                    </w:rPr>
                    <w:t>15m</w:t>
                  </w:r>
                </w:p>
              </w:tc>
              <w:tc>
                <w:tcPr>
                  <w:tcW w:w="0" w:type="auto"/>
                  <w:tcBorders>
                    <w:tl2br w:val="nil"/>
                    <w:tr2bl w:val="nil"/>
                  </w:tcBorders>
                  <w:noWrap w:val="0"/>
                  <w:vAlign w:val="center"/>
                </w:tcPr>
                <w:p w14:paraId="793076E0">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sz w:val="21"/>
                      <w:szCs w:val="21"/>
                      <w:highlight w:val="none"/>
                      <w:lang w:val="en-US" w:eastAsia="zh-CN"/>
                    </w:rPr>
                    <w:t>20m</w:t>
                  </w:r>
                </w:p>
              </w:tc>
              <w:tc>
                <w:tcPr>
                  <w:tcW w:w="0" w:type="auto"/>
                  <w:gridSpan w:val="2"/>
                  <w:vMerge w:val="continue"/>
                  <w:tcBorders>
                    <w:tl2br w:val="nil"/>
                    <w:tr2bl w:val="nil"/>
                  </w:tcBorders>
                  <w:noWrap w:val="0"/>
                  <w:vAlign w:val="center"/>
                </w:tcPr>
                <w:p w14:paraId="72FD1EC5">
                  <w:pPr>
                    <w:pStyle w:val="52"/>
                    <w:keepNext w:val="0"/>
                    <w:keepLines w:val="0"/>
                    <w:pageBreakBefore w:val="0"/>
                    <w:widowControl w:val="0"/>
                    <w:kinsoku/>
                    <w:wordWrap/>
                    <w:overflowPunct/>
                    <w:topLinePunct w:val="0"/>
                    <w:autoSpaceDE/>
                    <w:autoSpaceDN/>
                    <w:bidi w:val="0"/>
                    <w:adjustRightInd/>
                    <w:snapToGrid/>
                    <w:spacing w:line="240" w:lineRule="auto"/>
                    <w:textAlignment w:val="auto"/>
                    <w:rPr>
                      <w:sz w:val="21"/>
                      <w:szCs w:val="21"/>
                      <w:highlight w:val="none"/>
                    </w:rPr>
                  </w:pPr>
                </w:p>
              </w:tc>
            </w:tr>
            <w:tr w14:paraId="34967B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160" w:type="dxa"/>
                  <w:tcBorders>
                    <w:tl2br w:val="nil"/>
                    <w:tr2bl w:val="nil"/>
                  </w:tcBorders>
                  <w:noWrap w:val="0"/>
                  <w:vAlign w:val="center"/>
                </w:tcPr>
                <w:p w14:paraId="5FA4CB4E">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颗粒物</w:t>
                  </w:r>
                </w:p>
              </w:tc>
              <w:tc>
                <w:tcPr>
                  <w:tcW w:w="1855" w:type="dxa"/>
                  <w:tcBorders>
                    <w:tl2br w:val="nil"/>
                    <w:tr2bl w:val="nil"/>
                  </w:tcBorders>
                  <w:noWrap w:val="0"/>
                  <w:vAlign w:val="center"/>
                </w:tcPr>
                <w:p w14:paraId="5E903246">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120</w:t>
                  </w:r>
                </w:p>
              </w:tc>
              <w:tc>
                <w:tcPr>
                  <w:tcW w:w="1406" w:type="dxa"/>
                  <w:tcBorders>
                    <w:tl2br w:val="nil"/>
                    <w:tr2bl w:val="nil"/>
                  </w:tcBorders>
                  <w:noWrap w:val="0"/>
                  <w:vAlign w:val="center"/>
                </w:tcPr>
                <w:p w14:paraId="6EA69DA0">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3.5</w:t>
                  </w:r>
                </w:p>
              </w:tc>
              <w:tc>
                <w:tcPr>
                  <w:tcW w:w="0" w:type="auto"/>
                  <w:tcBorders>
                    <w:tl2br w:val="nil"/>
                    <w:tr2bl w:val="nil"/>
                  </w:tcBorders>
                  <w:noWrap w:val="0"/>
                  <w:vAlign w:val="center"/>
                </w:tcPr>
                <w:p w14:paraId="1D84482B">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5.9</w:t>
                  </w:r>
                </w:p>
              </w:tc>
              <w:tc>
                <w:tcPr>
                  <w:tcW w:w="0" w:type="auto"/>
                  <w:tcBorders>
                    <w:tl2br w:val="nil"/>
                    <w:tr2bl w:val="nil"/>
                  </w:tcBorders>
                  <w:noWrap w:val="0"/>
                  <w:vAlign w:val="center"/>
                </w:tcPr>
                <w:p w14:paraId="68DFDDA0">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highlight w:val="none"/>
                      <w:lang w:val="en-US" w:eastAsia="zh-CN"/>
                    </w:rPr>
                  </w:pPr>
                  <w:r>
                    <w:rPr>
                      <w:rFonts w:hint="eastAsia"/>
                      <w:sz w:val="21"/>
                      <w:szCs w:val="21"/>
                      <w:highlight w:val="none"/>
                      <w:lang w:val="en-US" w:eastAsia="zh-CN"/>
                    </w:rPr>
                    <w:t>周界外浓度最高点</w:t>
                  </w:r>
                </w:p>
              </w:tc>
              <w:tc>
                <w:tcPr>
                  <w:tcW w:w="0" w:type="auto"/>
                  <w:tcBorders>
                    <w:tl2br w:val="nil"/>
                    <w:tr2bl w:val="nil"/>
                  </w:tcBorders>
                  <w:noWrap w:val="0"/>
                  <w:vAlign w:val="center"/>
                </w:tcPr>
                <w:p w14:paraId="097EC172">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kern w:val="2"/>
                      <w:sz w:val="21"/>
                      <w:szCs w:val="21"/>
                      <w:highlight w:val="none"/>
                      <w:lang w:val="en-US" w:eastAsia="zh-CN" w:bidi="ar-SA"/>
                    </w:rPr>
                  </w:pPr>
                  <w:r>
                    <w:rPr>
                      <w:rFonts w:hint="eastAsia"/>
                      <w:sz w:val="21"/>
                      <w:szCs w:val="21"/>
                      <w:highlight w:val="none"/>
                      <w:lang w:val="en-US" w:eastAsia="zh-CN"/>
                    </w:rPr>
                    <w:t>1.0</w:t>
                  </w:r>
                </w:p>
              </w:tc>
            </w:tr>
            <w:tr w14:paraId="462ECF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160" w:type="dxa"/>
                  <w:tcBorders>
                    <w:tl2br w:val="nil"/>
                    <w:tr2bl w:val="nil"/>
                  </w:tcBorders>
                  <w:noWrap w:val="0"/>
                  <w:vAlign w:val="center"/>
                </w:tcPr>
                <w:p w14:paraId="7D989234">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非甲烷总烃</w:t>
                  </w:r>
                </w:p>
              </w:tc>
              <w:tc>
                <w:tcPr>
                  <w:tcW w:w="1855" w:type="dxa"/>
                  <w:tcBorders>
                    <w:tl2br w:val="nil"/>
                    <w:tr2bl w:val="nil"/>
                  </w:tcBorders>
                  <w:noWrap w:val="0"/>
                  <w:vAlign w:val="center"/>
                </w:tcPr>
                <w:p w14:paraId="1FF93C6B">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120</w:t>
                  </w:r>
                </w:p>
              </w:tc>
              <w:tc>
                <w:tcPr>
                  <w:tcW w:w="1406" w:type="dxa"/>
                  <w:tcBorders>
                    <w:tl2br w:val="nil"/>
                    <w:tr2bl w:val="nil"/>
                  </w:tcBorders>
                  <w:noWrap w:val="0"/>
                  <w:vAlign w:val="center"/>
                </w:tcPr>
                <w:p w14:paraId="633CAFC2">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10</w:t>
                  </w:r>
                </w:p>
              </w:tc>
              <w:tc>
                <w:tcPr>
                  <w:tcW w:w="0" w:type="auto"/>
                  <w:tcBorders>
                    <w:tl2br w:val="nil"/>
                    <w:tr2bl w:val="nil"/>
                  </w:tcBorders>
                  <w:noWrap w:val="0"/>
                  <w:vAlign w:val="center"/>
                </w:tcPr>
                <w:p w14:paraId="7EF4027A">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17</w:t>
                  </w:r>
                </w:p>
              </w:tc>
              <w:tc>
                <w:tcPr>
                  <w:tcW w:w="0" w:type="auto"/>
                  <w:tcBorders>
                    <w:tl2br w:val="nil"/>
                    <w:tr2bl w:val="nil"/>
                  </w:tcBorders>
                  <w:noWrap w:val="0"/>
                  <w:vAlign w:val="center"/>
                </w:tcPr>
                <w:p w14:paraId="12F0C794">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highlight w:val="none"/>
                      <w:lang w:val="en-US" w:eastAsia="zh-CN"/>
                    </w:rPr>
                  </w:pPr>
                  <w:r>
                    <w:rPr>
                      <w:rFonts w:hint="eastAsia"/>
                      <w:sz w:val="21"/>
                      <w:szCs w:val="21"/>
                      <w:highlight w:val="none"/>
                      <w:lang w:val="en-US" w:eastAsia="zh-CN"/>
                    </w:rPr>
                    <w:t>周界外浓度最高点</w:t>
                  </w:r>
                </w:p>
              </w:tc>
              <w:tc>
                <w:tcPr>
                  <w:tcW w:w="0" w:type="auto"/>
                  <w:tcBorders>
                    <w:tl2br w:val="nil"/>
                    <w:tr2bl w:val="nil"/>
                  </w:tcBorders>
                  <w:noWrap w:val="0"/>
                  <w:vAlign w:val="center"/>
                </w:tcPr>
                <w:p w14:paraId="38DC00B1">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kern w:val="2"/>
                      <w:sz w:val="21"/>
                      <w:szCs w:val="21"/>
                      <w:highlight w:val="none"/>
                      <w:lang w:val="en-US" w:eastAsia="zh-CN" w:bidi="ar-SA"/>
                    </w:rPr>
                  </w:pPr>
                  <w:r>
                    <w:rPr>
                      <w:rFonts w:hint="eastAsia"/>
                      <w:sz w:val="21"/>
                      <w:szCs w:val="21"/>
                      <w:highlight w:val="none"/>
                      <w:lang w:val="en-US" w:eastAsia="zh-CN"/>
                    </w:rPr>
                    <w:t>4.0</w:t>
                  </w:r>
                </w:p>
              </w:tc>
            </w:tr>
          </w:tbl>
          <w:p w14:paraId="4D3C514D">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表3-6  《挥发性有机物无组织排放控制标准》</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396"/>
              <w:gridCol w:w="1661"/>
              <w:gridCol w:w="2987"/>
              <w:gridCol w:w="2457"/>
            </w:tblGrid>
            <w:tr w14:paraId="14F019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4F67E534">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sz w:val="21"/>
                      <w:szCs w:val="21"/>
                      <w:highlight w:val="none"/>
                      <w:lang w:val="en-US" w:eastAsia="zh-CN"/>
                    </w:rPr>
                    <w:t>污染物项目</w:t>
                  </w:r>
                </w:p>
              </w:tc>
              <w:tc>
                <w:tcPr>
                  <w:tcW w:w="0" w:type="auto"/>
                  <w:tcBorders>
                    <w:tl2br w:val="nil"/>
                    <w:tr2bl w:val="nil"/>
                  </w:tcBorders>
                  <w:noWrap w:val="0"/>
                  <w:vAlign w:val="center"/>
                </w:tcPr>
                <w:p w14:paraId="59F8ADB1">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sz w:val="21"/>
                      <w:szCs w:val="21"/>
                      <w:highlight w:val="none"/>
                      <w:lang w:val="en-US" w:eastAsia="zh-CN"/>
                    </w:rPr>
                  </w:pPr>
                  <w:r>
                    <w:rPr>
                      <w:rFonts w:hint="eastAsia"/>
                      <w:sz w:val="21"/>
                      <w:szCs w:val="21"/>
                      <w:highlight w:val="none"/>
                      <w:lang w:val="en-US" w:eastAsia="zh-CN"/>
                    </w:rPr>
                    <w:t>特别排放限制</w:t>
                  </w:r>
                </w:p>
              </w:tc>
              <w:tc>
                <w:tcPr>
                  <w:tcW w:w="0" w:type="auto"/>
                  <w:tcBorders>
                    <w:tl2br w:val="nil"/>
                    <w:tr2bl w:val="nil"/>
                  </w:tcBorders>
                  <w:noWrap w:val="0"/>
                  <w:vAlign w:val="center"/>
                </w:tcPr>
                <w:p w14:paraId="5E6EB057">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sz w:val="21"/>
                      <w:szCs w:val="21"/>
                      <w:highlight w:val="none"/>
                      <w:lang w:val="en-US" w:eastAsia="zh-CN"/>
                    </w:rPr>
                    <w:t>限值含义</w:t>
                  </w:r>
                </w:p>
              </w:tc>
              <w:tc>
                <w:tcPr>
                  <w:tcW w:w="0" w:type="auto"/>
                  <w:tcBorders>
                    <w:tl2br w:val="nil"/>
                    <w:tr2bl w:val="nil"/>
                  </w:tcBorders>
                  <w:noWrap w:val="0"/>
                  <w:vAlign w:val="center"/>
                </w:tcPr>
                <w:p w14:paraId="216C4B69">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sz w:val="21"/>
                      <w:szCs w:val="21"/>
                      <w:highlight w:val="none"/>
                      <w:lang w:val="en-US" w:eastAsia="zh-CN"/>
                    </w:rPr>
                    <w:t>无组织排放监控位置</w:t>
                  </w:r>
                </w:p>
              </w:tc>
            </w:tr>
            <w:tr w14:paraId="1E5398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vMerge w:val="restart"/>
                  <w:tcBorders>
                    <w:tl2br w:val="nil"/>
                    <w:tr2bl w:val="nil"/>
                  </w:tcBorders>
                  <w:noWrap w:val="0"/>
                  <w:vAlign w:val="center"/>
                </w:tcPr>
                <w:p w14:paraId="14E33590">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NMHC</w:t>
                  </w:r>
                </w:p>
              </w:tc>
              <w:tc>
                <w:tcPr>
                  <w:tcW w:w="0" w:type="auto"/>
                  <w:tcBorders>
                    <w:tl2br w:val="nil"/>
                    <w:tr2bl w:val="nil"/>
                  </w:tcBorders>
                  <w:noWrap w:val="0"/>
                  <w:vAlign w:val="center"/>
                </w:tcPr>
                <w:p w14:paraId="6722EAA7">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6</w:t>
                  </w:r>
                </w:p>
              </w:tc>
              <w:tc>
                <w:tcPr>
                  <w:tcW w:w="0" w:type="auto"/>
                  <w:tcBorders>
                    <w:tl2br w:val="nil"/>
                    <w:tr2bl w:val="nil"/>
                  </w:tcBorders>
                  <w:noWrap w:val="0"/>
                  <w:vAlign w:val="center"/>
                </w:tcPr>
                <w:p w14:paraId="0BF013B0">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监控点处1h平均浓度值</w:t>
                  </w:r>
                </w:p>
              </w:tc>
              <w:tc>
                <w:tcPr>
                  <w:tcW w:w="0" w:type="auto"/>
                  <w:vMerge w:val="restart"/>
                  <w:tcBorders>
                    <w:tl2br w:val="nil"/>
                    <w:tr2bl w:val="nil"/>
                  </w:tcBorders>
                  <w:noWrap w:val="0"/>
                  <w:vAlign w:val="center"/>
                </w:tcPr>
                <w:p w14:paraId="685F2EA3">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在厂房外设置监控点</w:t>
                  </w:r>
                </w:p>
              </w:tc>
            </w:tr>
            <w:tr w14:paraId="7E7290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vMerge w:val="continue"/>
                  <w:tcBorders>
                    <w:tl2br w:val="nil"/>
                    <w:tr2bl w:val="nil"/>
                  </w:tcBorders>
                  <w:noWrap w:val="0"/>
                  <w:vAlign w:val="center"/>
                </w:tcPr>
                <w:p w14:paraId="059A18F0">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p>
              </w:tc>
              <w:tc>
                <w:tcPr>
                  <w:tcW w:w="0" w:type="auto"/>
                  <w:tcBorders>
                    <w:tl2br w:val="nil"/>
                    <w:tr2bl w:val="nil"/>
                  </w:tcBorders>
                  <w:noWrap w:val="0"/>
                  <w:vAlign w:val="center"/>
                </w:tcPr>
                <w:p w14:paraId="32561E7C">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20</w:t>
                  </w:r>
                </w:p>
              </w:tc>
              <w:tc>
                <w:tcPr>
                  <w:tcW w:w="0" w:type="auto"/>
                  <w:tcBorders>
                    <w:tl2br w:val="nil"/>
                    <w:tr2bl w:val="nil"/>
                  </w:tcBorders>
                  <w:noWrap w:val="0"/>
                  <w:vAlign w:val="center"/>
                </w:tcPr>
                <w:p w14:paraId="6E9B634D">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r>
                    <w:rPr>
                      <w:rFonts w:hint="eastAsia" w:eastAsia="宋体"/>
                      <w:sz w:val="21"/>
                      <w:szCs w:val="21"/>
                      <w:highlight w:val="none"/>
                      <w:lang w:val="en-US" w:eastAsia="zh-CN"/>
                    </w:rPr>
                    <w:t>监控点处任意一次浓度值</w:t>
                  </w:r>
                </w:p>
              </w:tc>
              <w:tc>
                <w:tcPr>
                  <w:tcW w:w="0" w:type="auto"/>
                  <w:vMerge w:val="continue"/>
                  <w:tcBorders>
                    <w:tl2br w:val="nil"/>
                    <w:tr2bl w:val="nil"/>
                  </w:tcBorders>
                  <w:noWrap w:val="0"/>
                  <w:vAlign w:val="center"/>
                </w:tcPr>
                <w:p w14:paraId="4DE258C3">
                  <w:pPr>
                    <w:pStyle w:val="5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none"/>
                      <w:lang w:val="en-US" w:eastAsia="zh-CN"/>
                    </w:rPr>
                  </w:pPr>
                </w:p>
              </w:tc>
            </w:tr>
          </w:tbl>
          <w:p w14:paraId="58DC4B3C">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2、水污染物排放标准</w:t>
            </w:r>
          </w:p>
          <w:p w14:paraId="5AE8E0B6">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本项目运营期循环水系统定期排水</w:t>
            </w:r>
            <w:r>
              <w:rPr>
                <w:rFonts w:hint="eastAsia" w:cs="Times New Roman"/>
                <w:color w:val="auto"/>
                <w:kern w:val="2"/>
                <w:sz w:val="24"/>
                <w:szCs w:val="24"/>
                <w:highlight w:val="none"/>
                <w:lang w:val="en-US" w:eastAsia="zh-CN" w:bidi="ar-SA"/>
              </w:rPr>
              <w:t>用于办公区域清洁用水</w:t>
            </w:r>
            <w:r>
              <w:rPr>
                <w:rFonts w:hint="eastAsia" w:ascii="Times New Roman" w:hAnsi="Times New Roman" w:eastAsia="宋体" w:cs="Times New Roman"/>
                <w:color w:val="auto"/>
                <w:kern w:val="2"/>
                <w:sz w:val="24"/>
                <w:szCs w:val="24"/>
                <w:highlight w:val="none"/>
                <w:lang w:val="en-US" w:eastAsia="zh-CN" w:bidi="ar-SA"/>
              </w:rPr>
              <w:t>。生活污水排入开发区污水管网，经管网送第</w:t>
            </w:r>
            <w:r>
              <w:rPr>
                <w:rFonts w:hint="eastAsia" w:cs="Times New Roman"/>
                <w:color w:val="auto"/>
                <w:kern w:val="2"/>
                <w:sz w:val="24"/>
                <w:szCs w:val="24"/>
                <w:highlight w:val="none"/>
                <w:lang w:val="en-US" w:eastAsia="zh-CN" w:bidi="ar-SA"/>
              </w:rPr>
              <w:t>一</w:t>
            </w:r>
            <w:r>
              <w:rPr>
                <w:rFonts w:hint="eastAsia" w:ascii="Times New Roman" w:hAnsi="Times New Roman" w:eastAsia="宋体" w:cs="Times New Roman"/>
                <w:color w:val="auto"/>
                <w:kern w:val="2"/>
                <w:sz w:val="24"/>
                <w:szCs w:val="24"/>
                <w:highlight w:val="none"/>
                <w:lang w:val="en-US" w:eastAsia="zh-CN" w:bidi="ar-SA"/>
              </w:rPr>
              <w:t>污水处理厂处理。污水处理厂进水水质参照《污水排入城镇下水道水质标准》（GB/T31962-2015）A级限值，见下表。</w:t>
            </w:r>
          </w:p>
          <w:p w14:paraId="66D4AECB">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表3-7  污水处理厂进水水质参数表  单位：mg/L</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733"/>
              <w:gridCol w:w="906"/>
              <w:gridCol w:w="1331"/>
              <w:gridCol w:w="906"/>
              <w:gridCol w:w="906"/>
              <w:gridCol w:w="1119"/>
              <w:gridCol w:w="694"/>
              <w:gridCol w:w="906"/>
            </w:tblGrid>
            <w:tr w14:paraId="2244A2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70859618">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控制项目名称</w:t>
                  </w:r>
                </w:p>
              </w:tc>
              <w:tc>
                <w:tcPr>
                  <w:tcW w:w="0" w:type="auto"/>
                  <w:tcBorders>
                    <w:tl2br w:val="nil"/>
                    <w:tr2bl w:val="nil"/>
                  </w:tcBorders>
                  <w:noWrap w:val="0"/>
                  <w:vAlign w:val="center"/>
                </w:tcPr>
                <w:p w14:paraId="15B31F3E">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悬浮物</w:t>
                  </w:r>
                </w:p>
              </w:tc>
              <w:tc>
                <w:tcPr>
                  <w:tcW w:w="0" w:type="auto"/>
                  <w:tcBorders>
                    <w:tl2br w:val="nil"/>
                    <w:tr2bl w:val="nil"/>
                  </w:tcBorders>
                  <w:noWrap w:val="0"/>
                  <w:vAlign w:val="center"/>
                </w:tcPr>
                <w:p w14:paraId="0690F8C3">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溶解性总固体</w:t>
                  </w:r>
                </w:p>
              </w:tc>
              <w:tc>
                <w:tcPr>
                  <w:tcW w:w="0" w:type="auto"/>
                  <w:tcBorders>
                    <w:tl2br w:val="nil"/>
                    <w:tr2bl w:val="nil"/>
                  </w:tcBorders>
                  <w:noWrap w:val="0"/>
                  <w:vAlign w:val="center"/>
                </w:tcPr>
                <w:p w14:paraId="73633BD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动植物油</w:t>
                  </w:r>
                </w:p>
              </w:tc>
              <w:tc>
                <w:tcPr>
                  <w:tcW w:w="0" w:type="auto"/>
                  <w:tcBorders>
                    <w:tl2br w:val="nil"/>
                    <w:tr2bl w:val="nil"/>
                  </w:tcBorders>
                  <w:noWrap w:val="0"/>
                  <w:vAlign w:val="center"/>
                </w:tcPr>
                <w:p w14:paraId="422DB3C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石油类</w:t>
                  </w:r>
                </w:p>
              </w:tc>
              <w:tc>
                <w:tcPr>
                  <w:tcW w:w="0" w:type="auto"/>
                  <w:tcBorders>
                    <w:tl2br w:val="nil"/>
                    <w:tr2bl w:val="nil"/>
                  </w:tcBorders>
                  <w:noWrap w:val="0"/>
                  <w:vAlign w:val="center"/>
                </w:tcPr>
                <w:p w14:paraId="03255C74">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vertAlign w:val="baseline"/>
                      <w:lang w:val="en-US" w:eastAsia="zh-CN" w:bidi="ar"/>
                    </w:rPr>
                  </w:pPr>
                  <w:r>
                    <w:rPr>
                      <w:rFonts w:hint="eastAsia" w:ascii="Times New Roman" w:hAnsi="Times New Roman" w:eastAsia="宋体" w:cs="Times New Roman"/>
                      <w:kern w:val="0"/>
                      <w:sz w:val="21"/>
                      <w:szCs w:val="21"/>
                      <w:highlight w:val="none"/>
                      <w:lang w:val="en-US" w:eastAsia="zh-CN" w:bidi="ar"/>
                    </w:rPr>
                    <w:t>BOD</w:t>
                  </w:r>
                  <w:r>
                    <w:rPr>
                      <w:rFonts w:hint="eastAsia" w:ascii="Times New Roman" w:hAnsi="Times New Roman" w:eastAsia="宋体" w:cs="Times New Roman"/>
                      <w:kern w:val="0"/>
                      <w:sz w:val="21"/>
                      <w:szCs w:val="21"/>
                      <w:highlight w:val="none"/>
                      <w:vertAlign w:val="subscript"/>
                      <w:lang w:val="en-US" w:eastAsia="zh-CN" w:bidi="ar"/>
                    </w:rPr>
                    <w:t>5</w:t>
                  </w:r>
                </w:p>
              </w:tc>
              <w:tc>
                <w:tcPr>
                  <w:tcW w:w="0" w:type="auto"/>
                  <w:tcBorders>
                    <w:tl2br w:val="nil"/>
                    <w:tr2bl w:val="nil"/>
                  </w:tcBorders>
                  <w:noWrap w:val="0"/>
                  <w:vAlign w:val="center"/>
                </w:tcPr>
                <w:p w14:paraId="1A8BF702">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COD</w:t>
                  </w:r>
                </w:p>
              </w:tc>
              <w:tc>
                <w:tcPr>
                  <w:tcW w:w="0" w:type="auto"/>
                  <w:tcBorders>
                    <w:tl2br w:val="nil"/>
                    <w:tr2bl w:val="nil"/>
                  </w:tcBorders>
                  <w:noWrap w:val="0"/>
                  <w:vAlign w:val="center"/>
                </w:tcPr>
                <w:p w14:paraId="5DA3B15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氨氮</w:t>
                  </w:r>
                </w:p>
              </w:tc>
            </w:tr>
            <w:tr w14:paraId="6A7341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37E1C9C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限值</w:t>
                  </w:r>
                </w:p>
              </w:tc>
              <w:tc>
                <w:tcPr>
                  <w:tcW w:w="0" w:type="auto"/>
                  <w:tcBorders>
                    <w:tl2br w:val="nil"/>
                    <w:tr2bl w:val="nil"/>
                  </w:tcBorders>
                  <w:noWrap w:val="0"/>
                  <w:vAlign w:val="center"/>
                </w:tcPr>
                <w:p w14:paraId="4A5DE41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400</w:t>
                  </w:r>
                </w:p>
              </w:tc>
              <w:tc>
                <w:tcPr>
                  <w:tcW w:w="0" w:type="auto"/>
                  <w:tcBorders>
                    <w:tl2br w:val="nil"/>
                    <w:tr2bl w:val="nil"/>
                  </w:tcBorders>
                  <w:noWrap w:val="0"/>
                  <w:vAlign w:val="center"/>
                </w:tcPr>
                <w:p w14:paraId="23EEB5DD">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1500</w:t>
                  </w:r>
                </w:p>
              </w:tc>
              <w:tc>
                <w:tcPr>
                  <w:tcW w:w="0" w:type="auto"/>
                  <w:tcBorders>
                    <w:tl2br w:val="nil"/>
                    <w:tr2bl w:val="nil"/>
                  </w:tcBorders>
                  <w:noWrap w:val="0"/>
                  <w:vAlign w:val="center"/>
                </w:tcPr>
                <w:p w14:paraId="05BE4C62">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100</w:t>
                  </w:r>
                </w:p>
              </w:tc>
              <w:tc>
                <w:tcPr>
                  <w:tcW w:w="0" w:type="auto"/>
                  <w:tcBorders>
                    <w:tl2br w:val="nil"/>
                    <w:tr2bl w:val="nil"/>
                  </w:tcBorders>
                  <w:noWrap w:val="0"/>
                  <w:vAlign w:val="center"/>
                </w:tcPr>
                <w:p w14:paraId="715E074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15</w:t>
                  </w:r>
                </w:p>
              </w:tc>
              <w:tc>
                <w:tcPr>
                  <w:tcW w:w="0" w:type="auto"/>
                  <w:tcBorders>
                    <w:tl2br w:val="nil"/>
                    <w:tr2bl w:val="nil"/>
                  </w:tcBorders>
                  <w:noWrap w:val="0"/>
                  <w:vAlign w:val="center"/>
                </w:tcPr>
                <w:p w14:paraId="35F9F986">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350</w:t>
                  </w:r>
                </w:p>
              </w:tc>
              <w:tc>
                <w:tcPr>
                  <w:tcW w:w="0" w:type="auto"/>
                  <w:tcBorders>
                    <w:tl2br w:val="nil"/>
                    <w:tr2bl w:val="nil"/>
                  </w:tcBorders>
                  <w:noWrap w:val="0"/>
                  <w:vAlign w:val="center"/>
                </w:tcPr>
                <w:p w14:paraId="24B24436">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500</w:t>
                  </w:r>
                </w:p>
              </w:tc>
              <w:tc>
                <w:tcPr>
                  <w:tcW w:w="0" w:type="auto"/>
                  <w:tcBorders>
                    <w:tl2br w:val="nil"/>
                    <w:tr2bl w:val="nil"/>
                  </w:tcBorders>
                  <w:noWrap w:val="0"/>
                  <w:vAlign w:val="center"/>
                </w:tcPr>
                <w:p w14:paraId="5A9DCBE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45</w:t>
                  </w:r>
                </w:p>
              </w:tc>
            </w:tr>
            <w:tr w14:paraId="2C0EC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1DD50DAF">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控制项目名称</w:t>
                  </w:r>
                </w:p>
              </w:tc>
              <w:tc>
                <w:tcPr>
                  <w:tcW w:w="0" w:type="auto"/>
                  <w:tcBorders>
                    <w:tl2br w:val="nil"/>
                    <w:tr2bl w:val="nil"/>
                  </w:tcBorders>
                  <w:noWrap w:val="0"/>
                  <w:vAlign w:val="center"/>
                </w:tcPr>
                <w:p w14:paraId="625AEF9E">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总氮</w:t>
                  </w:r>
                </w:p>
              </w:tc>
              <w:tc>
                <w:tcPr>
                  <w:tcW w:w="0" w:type="auto"/>
                  <w:tcBorders>
                    <w:tl2br w:val="nil"/>
                    <w:tr2bl w:val="nil"/>
                  </w:tcBorders>
                  <w:noWrap w:val="0"/>
                  <w:vAlign w:val="center"/>
                </w:tcPr>
                <w:p w14:paraId="2D69705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总磷</w:t>
                  </w:r>
                </w:p>
              </w:tc>
              <w:tc>
                <w:tcPr>
                  <w:tcW w:w="0" w:type="auto"/>
                  <w:tcBorders>
                    <w:tl2br w:val="nil"/>
                    <w:tr2bl w:val="nil"/>
                  </w:tcBorders>
                  <w:noWrap w:val="0"/>
                  <w:vAlign w:val="center"/>
                </w:tcPr>
                <w:p w14:paraId="590DAA9A">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LAS</w:t>
                  </w:r>
                </w:p>
              </w:tc>
              <w:tc>
                <w:tcPr>
                  <w:tcW w:w="0" w:type="auto"/>
                  <w:tcBorders>
                    <w:tl2br w:val="nil"/>
                    <w:tr2bl w:val="nil"/>
                  </w:tcBorders>
                  <w:noWrap w:val="0"/>
                  <w:vAlign w:val="center"/>
                </w:tcPr>
                <w:p w14:paraId="0524F017">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总氰化物</w:t>
                  </w:r>
                </w:p>
              </w:tc>
              <w:tc>
                <w:tcPr>
                  <w:tcW w:w="0" w:type="auto"/>
                  <w:tcBorders>
                    <w:tl2br w:val="nil"/>
                    <w:tr2bl w:val="nil"/>
                  </w:tcBorders>
                  <w:noWrap w:val="0"/>
                  <w:vAlign w:val="center"/>
                </w:tcPr>
                <w:p w14:paraId="68FFC6A4">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总余氯</w:t>
                  </w:r>
                </w:p>
              </w:tc>
              <w:tc>
                <w:tcPr>
                  <w:tcW w:w="0" w:type="auto"/>
                  <w:tcBorders>
                    <w:tl2br w:val="nil"/>
                    <w:tr2bl w:val="nil"/>
                  </w:tcBorders>
                  <w:noWrap w:val="0"/>
                  <w:vAlign w:val="center"/>
                </w:tcPr>
                <w:p w14:paraId="5A46140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硫化物</w:t>
                  </w:r>
                </w:p>
              </w:tc>
              <w:tc>
                <w:tcPr>
                  <w:tcW w:w="0" w:type="auto"/>
                  <w:tcBorders>
                    <w:tl2br w:val="nil"/>
                    <w:tr2bl w:val="nil"/>
                  </w:tcBorders>
                  <w:noWrap w:val="0"/>
                  <w:vAlign w:val="center"/>
                </w:tcPr>
                <w:p w14:paraId="28FB5BFF">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氟化物</w:t>
                  </w:r>
                </w:p>
              </w:tc>
            </w:tr>
            <w:tr w14:paraId="069045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78B5D43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限值</w:t>
                  </w:r>
                </w:p>
              </w:tc>
              <w:tc>
                <w:tcPr>
                  <w:tcW w:w="0" w:type="auto"/>
                  <w:tcBorders>
                    <w:tl2br w:val="nil"/>
                    <w:tr2bl w:val="nil"/>
                  </w:tcBorders>
                  <w:noWrap w:val="0"/>
                  <w:vAlign w:val="center"/>
                </w:tcPr>
                <w:p w14:paraId="219E53A3">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70</w:t>
                  </w:r>
                </w:p>
              </w:tc>
              <w:tc>
                <w:tcPr>
                  <w:tcW w:w="0" w:type="auto"/>
                  <w:tcBorders>
                    <w:tl2br w:val="nil"/>
                    <w:tr2bl w:val="nil"/>
                  </w:tcBorders>
                  <w:noWrap w:val="0"/>
                  <w:vAlign w:val="center"/>
                </w:tcPr>
                <w:p w14:paraId="6B1EE911">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8</w:t>
                  </w:r>
                </w:p>
              </w:tc>
              <w:tc>
                <w:tcPr>
                  <w:tcW w:w="0" w:type="auto"/>
                  <w:tcBorders>
                    <w:tl2br w:val="nil"/>
                    <w:tr2bl w:val="nil"/>
                  </w:tcBorders>
                  <w:noWrap w:val="0"/>
                  <w:vAlign w:val="center"/>
                </w:tcPr>
                <w:p w14:paraId="177839C6">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20</w:t>
                  </w:r>
                </w:p>
              </w:tc>
              <w:tc>
                <w:tcPr>
                  <w:tcW w:w="0" w:type="auto"/>
                  <w:tcBorders>
                    <w:tl2br w:val="nil"/>
                    <w:tr2bl w:val="nil"/>
                  </w:tcBorders>
                  <w:noWrap w:val="0"/>
                  <w:vAlign w:val="center"/>
                </w:tcPr>
                <w:p w14:paraId="0FAEF15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20</w:t>
                  </w:r>
                </w:p>
              </w:tc>
              <w:tc>
                <w:tcPr>
                  <w:tcW w:w="0" w:type="auto"/>
                  <w:tcBorders>
                    <w:tl2br w:val="nil"/>
                    <w:tr2bl w:val="nil"/>
                  </w:tcBorders>
                  <w:noWrap w:val="0"/>
                  <w:vAlign w:val="center"/>
                </w:tcPr>
                <w:p w14:paraId="33802898">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8</w:t>
                  </w:r>
                </w:p>
              </w:tc>
              <w:tc>
                <w:tcPr>
                  <w:tcW w:w="0" w:type="auto"/>
                  <w:tcBorders>
                    <w:tl2br w:val="nil"/>
                    <w:tr2bl w:val="nil"/>
                  </w:tcBorders>
                  <w:noWrap w:val="0"/>
                  <w:vAlign w:val="center"/>
                </w:tcPr>
                <w:p w14:paraId="7680CDF7">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w:t>
                  </w:r>
                </w:p>
              </w:tc>
              <w:tc>
                <w:tcPr>
                  <w:tcW w:w="0" w:type="auto"/>
                  <w:tcBorders>
                    <w:tl2br w:val="nil"/>
                    <w:tr2bl w:val="nil"/>
                  </w:tcBorders>
                  <w:noWrap w:val="0"/>
                  <w:vAlign w:val="center"/>
                </w:tcPr>
                <w:p w14:paraId="3A258FD6">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20</w:t>
                  </w:r>
                </w:p>
              </w:tc>
            </w:tr>
            <w:tr w14:paraId="3222BE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1C5A643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控制项目名称</w:t>
                  </w:r>
                </w:p>
              </w:tc>
              <w:tc>
                <w:tcPr>
                  <w:tcW w:w="0" w:type="auto"/>
                  <w:tcBorders>
                    <w:tl2br w:val="nil"/>
                    <w:tr2bl w:val="nil"/>
                  </w:tcBorders>
                  <w:noWrap w:val="0"/>
                  <w:vAlign w:val="center"/>
                </w:tcPr>
                <w:p w14:paraId="75B3BED2">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氯化物</w:t>
                  </w:r>
                </w:p>
              </w:tc>
              <w:tc>
                <w:tcPr>
                  <w:tcW w:w="0" w:type="auto"/>
                  <w:tcBorders>
                    <w:tl2br w:val="nil"/>
                    <w:tr2bl w:val="nil"/>
                  </w:tcBorders>
                  <w:noWrap w:val="0"/>
                  <w:vAlign w:val="center"/>
                </w:tcPr>
                <w:p w14:paraId="2E34FBCC">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硫酸盐</w:t>
                  </w:r>
                </w:p>
              </w:tc>
              <w:tc>
                <w:tcPr>
                  <w:tcW w:w="0" w:type="auto"/>
                  <w:tcBorders>
                    <w:tl2br w:val="nil"/>
                    <w:tr2bl w:val="nil"/>
                  </w:tcBorders>
                  <w:noWrap w:val="0"/>
                  <w:vAlign w:val="center"/>
                </w:tcPr>
                <w:p w14:paraId="3353AD4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总汞</w:t>
                  </w:r>
                </w:p>
              </w:tc>
              <w:tc>
                <w:tcPr>
                  <w:tcW w:w="0" w:type="auto"/>
                  <w:tcBorders>
                    <w:tl2br w:val="nil"/>
                    <w:tr2bl w:val="nil"/>
                  </w:tcBorders>
                  <w:noWrap w:val="0"/>
                  <w:vAlign w:val="center"/>
                </w:tcPr>
                <w:p w14:paraId="6CBA80D3">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总镉</w:t>
                  </w:r>
                </w:p>
              </w:tc>
              <w:tc>
                <w:tcPr>
                  <w:tcW w:w="0" w:type="auto"/>
                  <w:tcBorders>
                    <w:tl2br w:val="nil"/>
                    <w:tr2bl w:val="nil"/>
                  </w:tcBorders>
                  <w:noWrap w:val="0"/>
                  <w:vAlign w:val="center"/>
                </w:tcPr>
                <w:p w14:paraId="6B57F9CF">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总铬</w:t>
                  </w:r>
                </w:p>
              </w:tc>
              <w:tc>
                <w:tcPr>
                  <w:tcW w:w="0" w:type="auto"/>
                  <w:tcBorders>
                    <w:tl2br w:val="nil"/>
                    <w:tr2bl w:val="nil"/>
                  </w:tcBorders>
                  <w:noWrap w:val="0"/>
                  <w:vAlign w:val="center"/>
                </w:tcPr>
                <w:p w14:paraId="03F5433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六价铬</w:t>
                  </w:r>
                </w:p>
              </w:tc>
              <w:tc>
                <w:tcPr>
                  <w:tcW w:w="0" w:type="auto"/>
                  <w:tcBorders>
                    <w:tl2br w:val="nil"/>
                    <w:tr2bl w:val="nil"/>
                  </w:tcBorders>
                  <w:noWrap w:val="0"/>
                  <w:vAlign w:val="center"/>
                </w:tcPr>
                <w:p w14:paraId="6B22B233">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总砷</w:t>
                  </w:r>
                </w:p>
              </w:tc>
            </w:tr>
            <w:tr w14:paraId="26FB11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06C7E4D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限值</w:t>
                  </w:r>
                </w:p>
              </w:tc>
              <w:tc>
                <w:tcPr>
                  <w:tcW w:w="0" w:type="auto"/>
                  <w:tcBorders>
                    <w:tl2br w:val="nil"/>
                    <w:tr2bl w:val="nil"/>
                  </w:tcBorders>
                  <w:noWrap w:val="0"/>
                  <w:vAlign w:val="center"/>
                </w:tcPr>
                <w:p w14:paraId="366FC80D">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500</w:t>
                  </w:r>
                </w:p>
              </w:tc>
              <w:tc>
                <w:tcPr>
                  <w:tcW w:w="0" w:type="auto"/>
                  <w:tcBorders>
                    <w:tl2br w:val="nil"/>
                    <w:tr2bl w:val="nil"/>
                  </w:tcBorders>
                  <w:noWrap w:val="0"/>
                  <w:vAlign w:val="center"/>
                </w:tcPr>
                <w:p w14:paraId="40C6A346">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400</w:t>
                  </w:r>
                </w:p>
              </w:tc>
              <w:tc>
                <w:tcPr>
                  <w:tcW w:w="0" w:type="auto"/>
                  <w:tcBorders>
                    <w:tl2br w:val="nil"/>
                    <w:tr2bl w:val="nil"/>
                  </w:tcBorders>
                  <w:noWrap w:val="0"/>
                  <w:vAlign w:val="center"/>
                </w:tcPr>
                <w:p w14:paraId="6C638238">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0.005</w:t>
                  </w:r>
                </w:p>
              </w:tc>
              <w:tc>
                <w:tcPr>
                  <w:tcW w:w="0" w:type="auto"/>
                  <w:tcBorders>
                    <w:tl2br w:val="nil"/>
                    <w:tr2bl w:val="nil"/>
                  </w:tcBorders>
                  <w:noWrap w:val="0"/>
                  <w:vAlign w:val="center"/>
                </w:tcPr>
                <w:p w14:paraId="3EE3363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0.05</w:t>
                  </w:r>
                </w:p>
              </w:tc>
              <w:tc>
                <w:tcPr>
                  <w:tcW w:w="0" w:type="auto"/>
                  <w:tcBorders>
                    <w:tl2br w:val="nil"/>
                    <w:tr2bl w:val="nil"/>
                  </w:tcBorders>
                  <w:noWrap w:val="0"/>
                  <w:vAlign w:val="center"/>
                </w:tcPr>
                <w:p w14:paraId="5D1B5D3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1.5</w:t>
                  </w:r>
                </w:p>
              </w:tc>
              <w:tc>
                <w:tcPr>
                  <w:tcW w:w="0" w:type="auto"/>
                  <w:tcBorders>
                    <w:tl2br w:val="nil"/>
                    <w:tr2bl w:val="nil"/>
                  </w:tcBorders>
                  <w:noWrap w:val="0"/>
                  <w:vAlign w:val="center"/>
                </w:tcPr>
                <w:p w14:paraId="036B6C58">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0.5</w:t>
                  </w:r>
                </w:p>
              </w:tc>
              <w:tc>
                <w:tcPr>
                  <w:tcW w:w="0" w:type="auto"/>
                  <w:tcBorders>
                    <w:tl2br w:val="nil"/>
                    <w:tr2bl w:val="nil"/>
                  </w:tcBorders>
                  <w:noWrap w:val="0"/>
                  <w:vAlign w:val="center"/>
                </w:tcPr>
                <w:p w14:paraId="4EF96E8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0.3</w:t>
                  </w:r>
                </w:p>
              </w:tc>
            </w:tr>
            <w:tr w14:paraId="63602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0124465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控制项目名称</w:t>
                  </w:r>
                </w:p>
              </w:tc>
              <w:tc>
                <w:tcPr>
                  <w:tcW w:w="0" w:type="auto"/>
                  <w:tcBorders>
                    <w:tl2br w:val="nil"/>
                    <w:tr2bl w:val="nil"/>
                  </w:tcBorders>
                  <w:noWrap w:val="0"/>
                  <w:vAlign w:val="center"/>
                </w:tcPr>
                <w:p w14:paraId="394BC5B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总镍</w:t>
                  </w:r>
                </w:p>
              </w:tc>
              <w:tc>
                <w:tcPr>
                  <w:tcW w:w="0" w:type="auto"/>
                  <w:tcBorders>
                    <w:tl2br w:val="nil"/>
                    <w:tr2bl w:val="nil"/>
                  </w:tcBorders>
                  <w:noWrap w:val="0"/>
                  <w:vAlign w:val="center"/>
                </w:tcPr>
                <w:p w14:paraId="7E52CB8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总铍</w:t>
                  </w:r>
                </w:p>
              </w:tc>
              <w:tc>
                <w:tcPr>
                  <w:tcW w:w="0" w:type="auto"/>
                  <w:tcBorders>
                    <w:tl2br w:val="nil"/>
                    <w:tr2bl w:val="nil"/>
                  </w:tcBorders>
                  <w:noWrap w:val="0"/>
                  <w:vAlign w:val="center"/>
                </w:tcPr>
                <w:p w14:paraId="270A1EB2">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总银</w:t>
                  </w:r>
                </w:p>
              </w:tc>
              <w:tc>
                <w:tcPr>
                  <w:tcW w:w="0" w:type="auto"/>
                  <w:tcBorders>
                    <w:tl2br w:val="nil"/>
                    <w:tr2bl w:val="nil"/>
                  </w:tcBorders>
                  <w:noWrap w:val="0"/>
                  <w:vAlign w:val="center"/>
                </w:tcPr>
                <w:p w14:paraId="1A046B7A">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总硒</w:t>
                  </w:r>
                </w:p>
              </w:tc>
              <w:tc>
                <w:tcPr>
                  <w:tcW w:w="0" w:type="auto"/>
                  <w:tcBorders>
                    <w:tl2br w:val="nil"/>
                    <w:tr2bl w:val="nil"/>
                  </w:tcBorders>
                  <w:noWrap w:val="0"/>
                  <w:vAlign w:val="center"/>
                </w:tcPr>
                <w:p w14:paraId="65B262B2">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总铜</w:t>
                  </w:r>
                </w:p>
              </w:tc>
              <w:tc>
                <w:tcPr>
                  <w:tcW w:w="0" w:type="auto"/>
                  <w:tcBorders>
                    <w:tl2br w:val="nil"/>
                    <w:tr2bl w:val="nil"/>
                  </w:tcBorders>
                  <w:noWrap w:val="0"/>
                  <w:vAlign w:val="center"/>
                </w:tcPr>
                <w:p w14:paraId="2208838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总锌</w:t>
                  </w:r>
                </w:p>
              </w:tc>
              <w:tc>
                <w:tcPr>
                  <w:tcW w:w="0" w:type="auto"/>
                  <w:tcBorders>
                    <w:tl2br w:val="nil"/>
                    <w:tr2bl w:val="nil"/>
                  </w:tcBorders>
                  <w:noWrap w:val="0"/>
                  <w:vAlign w:val="center"/>
                </w:tcPr>
                <w:p w14:paraId="3A748B02">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总锰</w:t>
                  </w:r>
                </w:p>
              </w:tc>
            </w:tr>
            <w:tr w14:paraId="29995F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79A8F68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限值</w:t>
                  </w:r>
                </w:p>
              </w:tc>
              <w:tc>
                <w:tcPr>
                  <w:tcW w:w="0" w:type="auto"/>
                  <w:tcBorders>
                    <w:tl2br w:val="nil"/>
                    <w:tr2bl w:val="nil"/>
                  </w:tcBorders>
                  <w:noWrap w:val="0"/>
                  <w:vAlign w:val="center"/>
                </w:tcPr>
                <w:p w14:paraId="601EB1E4">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w:t>
                  </w:r>
                </w:p>
              </w:tc>
              <w:tc>
                <w:tcPr>
                  <w:tcW w:w="0" w:type="auto"/>
                  <w:tcBorders>
                    <w:tl2br w:val="nil"/>
                    <w:tr2bl w:val="nil"/>
                  </w:tcBorders>
                  <w:noWrap w:val="0"/>
                  <w:vAlign w:val="center"/>
                </w:tcPr>
                <w:p w14:paraId="7A10552D">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0.005</w:t>
                  </w:r>
                </w:p>
              </w:tc>
              <w:tc>
                <w:tcPr>
                  <w:tcW w:w="0" w:type="auto"/>
                  <w:tcBorders>
                    <w:tl2br w:val="nil"/>
                    <w:tr2bl w:val="nil"/>
                  </w:tcBorders>
                  <w:noWrap w:val="0"/>
                  <w:vAlign w:val="center"/>
                </w:tcPr>
                <w:p w14:paraId="4554F263">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0.5</w:t>
                  </w:r>
                </w:p>
              </w:tc>
              <w:tc>
                <w:tcPr>
                  <w:tcW w:w="0" w:type="auto"/>
                  <w:tcBorders>
                    <w:tl2br w:val="nil"/>
                    <w:tr2bl w:val="nil"/>
                  </w:tcBorders>
                  <w:noWrap w:val="0"/>
                  <w:vAlign w:val="center"/>
                </w:tcPr>
                <w:p w14:paraId="772AD7C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0.5</w:t>
                  </w:r>
                </w:p>
              </w:tc>
              <w:tc>
                <w:tcPr>
                  <w:tcW w:w="0" w:type="auto"/>
                  <w:tcBorders>
                    <w:tl2br w:val="nil"/>
                    <w:tr2bl w:val="nil"/>
                  </w:tcBorders>
                  <w:noWrap w:val="0"/>
                  <w:vAlign w:val="center"/>
                </w:tcPr>
                <w:p w14:paraId="2738AFEF">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2</w:t>
                  </w:r>
                </w:p>
              </w:tc>
              <w:tc>
                <w:tcPr>
                  <w:tcW w:w="0" w:type="auto"/>
                  <w:tcBorders>
                    <w:tl2br w:val="nil"/>
                    <w:tr2bl w:val="nil"/>
                  </w:tcBorders>
                  <w:noWrap w:val="0"/>
                  <w:vAlign w:val="center"/>
                </w:tcPr>
                <w:p w14:paraId="728F18C2">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w:t>
                  </w:r>
                </w:p>
              </w:tc>
              <w:tc>
                <w:tcPr>
                  <w:tcW w:w="0" w:type="auto"/>
                  <w:tcBorders>
                    <w:tl2br w:val="nil"/>
                    <w:tr2bl w:val="nil"/>
                  </w:tcBorders>
                  <w:noWrap w:val="0"/>
                  <w:vAlign w:val="center"/>
                </w:tcPr>
                <w:p w14:paraId="32B670D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2</w:t>
                  </w:r>
                </w:p>
              </w:tc>
            </w:tr>
            <w:tr w14:paraId="65DC4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69E360E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控制项目名称</w:t>
                  </w:r>
                </w:p>
              </w:tc>
              <w:tc>
                <w:tcPr>
                  <w:tcW w:w="0" w:type="auto"/>
                  <w:tcBorders>
                    <w:tl2br w:val="nil"/>
                    <w:tr2bl w:val="nil"/>
                  </w:tcBorders>
                  <w:noWrap w:val="0"/>
                  <w:vAlign w:val="center"/>
                </w:tcPr>
                <w:p w14:paraId="7D245E3A">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总铁</w:t>
                  </w:r>
                </w:p>
              </w:tc>
              <w:tc>
                <w:tcPr>
                  <w:tcW w:w="0" w:type="auto"/>
                  <w:tcBorders>
                    <w:tl2br w:val="nil"/>
                    <w:tr2bl w:val="nil"/>
                  </w:tcBorders>
                  <w:noWrap w:val="0"/>
                  <w:vAlign w:val="center"/>
                </w:tcPr>
                <w:p w14:paraId="7F788BB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挥发酚</w:t>
                  </w:r>
                </w:p>
              </w:tc>
              <w:tc>
                <w:tcPr>
                  <w:tcW w:w="0" w:type="auto"/>
                  <w:tcBorders>
                    <w:tl2br w:val="nil"/>
                    <w:tr2bl w:val="nil"/>
                  </w:tcBorders>
                  <w:noWrap w:val="0"/>
                  <w:vAlign w:val="center"/>
                </w:tcPr>
                <w:p w14:paraId="6904ACC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苯系物</w:t>
                  </w:r>
                </w:p>
              </w:tc>
              <w:tc>
                <w:tcPr>
                  <w:tcW w:w="0" w:type="auto"/>
                  <w:tcBorders>
                    <w:tl2br w:val="nil"/>
                    <w:tr2bl w:val="nil"/>
                  </w:tcBorders>
                  <w:noWrap w:val="0"/>
                  <w:vAlign w:val="center"/>
                </w:tcPr>
                <w:p w14:paraId="5C9DC0B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苯胺类</w:t>
                  </w:r>
                </w:p>
              </w:tc>
              <w:tc>
                <w:tcPr>
                  <w:tcW w:w="0" w:type="auto"/>
                  <w:tcBorders>
                    <w:tl2br w:val="nil"/>
                    <w:tr2bl w:val="nil"/>
                  </w:tcBorders>
                  <w:noWrap w:val="0"/>
                  <w:vAlign w:val="center"/>
                </w:tcPr>
                <w:p w14:paraId="660416B4">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硝基苯类</w:t>
                  </w:r>
                </w:p>
              </w:tc>
              <w:tc>
                <w:tcPr>
                  <w:tcW w:w="0" w:type="auto"/>
                  <w:tcBorders>
                    <w:tl2br w:val="nil"/>
                    <w:tr2bl w:val="nil"/>
                  </w:tcBorders>
                  <w:noWrap w:val="0"/>
                  <w:vAlign w:val="center"/>
                </w:tcPr>
                <w:p w14:paraId="73C20194">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甲醛</w:t>
                  </w:r>
                </w:p>
              </w:tc>
              <w:tc>
                <w:tcPr>
                  <w:tcW w:w="0" w:type="auto"/>
                  <w:tcBorders>
                    <w:tl2br w:val="nil"/>
                    <w:tr2bl w:val="nil"/>
                  </w:tcBorders>
                  <w:noWrap w:val="0"/>
                  <w:vAlign w:val="center"/>
                </w:tcPr>
                <w:p w14:paraId="0275193C">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三氯甲烷</w:t>
                  </w:r>
                </w:p>
              </w:tc>
            </w:tr>
            <w:tr w14:paraId="2185B0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6324AECC">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限值</w:t>
                  </w:r>
                </w:p>
              </w:tc>
              <w:tc>
                <w:tcPr>
                  <w:tcW w:w="0" w:type="auto"/>
                  <w:tcBorders>
                    <w:tl2br w:val="nil"/>
                    <w:tr2bl w:val="nil"/>
                  </w:tcBorders>
                  <w:noWrap w:val="0"/>
                  <w:vAlign w:val="center"/>
                </w:tcPr>
                <w:p w14:paraId="215E91FE">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w:t>
                  </w:r>
                </w:p>
              </w:tc>
              <w:tc>
                <w:tcPr>
                  <w:tcW w:w="0" w:type="auto"/>
                  <w:tcBorders>
                    <w:tl2br w:val="nil"/>
                    <w:tr2bl w:val="nil"/>
                  </w:tcBorders>
                  <w:noWrap w:val="0"/>
                  <w:vAlign w:val="center"/>
                </w:tcPr>
                <w:p w14:paraId="2FC4E3E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w:t>
                  </w:r>
                </w:p>
              </w:tc>
              <w:tc>
                <w:tcPr>
                  <w:tcW w:w="0" w:type="auto"/>
                  <w:tcBorders>
                    <w:tl2br w:val="nil"/>
                    <w:tr2bl w:val="nil"/>
                  </w:tcBorders>
                  <w:noWrap w:val="0"/>
                  <w:vAlign w:val="center"/>
                </w:tcPr>
                <w:p w14:paraId="6187EF17">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2.5</w:t>
                  </w:r>
                </w:p>
              </w:tc>
              <w:tc>
                <w:tcPr>
                  <w:tcW w:w="0" w:type="auto"/>
                  <w:tcBorders>
                    <w:tl2br w:val="nil"/>
                    <w:tr2bl w:val="nil"/>
                  </w:tcBorders>
                  <w:noWrap w:val="0"/>
                  <w:vAlign w:val="center"/>
                </w:tcPr>
                <w:p w14:paraId="511926AF">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w:t>
                  </w:r>
                </w:p>
              </w:tc>
              <w:tc>
                <w:tcPr>
                  <w:tcW w:w="0" w:type="auto"/>
                  <w:tcBorders>
                    <w:tl2br w:val="nil"/>
                    <w:tr2bl w:val="nil"/>
                  </w:tcBorders>
                  <w:noWrap w:val="0"/>
                  <w:vAlign w:val="center"/>
                </w:tcPr>
                <w:p w14:paraId="363ED62C">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w:t>
                  </w:r>
                </w:p>
              </w:tc>
              <w:tc>
                <w:tcPr>
                  <w:tcW w:w="0" w:type="auto"/>
                  <w:tcBorders>
                    <w:tl2br w:val="nil"/>
                    <w:tr2bl w:val="nil"/>
                  </w:tcBorders>
                  <w:noWrap w:val="0"/>
                  <w:vAlign w:val="center"/>
                </w:tcPr>
                <w:p w14:paraId="7D190A1A">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w:t>
                  </w:r>
                </w:p>
              </w:tc>
              <w:tc>
                <w:tcPr>
                  <w:tcW w:w="0" w:type="auto"/>
                  <w:tcBorders>
                    <w:tl2br w:val="nil"/>
                    <w:tr2bl w:val="nil"/>
                  </w:tcBorders>
                  <w:noWrap w:val="0"/>
                  <w:vAlign w:val="center"/>
                </w:tcPr>
                <w:p w14:paraId="322661FD">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w:t>
                  </w:r>
                </w:p>
              </w:tc>
            </w:tr>
            <w:tr w14:paraId="786D9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3B4F9A3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控制项目名称</w:t>
                  </w:r>
                </w:p>
              </w:tc>
              <w:tc>
                <w:tcPr>
                  <w:tcW w:w="0" w:type="auto"/>
                  <w:tcBorders>
                    <w:tl2br w:val="nil"/>
                    <w:tr2bl w:val="nil"/>
                  </w:tcBorders>
                  <w:noWrap w:val="0"/>
                  <w:vAlign w:val="center"/>
                </w:tcPr>
                <w:p w14:paraId="69CC8F8F">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四氯化碳</w:t>
                  </w:r>
                </w:p>
              </w:tc>
              <w:tc>
                <w:tcPr>
                  <w:tcW w:w="0" w:type="auto"/>
                  <w:tcBorders>
                    <w:tl2br w:val="nil"/>
                    <w:tr2bl w:val="nil"/>
                  </w:tcBorders>
                  <w:noWrap w:val="0"/>
                  <w:vAlign w:val="center"/>
                </w:tcPr>
                <w:p w14:paraId="52CDD9A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三氯乙烯</w:t>
                  </w:r>
                </w:p>
              </w:tc>
              <w:tc>
                <w:tcPr>
                  <w:tcW w:w="0" w:type="auto"/>
                  <w:tcBorders>
                    <w:tl2br w:val="nil"/>
                    <w:tr2bl w:val="nil"/>
                  </w:tcBorders>
                  <w:noWrap w:val="0"/>
                  <w:vAlign w:val="center"/>
                </w:tcPr>
                <w:p w14:paraId="2884F26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四氯乙烯</w:t>
                  </w:r>
                </w:p>
              </w:tc>
              <w:tc>
                <w:tcPr>
                  <w:tcW w:w="0" w:type="auto"/>
                  <w:tcBorders>
                    <w:tl2br w:val="nil"/>
                    <w:tr2bl w:val="nil"/>
                  </w:tcBorders>
                  <w:noWrap w:val="0"/>
                  <w:vAlign w:val="center"/>
                </w:tcPr>
                <w:p w14:paraId="470DB9F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AOX</w:t>
                  </w:r>
                </w:p>
              </w:tc>
              <w:tc>
                <w:tcPr>
                  <w:tcW w:w="0" w:type="auto"/>
                  <w:tcBorders>
                    <w:tl2br w:val="nil"/>
                    <w:tr2bl w:val="nil"/>
                  </w:tcBorders>
                  <w:noWrap w:val="0"/>
                  <w:vAlign w:val="center"/>
                </w:tcPr>
                <w:p w14:paraId="1D721CB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有机磷农药</w:t>
                  </w:r>
                </w:p>
              </w:tc>
              <w:tc>
                <w:tcPr>
                  <w:tcW w:w="0" w:type="auto"/>
                  <w:tcBorders>
                    <w:tl2br w:val="nil"/>
                    <w:tr2bl w:val="nil"/>
                  </w:tcBorders>
                  <w:noWrap w:val="0"/>
                  <w:vAlign w:val="center"/>
                </w:tcPr>
                <w:p w14:paraId="7700711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五氯酚</w:t>
                  </w:r>
                </w:p>
              </w:tc>
              <w:tc>
                <w:tcPr>
                  <w:tcW w:w="0" w:type="auto"/>
                  <w:tcBorders>
                    <w:tl2br w:val="nil"/>
                    <w:tr2bl w:val="nil"/>
                  </w:tcBorders>
                  <w:noWrap w:val="0"/>
                  <w:vAlign w:val="center"/>
                </w:tcPr>
                <w:p w14:paraId="5CAEF608">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pH</w:t>
                  </w:r>
                </w:p>
              </w:tc>
            </w:tr>
            <w:tr w14:paraId="0056D1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33" w:type="dxa"/>
                  <w:tcBorders>
                    <w:tl2br w:val="nil"/>
                    <w:tr2bl w:val="nil"/>
                  </w:tcBorders>
                  <w:noWrap w:val="0"/>
                  <w:vAlign w:val="center"/>
                </w:tcPr>
                <w:p w14:paraId="450DA63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限值</w:t>
                  </w:r>
                </w:p>
              </w:tc>
              <w:tc>
                <w:tcPr>
                  <w:tcW w:w="0" w:type="auto"/>
                  <w:tcBorders>
                    <w:tl2br w:val="nil"/>
                    <w:tr2bl w:val="nil"/>
                  </w:tcBorders>
                  <w:noWrap w:val="0"/>
                  <w:vAlign w:val="center"/>
                </w:tcPr>
                <w:p w14:paraId="2FBD8229">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0.5</w:t>
                  </w:r>
                </w:p>
              </w:tc>
              <w:tc>
                <w:tcPr>
                  <w:tcW w:w="0" w:type="auto"/>
                  <w:tcBorders>
                    <w:tl2br w:val="nil"/>
                    <w:tr2bl w:val="nil"/>
                  </w:tcBorders>
                  <w:noWrap w:val="0"/>
                  <w:vAlign w:val="center"/>
                </w:tcPr>
                <w:p w14:paraId="04AD06B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1</w:t>
                  </w:r>
                </w:p>
              </w:tc>
              <w:tc>
                <w:tcPr>
                  <w:tcW w:w="0" w:type="auto"/>
                  <w:tcBorders>
                    <w:tl2br w:val="nil"/>
                    <w:tr2bl w:val="nil"/>
                  </w:tcBorders>
                  <w:noWrap w:val="0"/>
                  <w:vAlign w:val="center"/>
                </w:tcPr>
                <w:p w14:paraId="00E36E3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0.5</w:t>
                  </w:r>
                </w:p>
              </w:tc>
              <w:tc>
                <w:tcPr>
                  <w:tcW w:w="0" w:type="auto"/>
                  <w:tcBorders>
                    <w:tl2br w:val="nil"/>
                    <w:tr2bl w:val="nil"/>
                  </w:tcBorders>
                  <w:noWrap w:val="0"/>
                  <w:vAlign w:val="center"/>
                </w:tcPr>
                <w:p w14:paraId="4F4A12C8">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8</w:t>
                  </w:r>
                </w:p>
              </w:tc>
              <w:tc>
                <w:tcPr>
                  <w:tcW w:w="0" w:type="auto"/>
                  <w:tcBorders>
                    <w:tl2br w:val="nil"/>
                    <w:tr2bl w:val="nil"/>
                  </w:tcBorders>
                  <w:noWrap w:val="0"/>
                  <w:vAlign w:val="center"/>
                </w:tcPr>
                <w:p w14:paraId="5E7FAE4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0.5</w:t>
                  </w:r>
                </w:p>
              </w:tc>
              <w:tc>
                <w:tcPr>
                  <w:tcW w:w="0" w:type="auto"/>
                  <w:tcBorders>
                    <w:tl2br w:val="nil"/>
                    <w:tr2bl w:val="nil"/>
                  </w:tcBorders>
                  <w:noWrap w:val="0"/>
                  <w:vAlign w:val="center"/>
                </w:tcPr>
                <w:p w14:paraId="1460ADBC">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w:t>
                  </w:r>
                </w:p>
              </w:tc>
              <w:tc>
                <w:tcPr>
                  <w:tcW w:w="0" w:type="auto"/>
                  <w:tcBorders>
                    <w:tl2br w:val="nil"/>
                    <w:tr2bl w:val="nil"/>
                  </w:tcBorders>
                  <w:noWrap w:val="0"/>
                  <w:vAlign w:val="center"/>
                </w:tcPr>
                <w:p w14:paraId="033D4CCB">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6.5-9.5</w:t>
                  </w:r>
                </w:p>
              </w:tc>
            </w:tr>
          </w:tbl>
          <w:p w14:paraId="4A20F2E4">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3、厂界噪声</w:t>
            </w:r>
          </w:p>
          <w:p w14:paraId="042B6EB9">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本项目施工期噪声执行《建筑施工场界环境噪声排放标准》（GB12523-2011），见下表。</w:t>
            </w:r>
          </w:p>
          <w:p w14:paraId="1070263B">
            <w:pPr>
              <w:pStyle w:val="50"/>
              <w:keepNext w:val="0"/>
              <w:keepLines w:val="0"/>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kern w:val="2"/>
                <w:sz w:val="21"/>
                <w:szCs w:val="21"/>
                <w:highlight w:val="none"/>
                <w:lang w:val="en-US" w:eastAsia="zh-CN" w:bidi="ar-SA"/>
              </w:rPr>
              <w:t>表</w:t>
            </w:r>
            <w:r>
              <w:rPr>
                <w:rFonts w:hint="eastAsia" w:ascii="Times New Roman" w:hAnsi="Times New Roman" w:eastAsia="宋体" w:cs="Times New Roman"/>
                <w:b/>
                <w:bCs/>
                <w:kern w:val="2"/>
                <w:sz w:val="21"/>
                <w:szCs w:val="21"/>
                <w:highlight w:val="none"/>
                <w:lang w:val="en-US" w:eastAsia="zh-CN" w:bidi="ar-SA"/>
              </w:rPr>
              <w:t xml:space="preserve">3-8  </w:t>
            </w:r>
            <w:r>
              <w:rPr>
                <w:rFonts w:hint="default" w:ascii="Times New Roman" w:hAnsi="Times New Roman" w:eastAsia="宋体" w:cs="Times New Roman"/>
                <w:b/>
                <w:bCs/>
                <w:kern w:val="2"/>
                <w:sz w:val="21"/>
                <w:szCs w:val="21"/>
                <w:highlight w:val="none"/>
                <w:lang w:val="en-US" w:eastAsia="zh-CN" w:bidi="ar-SA"/>
              </w:rPr>
              <w:t>建筑施工场界环境噪声排放标准  等效声级LAeq：dB（A）</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833"/>
              <w:gridCol w:w="2834"/>
              <w:gridCol w:w="2834"/>
            </w:tblGrid>
            <w:tr w14:paraId="71C998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658" w:type="dxa"/>
                  <w:tcBorders>
                    <w:tl2br w:val="nil"/>
                    <w:tr2bl w:val="nil"/>
                  </w:tcBorders>
                  <w:noWrap w:val="0"/>
                  <w:vAlign w:val="center"/>
                </w:tcPr>
                <w:p w14:paraId="7A4D72E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default" w:ascii="Times New Roman" w:hAnsi="Times New Roman" w:eastAsia="宋体" w:cs="Times New Roman"/>
                      <w:kern w:val="0"/>
                      <w:sz w:val="21"/>
                      <w:szCs w:val="21"/>
                      <w:highlight w:val="none"/>
                      <w:lang w:val="en-US" w:eastAsia="zh-CN" w:bidi="ar"/>
                    </w:rPr>
                    <w:t>时段</w:t>
                  </w:r>
                </w:p>
              </w:tc>
              <w:tc>
                <w:tcPr>
                  <w:tcW w:w="2658" w:type="dxa"/>
                  <w:tcBorders>
                    <w:tl2br w:val="nil"/>
                    <w:tr2bl w:val="nil"/>
                  </w:tcBorders>
                  <w:noWrap w:val="0"/>
                  <w:vAlign w:val="center"/>
                </w:tcPr>
                <w:p w14:paraId="3E6940EF">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kern w:val="0"/>
                      <w:sz w:val="21"/>
                      <w:szCs w:val="21"/>
                      <w:highlight w:val="none"/>
                      <w:lang w:bidi="ar"/>
                    </w:rPr>
                    <w:t>昼间</w:t>
                  </w:r>
                </w:p>
              </w:tc>
              <w:tc>
                <w:tcPr>
                  <w:tcW w:w="2658" w:type="dxa"/>
                  <w:tcBorders>
                    <w:tl2br w:val="nil"/>
                    <w:tr2bl w:val="nil"/>
                  </w:tcBorders>
                  <w:noWrap w:val="0"/>
                  <w:vAlign w:val="center"/>
                </w:tcPr>
                <w:p w14:paraId="4A75D395">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kern w:val="0"/>
                      <w:sz w:val="21"/>
                      <w:szCs w:val="21"/>
                      <w:highlight w:val="none"/>
                      <w:lang w:bidi="ar"/>
                    </w:rPr>
                    <w:t>夜间</w:t>
                  </w:r>
                </w:p>
              </w:tc>
            </w:tr>
            <w:tr w14:paraId="13FE09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658" w:type="dxa"/>
                  <w:tcBorders>
                    <w:tl2br w:val="nil"/>
                    <w:tr2bl w:val="nil"/>
                  </w:tcBorders>
                  <w:noWrap w:val="0"/>
                  <w:vAlign w:val="center"/>
                </w:tcPr>
                <w:p w14:paraId="6A8F5B8E">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default" w:ascii="Times New Roman" w:hAnsi="Times New Roman" w:eastAsia="宋体" w:cs="Times New Roman"/>
                      <w:kern w:val="0"/>
                      <w:sz w:val="21"/>
                      <w:szCs w:val="21"/>
                      <w:highlight w:val="none"/>
                      <w:lang w:val="en-US" w:eastAsia="zh-CN" w:bidi="ar"/>
                    </w:rPr>
                    <w:t>噪声限值</w:t>
                  </w:r>
                </w:p>
              </w:tc>
              <w:tc>
                <w:tcPr>
                  <w:tcW w:w="2658" w:type="dxa"/>
                  <w:tcBorders>
                    <w:tl2br w:val="nil"/>
                    <w:tr2bl w:val="nil"/>
                  </w:tcBorders>
                  <w:noWrap w:val="0"/>
                  <w:vAlign w:val="center"/>
                </w:tcPr>
                <w:p w14:paraId="4589BD53">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kern w:val="0"/>
                      <w:sz w:val="21"/>
                      <w:szCs w:val="21"/>
                      <w:highlight w:val="none"/>
                      <w:lang w:bidi="ar"/>
                    </w:rPr>
                    <w:t>70</w:t>
                  </w:r>
                </w:p>
              </w:tc>
              <w:tc>
                <w:tcPr>
                  <w:tcW w:w="2658" w:type="dxa"/>
                  <w:tcBorders>
                    <w:tl2br w:val="nil"/>
                    <w:tr2bl w:val="nil"/>
                  </w:tcBorders>
                  <w:noWrap w:val="0"/>
                  <w:vAlign w:val="center"/>
                </w:tcPr>
                <w:p w14:paraId="35F094F3">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kern w:val="0"/>
                      <w:sz w:val="21"/>
                      <w:szCs w:val="21"/>
                      <w:highlight w:val="none"/>
                      <w:lang w:bidi="ar"/>
                    </w:rPr>
                    <w:t>55</w:t>
                  </w:r>
                </w:p>
              </w:tc>
            </w:tr>
          </w:tbl>
          <w:p w14:paraId="15A1FD85">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本项目运营期厂界噪声执行《工业企业厂界环境噪声排放标准》（GB12348-2008）中2类区标准，见下表。</w:t>
            </w:r>
          </w:p>
          <w:p w14:paraId="0F0209B5">
            <w:pPr>
              <w:pStyle w:val="50"/>
              <w:keepNext w:val="0"/>
              <w:keepLines w:val="0"/>
              <w:pageBreakBefore w:val="0"/>
              <w:widowControl w:val="0"/>
              <w:kinsoku/>
              <w:wordWrap/>
              <w:overflowPunct/>
              <w:topLinePunct w:val="0"/>
              <w:autoSpaceDE/>
              <w:autoSpaceDN/>
              <w:bidi w:val="0"/>
              <w:adjustRightInd/>
              <w:snapToGrid/>
              <w:spacing w:before="0" w:beforeLines="0" w:after="0" w:afterLines="0" w:line="240" w:lineRule="auto"/>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kern w:val="2"/>
                <w:sz w:val="21"/>
                <w:szCs w:val="21"/>
                <w:highlight w:val="none"/>
                <w:lang w:val="en-US" w:eastAsia="zh-CN" w:bidi="ar-SA"/>
              </w:rPr>
              <w:t>表</w:t>
            </w:r>
            <w:r>
              <w:rPr>
                <w:rFonts w:hint="eastAsia" w:ascii="Times New Roman" w:hAnsi="Times New Roman" w:eastAsia="宋体" w:cs="Times New Roman"/>
                <w:b/>
                <w:bCs/>
                <w:kern w:val="2"/>
                <w:sz w:val="21"/>
                <w:szCs w:val="21"/>
                <w:highlight w:val="none"/>
                <w:lang w:val="en-US" w:eastAsia="zh-CN" w:bidi="ar-SA"/>
              </w:rPr>
              <w:t xml:space="preserve">3-9 </w:t>
            </w:r>
            <w:r>
              <w:rPr>
                <w:rFonts w:hint="default" w:ascii="Times New Roman" w:hAnsi="Times New Roman" w:eastAsia="宋体" w:cs="Times New Roman"/>
                <w:b/>
                <w:bCs/>
                <w:kern w:val="2"/>
                <w:sz w:val="21"/>
                <w:szCs w:val="21"/>
                <w:highlight w:val="none"/>
                <w:lang w:val="en-US" w:eastAsia="zh-CN" w:bidi="ar-SA"/>
              </w:rPr>
              <w:t xml:space="preserve"> 工业企业厂界环境噪声排放标准  等效声级LAeq</w:t>
            </w:r>
            <w:r>
              <w:rPr>
                <w:rFonts w:hint="eastAsia" w:ascii="Times New Roman" w:hAnsi="Times New Roman" w:eastAsia="宋体" w:cs="Times New Roman"/>
                <w:b/>
                <w:bCs/>
                <w:kern w:val="2"/>
                <w:sz w:val="21"/>
                <w:szCs w:val="21"/>
                <w:highlight w:val="none"/>
                <w:lang w:val="en-US" w:eastAsia="zh-CN" w:bidi="ar-SA"/>
              </w:rPr>
              <w:t>：</w:t>
            </w:r>
            <w:r>
              <w:rPr>
                <w:rFonts w:hint="default" w:ascii="Times New Roman" w:hAnsi="Times New Roman" w:eastAsia="宋体" w:cs="Times New Roman"/>
                <w:b/>
                <w:bCs/>
                <w:kern w:val="2"/>
                <w:sz w:val="21"/>
                <w:szCs w:val="21"/>
                <w:highlight w:val="none"/>
                <w:lang w:val="en-US" w:eastAsia="zh-CN" w:bidi="ar-SA"/>
              </w:rPr>
              <w:t>dB</w:t>
            </w:r>
            <w:r>
              <w:rPr>
                <w:rFonts w:hint="eastAsia" w:eastAsia="宋体" w:cs="Times New Roman"/>
                <w:b/>
                <w:bCs/>
                <w:kern w:val="2"/>
                <w:sz w:val="21"/>
                <w:szCs w:val="21"/>
                <w:highlight w:val="none"/>
                <w:lang w:val="en-US" w:eastAsia="zh-CN" w:bidi="ar-SA"/>
              </w:rPr>
              <w:t>（A）</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124"/>
              <w:gridCol w:w="2124"/>
              <w:gridCol w:w="2125"/>
              <w:gridCol w:w="2125"/>
            </w:tblGrid>
            <w:tr w14:paraId="48553C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129" w:type="dxa"/>
                  <w:tcBorders>
                    <w:tl2br w:val="nil"/>
                    <w:tr2bl w:val="nil"/>
                  </w:tcBorders>
                  <w:noWrap w:val="0"/>
                  <w:vAlign w:val="center"/>
                </w:tcPr>
                <w:p w14:paraId="242D39BC">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default" w:ascii="Times New Roman" w:hAnsi="Times New Roman" w:eastAsia="宋体" w:cs="Times New Roman"/>
                      <w:kern w:val="0"/>
                      <w:sz w:val="21"/>
                      <w:szCs w:val="21"/>
                      <w:highlight w:val="none"/>
                      <w:lang w:val="en-US" w:eastAsia="zh-CN" w:bidi="ar"/>
                    </w:rPr>
                    <w:t>时段</w:t>
                  </w:r>
                </w:p>
              </w:tc>
              <w:tc>
                <w:tcPr>
                  <w:tcW w:w="2129" w:type="dxa"/>
                  <w:tcBorders>
                    <w:tl2br w:val="nil"/>
                    <w:tr2bl w:val="nil"/>
                  </w:tcBorders>
                  <w:noWrap w:val="0"/>
                  <w:vAlign w:val="center"/>
                </w:tcPr>
                <w:p w14:paraId="1A3B5DFF">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default" w:ascii="Times New Roman" w:hAnsi="Times New Roman" w:eastAsia="宋体" w:cs="Times New Roman"/>
                      <w:kern w:val="0"/>
                      <w:sz w:val="21"/>
                      <w:szCs w:val="21"/>
                      <w:highlight w:val="none"/>
                      <w:lang w:val="en-US" w:eastAsia="zh-CN" w:bidi="ar"/>
                    </w:rPr>
                    <w:t>类别</w:t>
                  </w:r>
                </w:p>
              </w:tc>
              <w:tc>
                <w:tcPr>
                  <w:tcW w:w="2131" w:type="dxa"/>
                  <w:tcBorders>
                    <w:tl2br w:val="nil"/>
                    <w:tr2bl w:val="nil"/>
                  </w:tcBorders>
                  <w:noWrap w:val="0"/>
                  <w:vAlign w:val="center"/>
                </w:tcPr>
                <w:p w14:paraId="40004B68">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kern w:val="0"/>
                      <w:sz w:val="21"/>
                      <w:szCs w:val="21"/>
                      <w:highlight w:val="none"/>
                      <w:lang w:bidi="ar"/>
                    </w:rPr>
                    <w:t>昼间</w:t>
                  </w:r>
                </w:p>
              </w:tc>
              <w:tc>
                <w:tcPr>
                  <w:tcW w:w="2131" w:type="dxa"/>
                  <w:tcBorders>
                    <w:tl2br w:val="nil"/>
                    <w:tr2bl w:val="nil"/>
                  </w:tcBorders>
                  <w:noWrap w:val="0"/>
                  <w:vAlign w:val="center"/>
                </w:tcPr>
                <w:p w14:paraId="02AB462A">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kern w:val="0"/>
                      <w:sz w:val="21"/>
                      <w:szCs w:val="21"/>
                      <w:highlight w:val="none"/>
                      <w:lang w:bidi="ar"/>
                    </w:rPr>
                    <w:t>夜间</w:t>
                  </w:r>
                </w:p>
              </w:tc>
            </w:tr>
            <w:tr w14:paraId="35B5A9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129" w:type="dxa"/>
                  <w:tcBorders>
                    <w:tl2br w:val="nil"/>
                    <w:tr2bl w:val="nil"/>
                  </w:tcBorders>
                  <w:noWrap w:val="0"/>
                  <w:vAlign w:val="center"/>
                </w:tcPr>
                <w:p w14:paraId="287D706A">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default" w:ascii="Times New Roman" w:hAnsi="Times New Roman" w:eastAsia="宋体" w:cs="Times New Roman"/>
                      <w:kern w:val="0"/>
                      <w:sz w:val="21"/>
                      <w:szCs w:val="21"/>
                      <w:highlight w:val="none"/>
                      <w:lang w:val="en-US" w:eastAsia="zh-CN" w:bidi="ar"/>
                    </w:rPr>
                    <w:t>噪声限值</w:t>
                  </w:r>
                </w:p>
              </w:tc>
              <w:tc>
                <w:tcPr>
                  <w:tcW w:w="2129" w:type="dxa"/>
                  <w:tcBorders>
                    <w:tl2br w:val="nil"/>
                    <w:tr2bl w:val="nil"/>
                  </w:tcBorders>
                  <w:noWrap w:val="0"/>
                  <w:vAlign w:val="center"/>
                </w:tcPr>
                <w:p w14:paraId="11F50CA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2</w:t>
                  </w:r>
                  <w:r>
                    <w:rPr>
                      <w:rFonts w:hint="default" w:ascii="Times New Roman" w:hAnsi="Times New Roman" w:eastAsia="宋体" w:cs="Times New Roman"/>
                      <w:kern w:val="0"/>
                      <w:sz w:val="21"/>
                      <w:szCs w:val="21"/>
                      <w:highlight w:val="none"/>
                      <w:lang w:val="en-US" w:eastAsia="zh-CN" w:bidi="ar"/>
                    </w:rPr>
                    <w:t>类</w:t>
                  </w:r>
                </w:p>
              </w:tc>
              <w:tc>
                <w:tcPr>
                  <w:tcW w:w="2131" w:type="dxa"/>
                  <w:tcBorders>
                    <w:tl2br w:val="nil"/>
                    <w:tr2bl w:val="nil"/>
                  </w:tcBorders>
                  <w:noWrap w:val="0"/>
                  <w:vAlign w:val="center"/>
                </w:tcPr>
                <w:p w14:paraId="1E859C20">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60</w:t>
                  </w:r>
                </w:p>
              </w:tc>
              <w:tc>
                <w:tcPr>
                  <w:tcW w:w="2131" w:type="dxa"/>
                  <w:tcBorders>
                    <w:tl2br w:val="nil"/>
                    <w:tr2bl w:val="nil"/>
                  </w:tcBorders>
                  <w:noWrap w:val="0"/>
                  <w:vAlign w:val="center"/>
                </w:tcPr>
                <w:p w14:paraId="60AD7818">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55</w:t>
                  </w:r>
                </w:p>
              </w:tc>
            </w:tr>
          </w:tbl>
          <w:p w14:paraId="64FB573E">
            <w:pPr>
              <w:pStyle w:val="49"/>
              <w:keepNext w:val="0"/>
              <w:keepLines w:val="0"/>
              <w:pageBreakBefore w:val="0"/>
              <w:widowControl w:val="0"/>
              <w:numPr>
                <w:ilvl w:val="0"/>
                <w:numId w:val="0"/>
              </w:numPr>
              <w:kinsoku/>
              <w:wordWrap/>
              <w:overflowPunct/>
              <w:topLinePunct w:val="0"/>
              <w:autoSpaceDE/>
              <w:autoSpaceDN/>
              <w:bidi w:val="0"/>
              <w:ind w:firstLine="422" w:firstLineChars="200"/>
              <w:rPr>
                <w:rFonts w:hint="eastAsia" w:ascii="Times New Roman" w:hAnsi="Times New Roman" w:eastAsia="宋体" w:cs="Times New Roman"/>
                <w:b/>
                <w:bCs/>
                <w:color w:val="auto"/>
                <w:kern w:val="2"/>
                <w:sz w:val="21"/>
                <w:szCs w:val="24"/>
                <w:highlight w:val="none"/>
                <w:lang w:val="en-US" w:eastAsia="zh-CN" w:bidi="ar-SA"/>
              </w:rPr>
            </w:pPr>
            <w:r>
              <w:rPr>
                <w:rFonts w:hint="eastAsia" w:ascii="Times New Roman" w:hAnsi="Times New Roman" w:eastAsia="宋体" w:cs="Times New Roman"/>
                <w:b/>
                <w:bCs/>
                <w:color w:val="auto"/>
                <w:kern w:val="2"/>
                <w:sz w:val="21"/>
                <w:szCs w:val="24"/>
                <w:highlight w:val="none"/>
                <w:lang w:val="en-US" w:eastAsia="zh-CN" w:bidi="ar-SA"/>
              </w:rPr>
              <w:t>4、固体废物</w:t>
            </w:r>
          </w:p>
          <w:p w14:paraId="564F98F4">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一般工业固体废物处置执行《一般工业固体废物贮存和填埋污染控制标准》（</w:t>
            </w:r>
            <w:r>
              <w:rPr>
                <w:rFonts w:hint="default" w:ascii="Times New Roman" w:hAnsi="Times New Roman" w:eastAsia="宋体" w:cs="Times New Roman"/>
                <w:color w:val="auto"/>
                <w:kern w:val="2"/>
                <w:sz w:val="24"/>
                <w:szCs w:val="24"/>
                <w:highlight w:val="none"/>
                <w:lang w:val="en-US" w:eastAsia="zh-CN" w:bidi="ar-SA"/>
              </w:rPr>
              <w:t>GB18599</w:t>
            </w:r>
            <w:r>
              <w:rPr>
                <w:rFonts w:hint="eastAsia" w:ascii="Times New Roman" w:hAnsi="Times New Roman" w:eastAsia="宋体" w:cs="Times New Roman"/>
                <w:color w:val="auto"/>
                <w:kern w:val="2"/>
                <w:sz w:val="24"/>
                <w:szCs w:val="24"/>
                <w:highlight w:val="none"/>
                <w:lang w:val="en-US" w:eastAsia="zh-CN" w:bidi="ar-SA"/>
              </w:rPr>
              <w:t>-2020），采用库房、包装工具（罐、桶、包装袋等）贮存一般工业固体废物的，其贮存过程应满足防渗漏、防雨淋、防扬尘等环境保护要求。</w:t>
            </w:r>
          </w:p>
          <w:p w14:paraId="5E24C68D">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危险废物执行《危险废物贮存污染控制标准》（</w:t>
            </w:r>
            <w:r>
              <w:rPr>
                <w:rFonts w:hint="default" w:ascii="Times New Roman" w:hAnsi="Times New Roman" w:eastAsia="宋体" w:cs="Times New Roman"/>
                <w:color w:val="auto"/>
                <w:kern w:val="2"/>
                <w:sz w:val="24"/>
                <w:szCs w:val="24"/>
                <w:highlight w:val="none"/>
                <w:lang w:val="en-US" w:eastAsia="zh-CN" w:bidi="ar-SA"/>
              </w:rPr>
              <w:t>GB18597-20</w:t>
            </w:r>
            <w:r>
              <w:rPr>
                <w:rFonts w:hint="eastAsia" w:ascii="Times New Roman" w:hAnsi="Times New Roman" w:eastAsia="宋体" w:cs="Times New Roman"/>
                <w:color w:val="auto"/>
                <w:kern w:val="2"/>
                <w:sz w:val="24"/>
                <w:szCs w:val="24"/>
                <w:highlight w:val="none"/>
                <w:lang w:val="en-US" w:eastAsia="zh-CN" w:bidi="ar-SA"/>
              </w:rPr>
              <w:t>23）中的相关规定。</w:t>
            </w:r>
          </w:p>
        </w:tc>
      </w:tr>
      <w:tr w14:paraId="1877C0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283" w:hRule="atLeast"/>
          <w:jc w:val="center"/>
        </w:trPr>
        <w:tc>
          <w:tcPr>
            <w:tcW w:w="0" w:type="auto"/>
            <w:noWrap w:val="0"/>
            <w:vAlign w:val="center"/>
          </w:tcPr>
          <w:p w14:paraId="05067504">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总量</w:t>
            </w:r>
          </w:p>
          <w:p w14:paraId="0263B27E">
            <w:pPr>
              <w:keepNext w:val="0"/>
              <w:keepLines w:val="0"/>
              <w:pageBreakBefore w:val="0"/>
              <w:widowControl w:val="0"/>
              <w:kinsoku/>
              <w:wordWrap/>
              <w:overflowPunct/>
              <w:topLinePunct w:val="0"/>
              <w:autoSpaceDE/>
              <w:autoSpaceDN/>
              <w:bidi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控制</w:t>
            </w:r>
          </w:p>
          <w:p w14:paraId="7650AC77">
            <w:pPr>
              <w:keepNext w:val="0"/>
              <w:keepLines w:val="0"/>
              <w:pageBreakBefore w:val="0"/>
              <w:widowControl w:val="0"/>
              <w:kinsoku/>
              <w:wordWrap/>
              <w:overflowPunct/>
              <w:topLinePunct w:val="0"/>
              <w:autoSpaceDE/>
              <w:autoSpaceDN/>
              <w:bidi w:val="0"/>
              <w:adjustRightInd w:val="0"/>
              <w:snapToGrid w:val="0"/>
              <w:jc w:val="center"/>
              <w:rPr>
                <w:rFonts w:ascii="宋体" w:hAnsi="宋体" w:cs="宋体"/>
                <w:kern w:val="0"/>
                <w:szCs w:val="21"/>
                <w:highlight w:val="none"/>
              </w:rPr>
            </w:pPr>
            <w:r>
              <w:rPr>
                <w:rFonts w:hint="eastAsia" w:ascii="宋体" w:hAnsi="宋体" w:cs="宋体"/>
                <w:kern w:val="0"/>
                <w:szCs w:val="21"/>
                <w:highlight w:val="none"/>
              </w:rPr>
              <w:t>指标</w:t>
            </w:r>
          </w:p>
        </w:tc>
        <w:tc>
          <w:tcPr>
            <w:tcW w:w="0" w:type="auto"/>
            <w:noWrap w:val="0"/>
            <w:vAlign w:val="center"/>
          </w:tcPr>
          <w:p w14:paraId="2E141D2D">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17032566">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7240BD84">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78C154EE">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4E96FB2E">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7C7FF8D4">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36AFC32B">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33EE89D6">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285273A3">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2B7343A3">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7E397AB2">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p w14:paraId="42CC92C4">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山西省生态环境厅《建设项目主要污染物排放总量指标核定办法》（晋环规〔2023〕1号）第十六条规定：废气二氧化硫、氮氧化物、颗粒物排放量分别不大于3吨/年，挥发性有机物排放量不大于0.3吨/年；废水化学需氧量排放量不大于1吨/年和氨氮排放量不大于0.5吨/年的建设项目，主要污染物排放总量指标可直接予以核定，不需进行主要污染物总量置换。</w:t>
            </w:r>
          </w:p>
          <w:p w14:paraId="700B224A">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根据工程投入运行后污染物排放规律，本项目列入总量控制指标的项目为颗粒物、挥发性有机物，预计本项目有组织排放总量为：颗粒物：0.133t/a；挥发性有机物：0.050t/a。</w:t>
            </w:r>
          </w:p>
          <w:p w14:paraId="489F5535">
            <w:pPr>
              <w:pStyle w:val="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2025年5月21日，长治市生态环境局壶关分局以壶环函〔2025〕29号文核定本项目的污染物排放总量指标为：颗粒物：0.133t/a、VOC</w:t>
            </w:r>
            <w:r>
              <w:rPr>
                <w:rFonts w:hint="default" w:ascii="Times New Roman" w:hAnsi="Times New Roman" w:eastAsia="宋体" w:cs="Times New Roman"/>
                <w:color w:val="auto"/>
                <w:kern w:val="2"/>
                <w:sz w:val="24"/>
                <w:szCs w:val="24"/>
                <w:highlight w:val="none"/>
                <w:vertAlign w:val="subscript"/>
                <w:lang w:val="en-US" w:eastAsia="zh-CN" w:bidi="ar-SA"/>
              </w:rPr>
              <w:t>s</w:t>
            </w:r>
            <w:r>
              <w:rPr>
                <w:rFonts w:hint="default" w:ascii="Times New Roman" w:hAnsi="Times New Roman" w:eastAsia="宋体" w:cs="Times New Roman"/>
                <w:color w:val="auto"/>
                <w:kern w:val="2"/>
                <w:sz w:val="24"/>
                <w:szCs w:val="24"/>
                <w:highlight w:val="none"/>
                <w:lang w:val="en-US" w:eastAsia="zh-CN" w:bidi="ar-SA"/>
              </w:rPr>
              <w:t>：0.050t/a。</w:t>
            </w:r>
          </w:p>
          <w:p w14:paraId="5E1EA036">
            <w:pPr>
              <w:pStyle w:val="49"/>
              <w:keepNext w:val="0"/>
              <w:keepLines w:val="0"/>
              <w:pageBreakBefore w:val="0"/>
              <w:widowControl w:val="0"/>
              <w:kinsoku/>
              <w:wordWrap/>
              <w:overflowPunct/>
              <w:topLinePunct w:val="0"/>
              <w:autoSpaceDE/>
              <w:autoSpaceDN/>
              <w:bidi w:val="0"/>
              <w:ind w:firstLine="480"/>
              <w:rPr>
                <w:rFonts w:hint="eastAsia" w:ascii="Times New Roman" w:hAnsi="Times New Roman" w:eastAsia="宋体" w:cs="Times New Roman"/>
                <w:color w:val="auto"/>
                <w:kern w:val="2"/>
                <w:sz w:val="21"/>
                <w:szCs w:val="24"/>
                <w:highlight w:val="none"/>
                <w:lang w:val="en-US" w:eastAsia="zh-CN" w:bidi="ar-SA"/>
              </w:rPr>
            </w:pPr>
          </w:p>
          <w:p w14:paraId="19AB3794">
            <w:pPr>
              <w:pStyle w:val="49"/>
              <w:keepNext w:val="0"/>
              <w:keepLines w:val="0"/>
              <w:pageBreakBefore w:val="0"/>
              <w:widowControl w:val="0"/>
              <w:kinsoku/>
              <w:wordWrap/>
              <w:overflowPunct/>
              <w:topLinePunct w:val="0"/>
              <w:autoSpaceDE/>
              <w:autoSpaceDN/>
              <w:bidi w:val="0"/>
              <w:ind w:firstLine="480"/>
              <w:rPr>
                <w:rFonts w:hint="eastAsia" w:ascii="Times New Roman" w:hAnsi="Times New Roman" w:eastAsia="宋体" w:cs="Times New Roman"/>
                <w:color w:val="auto"/>
                <w:kern w:val="2"/>
                <w:sz w:val="21"/>
                <w:szCs w:val="24"/>
                <w:highlight w:val="none"/>
                <w:lang w:val="en-US" w:eastAsia="zh-CN" w:bidi="ar-SA"/>
              </w:rPr>
            </w:pPr>
          </w:p>
          <w:p w14:paraId="161500C7">
            <w:pPr>
              <w:pStyle w:val="49"/>
              <w:keepNext w:val="0"/>
              <w:keepLines w:val="0"/>
              <w:pageBreakBefore w:val="0"/>
              <w:widowControl w:val="0"/>
              <w:kinsoku/>
              <w:wordWrap/>
              <w:overflowPunct/>
              <w:topLinePunct w:val="0"/>
              <w:autoSpaceDE/>
              <w:autoSpaceDN/>
              <w:bidi w:val="0"/>
              <w:ind w:firstLine="480"/>
              <w:rPr>
                <w:rFonts w:hint="eastAsia" w:ascii="Times New Roman" w:hAnsi="Times New Roman" w:eastAsia="宋体" w:cs="Times New Roman"/>
                <w:color w:val="auto"/>
                <w:kern w:val="2"/>
                <w:sz w:val="21"/>
                <w:szCs w:val="24"/>
                <w:highlight w:val="none"/>
                <w:lang w:val="en-US" w:eastAsia="zh-CN" w:bidi="ar-SA"/>
              </w:rPr>
            </w:pPr>
          </w:p>
          <w:p w14:paraId="6AB3A2DA">
            <w:pPr>
              <w:pStyle w:val="49"/>
              <w:keepNext w:val="0"/>
              <w:keepLines w:val="0"/>
              <w:pageBreakBefore w:val="0"/>
              <w:widowControl w:val="0"/>
              <w:kinsoku/>
              <w:wordWrap/>
              <w:overflowPunct/>
              <w:topLinePunct w:val="0"/>
              <w:autoSpaceDE/>
              <w:autoSpaceDN/>
              <w:bidi w:val="0"/>
              <w:ind w:firstLine="480"/>
              <w:rPr>
                <w:rFonts w:hint="eastAsia" w:ascii="Times New Roman" w:hAnsi="Times New Roman" w:eastAsia="宋体" w:cs="Times New Roman"/>
                <w:color w:val="auto"/>
                <w:kern w:val="2"/>
                <w:sz w:val="21"/>
                <w:szCs w:val="24"/>
                <w:highlight w:val="none"/>
                <w:lang w:val="en-US" w:eastAsia="zh-CN" w:bidi="ar-SA"/>
              </w:rPr>
            </w:pPr>
          </w:p>
          <w:p w14:paraId="658EB22F">
            <w:pPr>
              <w:pStyle w:val="49"/>
              <w:keepNext w:val="0"/>
              <w:keepLines w:val="0"/>
              <w:pageBreakBefore w:val="0"/>
              <w:widowControl w:val="0"/>
              <w:kinsoku/>
              <w:wordWrap/>
              <w:overflowPunct/>
              <w:topLinePunct w:val="0"/>
              <w:autoSpaceDE/>
              <w:autoSpaceDN/>
              <w:bidi w:val="0"/>
              <w:ind w:firstLine="480"/>
              <w:rPr>
                <w:rFonts w:hint="eastAsia" w:ascii="Times New Roman" w:hAnsi="Times New Roman" w:eastAsia="宋体" w:cs="Times New Roman"/>
                <w:color w:val="auto"/>
                <w:kern w:val="2"/>
                <w:sz w:val="21"/>
                <w:szCs w:val="24"/>
                <w:highlight w:val="none"/>
                <w:lang w:val="en-US" w:eastAsia="zh-CN" w:bidi="ar-SA"/>
              </w:rPr>
            </w:pPr>
          </w:p>
          <w:p w14:paraId="51009AA8">
            <w:pPr>
              <w:pStyle w:val="49"/>
              <w:keepNext w:val="0"/>
              <w:keepLines w:val="0"/>
              <w:pageBreakBefore w:val="0"/>
              <w:widowControl w:val="0"/>
              <w:kinsoku/>
              <w:wordWrap/>
              <w:overflowPunct/>
              <w:topLinePunct w:val="0"/>
              <w:autoSpaceDE/>
              <w:autoSpaceDN/>
              <w:bidi w:val="0"/>
              <w:ind w:firstLine="480"/>
              <w:rPr>
                <w:rFonts w:hint="eastAsia" w:ascii="Times New Roman" w:hAnsi="Times New Roman" w:eastAsia="宋体" w:cs="Times New Roman"/>
                <w:color w:val="auto"/>
                <w:kern w:val="2"/>
                <w:sz w:val="21"/>
                <w:szCs w:val="24"/>
                <w:highlight w:val="none"/>
                <w:lang w:val="en-US" w:eastAsia="zh-CN" w:bidi="ar-SA"/>
              </w:rPr>
            </w:pPr>
          </w:p>
          <w:p w14:paraId="6CAA4A94">
            <w:pPr>
              <w:pStyle w:val="49"/>
              <w:keepNext w:val="0"/>
              <w:keepLines w:val="0"/>
              <w:pageBreakBefore w:val="0"/>
              <w:widowControl w:val="0"/>
              <w:kinsoku/>
              <w:wordWrap/>
              <w:overflowPunct/>
              <w:topLinePunct w:val="0"/>
              <w:autoSpaceDE/>
              <w:autoSpaceDN/>
              <w:bidi w:val="0"/>
              <w:ind w:firstLine="480"/>
              <w:rPr>
                <w:rFonts w:hint="eastAsia" w:ascii="Times New Roman" w:hAnsi="Times New Roman" w:eastAsia="宋体" w:cs="Times New Roman"/>
                <w:color w:val="auto"/>
                <w:kern w:val="2"/>
                <w:sz w:val="21"/>
                <w:szCs w:val="24"/>
                <w:highlight w:val="none"/>
                <w:lang w:val="en-US" w:eastAsia="zh-CN" w:bidi="ar-SA"/>
              </w:rPr>
            </w:pPr>
          </w:p>
          <w:p w14:paraId="46497F95">
            <w:pPr>
              <w:pStyle w:val="49"/>
              <w:keepNext w:val="0"/>
              <w:keepLines w:val="0"/>
              <w:pageBreakBefore w:val="0"/>
              <w:widowControl w:val="0"/>
              <w:kinsoku/>
              <w:wordWrap/>
              <w:overflowPunct/>
              <w:topLinePunct w:val="0"/>
              <w:autoSpaceDE/>
              <w:autoSpaceDN/>
              <w:bidi w:val="0"/>
              <w:ind w:firstLine="480"/>
              <w:rPr>
                <w:rFonts w:hint="default" w:ascii="Times New Roman" w:hAnsi="Times New Roman" w:eastAsia="宋体" w:cs="Times New Roman"/>
                <w:color w:val="auto"/>
                <w:kern w:val="2"/>
                <w:sz w:val="21"/>
                <w:szCs w:val="24"/>
                <w:highlight w:val="none"/>
                <w:lang w:val="en-US" w:eastAsia="zh-CN" w:bidi="ar-SA"/>
              </w:rPr>
            </w:pPr>
          </w:p>
        </w:tc>
      </w:tr>
    </w:tbl>
    <w:p w14:paraId="460350E1">
      <w:pPr>
        <w:pStyle w:val="19"/>
        <w:jc w:val="center"/>
        <w:outlineLvl w:val="0"/>
        <w:rPr>
          <w:rFonts w:ascii="黑体" w:hAnsi="黑体" w:eastAsia="黑体"/>
          <w:snapToGrid w:val="0"/>
          <w:sz w:val="30"/>
          <w:szCs w:val="30"/>
          <w:highlight w:val="none"/>
        </w:rPr>
      </w:pPr>
      <w:r>
        <w:rPr>
          <w:rFonts w:ascii="黑体" w:hAnsi="黑体" w:eastAsia="黑体"/>
          <w:snapToGrid w:val="0"/>
          <w:sz w:val="36"/>
          <w:szCs w:val="36"/>
          <w:highlight w:val="none"/>
        </w:rPr>
        <w:br w:type="page"/>
      </w:r>
      <w:bookmarkStart w:id="5" w:name="_Toc8827"/>
      <w:r>
        <w:rPr>
          <w:rFonts w:hint="eastAsia" w:ascii="黑体" w:hAnsi="黑体" w:eastAsia="黑体"/>
          <w:snapToGrid w:val="0"/>
          <w:sz w:val="30"/>
          <w:szCs w:val="30"/>
          <w:highlight w:val="none"/>
        </w:rPr>
        <w:t>四、主要环境影响和保护措施</w:t>
      </w:r>
      <w:bookmarkEnd w:id="5"/>
    </w:p>
    <w:tbl>
      <w:tblPr>
        <w:tblStyle w:val="22"/>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8162"/>
      </w:tblGrid>
      <w:tr w14:paraId="6C540A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78" w:hRule="atLeast"/>
          <w:jc w:val="center"/>
        </w:trPr>
        <w:tc>
          <w:tcPr>
            <w:tcW w:w="746" w:type="dxa"/>
            <w:noWrap w:val="0"/>
            <w:tcMar>
              <w:left w:w="28" w:type="dxa"/>
              <w:right w:w="28" w:type="dxa"/>
            </w:tcMar>
            <w:vAlign w:val="center"/>
          </w:tcPr>
          <w:p w14:paraId="1F792A8C">
            <w:pPr>
              <w:pStyle w:val="19"/>
              <w:adjustRightInd w:val="0"/>
              <w:snapToGrid w:val="0"/>
              <w:spacing w:before="0" w:beforeAutospacing="0" w:after="0" w:afterAutospacing="0"/>
              <w:jc w:val="center"/>
              <w:rPr>
                <w:rFonts w:hint="eastAsia" w:cs="宋体"/>
                <w:kern w:val="2"/>
                <w:sz w:val="21"/>
                <w:szCs w:val="21"/>
                <w:highlight w:val="none"/>
              </w:rPr>
            </w:pPr>
            <w:r>
              <w:rPr>
                <w:rFonts w:hint="eastAsia" w:cs="宋体"/>
                <w:kern w:val="2"/>
                <w:sz w:val="21"/>
                <w:szCs w:val="21"/>
                <w:highlight w:val="none"/>
              </w:rPr>
              <w:t>施工</w:t>
            </w:r>
          </w:p>
          <w:p w14:paraId="1C4A5E54">
            <w:pPr>
              <w:pStyle w:val="19"/>
              <w:adjustRightInd w:val="0"/>
              <w:snapToGrid w:val="0"/>
              <w:spacing w:before="0" w:beforeAutospacing="0" w:after="0" w:afterAutospacing="0"/>
              <w:jc w:val="center"/>
              <w:rPr>
                <w:rFonts w:hint="eastAsia" w:cs="宋体"/>
                <w:kern w:val="2"/>
                <w:sz w:val="21"/>
                <w:szCs w:val="21"/>
                <w:highlight w:val="none"/>
              </w:rPr>
            </w:pPr>
            <w:r>
              <w:rPr>
                <w:rFonts w:hint="eastAsia" w:cs="宋体"/>
                <w:kern w:val="2"/>
                <w:sz w:val="21"/>
                <w:szCs w:val="21"/>
                <w:highlight w:val="none"/>
              </w:rPr>
              <w:t>期环</w:t>
            </w:r>
          </w:p>
          <w:p w14:paraId="15374942">
            <w:pPr>
              <w:pStyle w:val="19"/>
              <w:adjustRightInd w:val="0"/>
              <w:snapToGrid w:val="0"/>
              <w:spacing w:before="0" w:beforeAutospacing="0" w:after="0" w:afterAutospacing="0"/>
              <w:jc w:val="center"/>
              <w:rPr>
                <w:rFonts w:hint="eastAsia" w:cs="宋体"/>
                <w:kern w:val="2"/>
                <w:sz w:val="21"/>
                <w:szCs w:val="21"/>
                <w:highlight w:val="none"/>
              </w:rPr>
            </w:pPr>
            <w:r>
              <w:rPr>
                <w:rFonts w:hint="eastAsia" w:cs="宋体"/>
                <w:kern w:val="2"/>
                <w:sz w:val="21"/>
                <w:szCs w:val="21"/>
                <w:highlight w:val="none"/>
              </w:rPr>
              <w:t>境保</w:t>
            </w:r>
          </w:p>
          <w:p w14:paraId="63EA3A12">
            <w:pPr>
              <w:pStyle w:val="19"/>
              <w:adjustRightInd w:val="0"/>
              <w:snapToGrid w:val="0"/>
              <w:spacing w:before="0" w:beforeAutospacing="0" w:after="0" w:afterAutospacing="0"/>
              <w:jc w:val="center"/>
              <w:rPr>
                <w:rFonts w:hint="eastAsia" w:cs="宋体"/>
                <w:kern w:val="2"/>
                <w:sz w:val="21"/>
                <w:szCs w:val="21"/>
                <w:highlight w:val="none"/>
              </w:rPr>
            </w:pPr>
            <w:r>
              <w:rPr>
                <w:rFonts w:hint="eastAsia" w:cs="宋体"/>
                <w:kern w:val="2"/>
                <w:sz w:val="21"/>
                <w:szCs w:val="21"/>
                <w:highlight w:val="none"/>
              </w:rPr>
              <w:t>护措</w:t>
            </w:r>
          </w:p>
          <w:p w14:paraId="6327C3C1">
            <w:pPr>
              <w:pStyle w:val="19"/>
              <w:adjustRightInd w:val="0"/>
              <w:snapToGrid w:val="0"/>
              <w:spacing w:before="0" w:beforeAutospacing="0" w:after="0" w:afterAutospacing="0"/>
              <w:jc w:val="center"/>
              <w:rPr>
                <w:rFonts w:hint="eastAsia" w:cs="宋体"/>
                <w:bCs/>
                <w:kern w:val="2"/>
                <w:sz w:val="21"/>
                <w:szCs w:val="21"/>
                <w:highlight w:val="none"/>
              </w:rPr>
            </w:pPr>
            <w:r>
              <w:rPr>
                <w:rFonts w:hint="eastAsia" w:cs="宋体"/>
                <w:kern w:val="2"/>
                <w:sz w:val="21"/>
                <w:szCs w:val="21"/>
                <w:highlight w:val="none"/>
              </w:rPr>
              <w:t>施</w:t>
            </w:r>
          </w:p>
        </w:tc>
        <w:tc>
          <w:tcPr>
            <w:tcW w:w="8162" w:type="dxa"/>
            <w:noWrap w:val="0"/>
            <w:vAlign w:val="center"/>
          </w:tcPr>
          <w:p w14:paraId="0553D3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项目施工阶段主要为</w:t>
            </w:r>
            <w:r>
              <w:rPr>
                <w:rFonts w:hint="eastAsia"/>
                <w:sz w:val="24"/>
                <w:szCs w:val="24"/>
                <w:highlight w:val="none"/>
                <w:lang w:val="en-US" w:eastAsia="zh-CN"/>
              </w:rPr>
              <w:t>主体工程建设、装饰装修、设备安装及场地清理</w:t>
            </w:r>
            <w:r>
              <w:rPr>
                <w:rFonts w:hint="eastAsia" w:ascii="Times New Roman" w:hAnsi="Times New Roman" w:eastAsia="宋体" w:cs="Times New Roman"/>
                <w:sz w:val="24"/>
                <w:szCs w:val="24"/>
                <w:highlight w:val="none"/>
                <w:lang w:val="en-US" w:eastAsia="zh-CN"/>
              </w:rPr>
              <w:t>，施工期污染主要为废气、废水、噪声、固废等。</w:t>
            </w:r>
          </w:p>
          <w:p w14:paraId="57A15C5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1、大气环境影响分析</w:t>
            </w:r>
          </w:p>
          <w:p w14:paraId="365655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施工期对环境空气的影响主要表现为施工扬尘的影响，施工期扬尘的产生环节主要为以下几个方面：</w:t>
            </w:r>
          </w:p>
          <w:p w14:paraId="4B5EC9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A</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堆放易产尘的建筑材料，如无围挡，随意堆放，会产生二次扬尘；</w:t>
            </w:r>
          </w:p>
          <w:p w14:paraId="7C73C1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B</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建筑材料的运输、装卸产生的扬尘；</w:t>
            </w:r>
          </w:p>
          <w:p w14:paraId="150EE7A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C</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施工过程中会产生扬尘；</w:t>
            </w:r>
          </w:p>
          <w:p w14:paraId="78E5A9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严格落实施工工地周边围挡、物料堆放覆盖、土方开挖湿法作业、路面硬化、出入车辆清洗、渣土车辆密闭运输</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六个百分之百</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要求。本报告要求建设单位采取以下防治措施：</w:t>
            </w:r>
          </w:p>
          <w:p w14:paraId="2BF795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①施工场地四周设置围挡，采取喷雾抑尘措施，降低施工扬尘对</w:t>
            </w:r>
            <w:r>
              <w:rPr>
                <w:rFonts w:hint="eastAsia" w:cs="Times New Roman"/>
                <w:sz w:val="24"/>
                <w:szCs w:val="24"/>
                <w:highlight w:val="none"/>
                <w:lang w:val="en-US" w:eastAsia="zh-CN"/>
              </w:rPr>
              <w:t>周边</w:t>
            </w:r>
            <w:r>
              <w:rPr>
                <w:rFonts w:hint="eastAsia" w:ascii="Times New Roman" w:hAnsi="Times New Roman" w:eastAsia="宋体" w:cs="Times New Roman"/>
                <w:sz w:val="24"/>
                <w:szCs w:val="24"/>
                <w:highlight w:val="none"/>
                <w:lang w:val="en-US" w:eastAsia="zh-CN"/>
              </w:rPr>
              <w:t>的影响。场地地面要经常洒水以减少扬尘，施工期间，晴朗天气时每日洒水二至七次，扬尘严重时应加大洒水频率；对于施工工地道路积尘，可采用吸尘或水冲洗的方法清洁施工工地道路积尘，不得在未实施洒水等抑尘措施情况下进行直接清扫；</w:t>
            </w:r>
          </w:p>
          <w:p w14:paraId="48CBE4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②建筑材料及建筑垃圾的运输车辆应尽可能采用密闭车斗，并保证物料不遗撒外漏，以减少沿路抛洒和减少运输的二次扬尘产生，并且运输车辆进入厂区应低速行驶，减轻对周围环境的影响；</w:t>
            </w:r>
          </w:p>
          <w:p w14:paraId="59DF8E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仿宋" w:hAnsi="仿宋" w:eastAsia="仿宋" w:cs="仿宋"/>
                <w:sz w:val="24"/>
                <w:szCs w:val="24"/>
                <w:highlight w:val="none"/>
                <w:lang w:val="en-US" w:eastAsia="zh-CN"/>
              </w:rPr>
              <w:t>③</w:t>
            </w:r>
            <w:r>
              <w:rPr>
                <w:rFonts w:hint="eastAsia" w:ascii="Times New Roman" w:hAnsi="Times New Roman" w:eastAsia="宋体" w:cs="Times New Roman"/>
                <w:sz w:val="24"/>
                <w:szCs w:val="24"/>
                <w:highlight w:val="none"/>
                <w:lang w:val="en-US" w:eastAsia="zh-CN"/>
              </w:rPr>
              <w:t>施工过程产生的建筑垃圾，应及时清运。若需堆置超过一周的，应在建筑垃圾底部设置铺垫，在其表面覆盖防尘布、防尘网，对堆料表面进行定期喷水，防止风蚀起尘及水蚀迁移；渣土临时堆积地应在四周设置</w:t>
            </w:r>
            <w:r>
              <w:rPr>
                <w:rFonts w:hint="eastAsia" w:cs="Times New Roman"/>
                <w:sz w:val="24"/>
                <w:szCs w:val="24"/>
                <w:highlight w:val="none"/>
                <w:lang w:val="en-US" w:eastAsia="zh-CN"/>
              </w:rPr>
              <w:t>围挡</w:t>
            </w:r>
            <w:r>
              <w:rPr>
                <w:rFonts w:hint="eastAsia" w:ascii="Times New Roman" w:hAnsi="Times New Roman" w:eastAsia="宋体" w:cs="Times New Roman"/>
                <w:sz w:val="24"/>
                <w:szCs w:val="24"/>
                <w:highlight w:val="none"/>
                <w:lang w:val="en-US" w:eastAsia="zh-CN"/>
              </w:rPr>
              <w:t>。</w:t>
            </w:r>
          </w:p>
          <w:p w14:paraId="552D80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由于施工期大气污染物的排放都是短期的，只要合理规划、科学管理，施工活动不会明显影响场地周围的环境空气质量，而且随着施工活动的结束，这些污染也将消失。</w:t>
            </w:r>
          </w:p>
          <w:p w14:paraId="098416C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2、水环境影响分析</w:t>
            </w:r>
          </w:p>
          <w:p w14:paraId="2A5900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（1）施工废水</w:t>
            </w:r>
          </w:p>
          <w:p w14:paraId="68D994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项目施工废水主要污染物为SS，水质较为简单，要求设置沉淀池，施工废水经沉淀处理后回用于施工过程或者场地喷洒等，不外排。</w:t>
            </w:r>
          </w:p>
          <w:p w14:paraId="3F02B14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（2）施工人员的生活污水</w:t>
            </w:r>
          </w:p>
          <w:p w14:paraId="0A5CCB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施工期会产生少量的</w:t>
            </w:r>
            <w:r>
              <w:rPr>
                <w:rFonts w:hint="eastAsia" w:cs="Times New Roman"/>
                <w:sz w:val="24"/>
                <w:szCs w:val="24"/>
                <w:highlight w:val="none"/>
                <w:lang w:val="en-US" w:eastAsia="zh-CN"/>
              </w:rPr>
              <w:t>生活污水</w:t>
            </w:r>
            <w:r>
              <w:rPr>
                <w:rFonts w:hint="eastAsia" w:ascii="Times New Roman" w:hAnsi="Times New Roman" w:eastAsia="宋体" w:cs="Times New Roman"/>
                <w:sz w:val="24"/>
                <w:szCs w:val="24"/>
                <w:highlight w:val="none"/>
                <w:lang w:val="en-US" w:eastAsia="zh-CN"/>
              </w:rPr>
              <w:t>，主要为施工人员的洗漱废水，这部分用于施工场地泼洒抑尘，不会对周围环境产生影响。</w:t>
            </w:r>
          </w:p>
          <w:p w14:paraId="36FA136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3、固体废物影响分析</w:t>
            </w:r>
          </w:p>
          <w:p w14:paraId="1E896B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在工程施工过程中，产生的固体废物主要是建筑垃圾、设备包装废物及施工人员的生活垃圾。本报告要求建设单位采取以下防治措施：</w:t>
            </w:r>
          </w:p>
          <w:p w14:paraId="1967C5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（1）施工垃圾</w:t>
            </w:r>
          </w:p>
          <w:p w14:paraId="6CC9B8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本项目产生的施工垃圾主要废弃建筑材料、包装废弃物等，在施工过程中应及时清理厂内的建筑垃圾；由项目建设承包方负责清运厂内建筑余留垃圾，送往建材公司处理。运输垃圾的车辆应用</w:t>
            </w:r>
            <w:r>
              <w:rPr>
                <w:rFonts w:hint="eastAsia" w:cs="Times New Roman"/>
                <w:sz w:val="24"/>
                <w:szCs w:val="24"/>
                <w:highlight w:val="none"/>
                <w:lang w:val="en-US" w:eastAsia="zh-CN"/>
              </w:rPr>
              <w:t>篷布</w:t>
            </w:r>
            <w:r>
              <w:rPr>
                <w:rFonts w:hint="eastAsia" w:ascii="Times New Roman" w:hAnsi="Times New Roman" w:eastAsia="宋体" w:cs="Times New Roman"/>
                <w:sz w:val="24"/>
                <w:szCs w:val="24"/>
                <w:highlight w:val="none"/>
                <w:lang w:val="en-US" w:eastAsia="zh-CN"/>
              </w:rPr>
              <w:t>覆盖，避免沿途洒落，产生二次扬尘。</w:t>
            </w:r>
          </w:p>
          <w:p w14:paraId="179260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（2）生活垃圾</w:t>
            </w:r>
          </w:p>
          <w:p w14:paraId="1DFA63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本项目将产生少量的生活垃圾，建设单位要将此部分生活垃圾收集后倾倒于村生活垃圾回收指定地点，由环卫部门统一处理，不会对周围环境产生影响。</w:t>
            </w:r>
          </w:p>
          <w:p w14:paraId="38F4863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4、声环境影响分析</w:t>
            </w:r>
          </w:p>
          <w:p w14:paraId="08135C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施工期噪声主要来源是各种车辆、</w:t>
            </w:r>
            <w:r>
              <w:rPr>
                <w:rFonts w:hint="default" w:ascii="Times New Roman" w:hAnsi="Times New Roman" w:eastAsia="宋体" w:cs="Times New Roman"/>
                <w:spacing w:val="4"/>
                <w:sz w:val="24"/>
                <w:szCs w:val="24"/>
                <w:highlight w:val="none"/>
              </w:rPr>
              <w:t>夯实机、打桩机</w:t>
            </w:r>
            <w:r>
              <w:rPr>
                <w:rFonts w:hint="eastAsia" w:ascii="Times New Roman" w:hAnsi="Times New Roman" w:eastAsia="宋体" w:cs="Times New Roman"/>
                <w:spacing w:val="4"/>
                <w:sz w:val="24"/>
                <w:szCs w:val="24"/>
                <w:highlight w:val="none"/>
                <w:lang w:val="en-US" w:eastAsia="zh-CN"/>
              </w:rPr>
              <w:t>等施工机械</w:t>
            </w:r>
            <w:r>
              <w:rPr>
                <w:rFonts w:hint="eastAsia" w:ascii="Times New Roman" w:hAnsi="Times New Roman" w:eastAsia="宋体" w:cs="Times New Roman"/>
                <w:sz w:val="24"/>
                <w:szCs w:val="24"/>
                <w:highlight w:val="none"/>
                <w:lang w:val="en-US" w:eastAsia="zh-CN"/>
              </w:rPr>
              <w:t>，此外建筑材料、垃圾的运输也可引起噪声。</w:t>
            </w:r>
          </w:p>
          <w:p w14:paraId="4B04E0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本项目施工期的主要噪声源为运输车辆等机械设备产生的噪声以及运输车辆行驶产生的噪声，噪声值可达65-100dB</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A</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w:t>
            </w:r>
          </w:p>
          <w:p w14:paraId="7B42DA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本环评要求建设单位采取以下防治措施来减轻噪声对周围环境的影响。</w:t>
            </w:r>
          </w:p>
          <w:p w14:paraId="5BAC5EF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（1）施工现场合理布局，以避免局部声级过高，将施工阶段的噪声减至最小；</w:t>
            </w:r>
          </w:p>
          <w:p w14:paraId="460F6B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（2）对位置相对固定的机械设备，能于室内操作的尽量进入操作间，不能进入操作间的，可适当建立单面声障；</w:t>
            </w:r>
          </w:p>
          <w:p w14:paraId="076552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（3）降低施工设备噪声：要定期对机械设备进行维护和保养，使其一直保持良好的状态，减轻因设备运行状态不佳而造成的噪声污染；对动力机械、设备加强定期检修、养护；</w:t>
            </w:r>
          </w:p>
          <w:p w14:paraId="3920CB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（4）运输车辆在进入施工</w:t>
            </w:r>
            <w:r>
              <w:rPr>
                <w:rFonts w:hint="eastAsia" w:cs="Times New Roman"/>
                <w:sz w:val="24"/>
                <w:szCs w:val="24"/>
                <w:highlight w:val="none"/>
                <w:lang w:val="en-US" w:eastAsia="zh-CN"/>
              </w:rPr>
              <w:t>场地</w:t>
            </w:r>
            <w:r>
              <w:rPr>
                <w:rFonts w:hint="eastAsia" w:ascii="Times New Roman" w:hAnsi="Times New Roman" w:eastAsia="宋体" w:cs="Times New Roman"/>
                <w:sz w:val="24"/>
                <w:szCs w:val="24"/>
                <w:highlight w:val="none"/>
                <w:lang w:val="en-US" w:eastAsia="zh-CN"/>
              </w:rPr>
              <w:t>时限制车速，尽量减少鸣笛。</w:t>
            </w:r>
          </w:p>
          <w:p w14:paraId="226346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sz w:val="24"/>
                <w:szCs w:val="24"/>
                <w:highlight w:val="none"/>
                <w:lang w:val="en-US" w:eastAsia="zh-CN"/>
              </w:rPr>
              <w:t>在采取以上噪声防治措施后，可有效降低施工噪声对周围环境的影响。</w:t>
            </w:r>
          </w:p>
          <w:p w14:paraId="3DF6B135">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4C659419">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253EC09F">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5B8B5619">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69AE18B9">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06F60042">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0E1E2F6A">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2EA7DC64">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30AB374B">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790C7457">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6D4DC82C">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1435EAA9">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34F2207E">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356071FE">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421FBE1A">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0D441C41">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2E5413CC">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48CB2205">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宋体" w:cs="Times New Roman"/>
                <w:highlight w:val="none"/>
                <w:lang w:val="en-US" w:eastAsia="zh-CN"/>
              </w:rPr>
            </w:pPr>
          </w:p>
          <w:p w14:paraId="614A02A2">
            <w:pPr>
              <w:rPr>
                <w:rFonts w:hint="default"/>
                <w:highlight w:val="none"/>
                <w:lang w:val="en-US" w:eastAsia="zh-CN"/>
              </w:rPr>
            </w:pPr>
          </w:p>
        </w:tc>
      </w:tr>
    </w:tbl>
    <w:p w14:paraId="13ED8446">
      <w:pPr>
        <w:rPr>
          <w:highlight w:val="none"/>
        </w:rPr>
        <w:sectPr>
          <w:pgSz w:w="11907" w:h="16840"/>
          <w:pgMar w:top="1701" w:right="1531" w:bottom="2127" w:left="1531" w:header="851" w:footer="1757" w:gutter="0"/>
          <w:pgBorders>
            <w:top w:val="none" w:sz="0" w:space="0"/>
            <w:left w:val="none" w:sz="0" w:space="0"/>
            <w:bottom w:val="none" w:sz="0" w:space="0"/>
            <w:right w:val="none" w:sz="0" w:space="0"/>
          </w:pgBorders>
          <w:pgNumType w:fmt="decimal"/>
          <w:cols w:space="720" w:num="1"/>
          <w:docGrid w:linePitch="312" w:charSpace="0"/>
        </w:sectPr>
      </w:pPr>
    </w:p>
    <w:tbl>
      <w:tblPr>
        <w:tblStyle w:val="22"/>
        <w:tblW w:w="508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3691"/>
      </w:tblGrid>
      <w:tr w14:paraId="67CED0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61" w:hRule="atLeast"/>
          <w:jc w:val="center"/>
        </w:trPr>
        <w:tc>
          <w:tcPr>
            <w:tcW w:w="696" w:type="dxa"/>
            <w:noWrap w:val="0"/>
            <w:tcMar>
              <w:left w:w="28" w:type="dxa"/>
              <w:right w:w="28" w:type="dxa"/>
            </w:tcMar>
            <w:vAlign w:val="center"/>
          </w:tcPr>
          <w:p w14:paraId="1FF65DB2">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运营</w:t>
            </w:r>
          </w:p>
          <w:p w14:paraId="75785CA6">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期环</w:t>
            </w:r>
          </w:p>
          <w:p w14:paraId="1F04FFEF">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境影</w:t>
            </w:r>
          </w:p>
          <w:p w14:paraId="3AA92901">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响和</w:t>
            </w:r>
          </w:p>
          <w:p w14:paraId="662C536F">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保护</w:t>
            </w:r>
          </w:p>
          <w:p w14:paraId="0F71F62B">
            <w:pPr>
              <w:pStyle w:val="19"/>
              <w:adjustRightInd w:val="0"/>
              <w:snapToGrid w:val="0"/>
              <w:spacing w:before="0" w:beforeAutospacing="0" w:after="0" w:afterAutospacing="0"/>
              <w:jc w:val="center"/>
              <w:rPr>
                <w:rFonts w:hint="eastAsia" w:cs="宋体"/>
                <w:kern w:val="2"/>
                <w:sz w:val="21"/>
                <w:szCs w:val="21"/>
                <w:highlight w:val="none"/>
              </w:rPr>
            </w:pPr>
            <w:r>
              <w:rPr>
                <w:rFonts w:hint="eastAsia" w:ascii="宋体" w:hAnsi="宋体" w:cs="宋体"/>
                <w:bCs/>
                <w:szCs w:val="21"/>
                <w:highlight w:val="none"/>
              </w:rPr>
              <w:t>措施</w:t>
            </w:r>
          </w:p>
        </w:tc>
        <w:tc>
          <w:tcPr>
            <w:tcW w:w="13616" w:type="dxa"/>
            <w:noWrap w:val="0"/>
            <w:vAlign w:val="center"/>
          </w:tcPr>
          <w:p w14:paraId="7CE6A441">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废气</w:t>
            </w:r>
          </w:p>
          <w:p w14:paraId="0177253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2"/>
                <w:sz w:val="21"/>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1.1</w:t>
            </w:r>
            <w:r>
              <w:rPr>
                <w:rFonts w:hint="eastAsia" w:ascii="Times New Roman" w:hAnsi="Times New Roman" w:eastAsia="宋体" w:cs="Times New Roman"/>
                <w:b/>
                <w:bCs/>
                <w:color w:val="auto"/>
                <w:kern w:val="2"/>
                <w:sz w:val="24"/>
                <w:szCs w:val="24"/>
                <w:highlight w:val="none"/>
                <w:lang w:val="en-US" w:eastAsia="zh-CN" w:bidi="ar-SA"/>
              </w:rPr>
              <w:t xml:space="preserve"> 废气产污环节名称、污染控制项目、排放形式及污染防治设施</w:t>
            </w:r>
          </w:p>
          <w:p w14:paraId="0C065306">
            <w:pPr>
              <w:keepNext w:val="0"/>
              <w:keepLines w:val="0"/>
              <w:pageBreakBefore w:val="0"/>
              <w:widowControl w:val="0"/>
              <w:suppressLineNumbers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 xml:space="preserve">表4-1  </w:t>
            </w:r>
            <w:r>
              <w:rPr>
                <w:rFonts w:hint="default" w:ascii="Times New Roman" w:hAnsi="Times New Roman" w:eastAsia="宋体" w:cs="Times New Roman"/>
                <w:b/>
                <w:bCs/>
                <w:color w:val="000000"/>
                <w:kern w:val="2"/>
                <w:sz w:val="21"/>
                <w:szCs w:val="21"/>
                <w:highlight w:val="none"/>
                <w:lang w:val="en-US" w:eastAsia="zh-CN" w:bidi="ar-SA"/>
              </w:rPr>
              <w:t>项目废气产排污节点、污染物及污染治理设施信息表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464"/>
              <w:gridCol w:w="558"/>
              <w:gridCol w:w="585"/>
              <w:gridCol w:w="704"/>
              <w:gridCol w:w="717"/>
              <w:gridCol w:w="601"/>
              <w:gridCol w:w="728"/>
              <w:gridCol w:w="706"/>
              <w:gridCol w:w="882"/>
              <w:gridCol w:w="679"/>
              <w:gridCol w:w="679"/>
              <w:gridCol w:w="545"/>
              <w:gridCol w:w="809"/>
              <w:gridCol w:w="679"/>
              <w:gridCol w:w="922"/>
              <w:gridCol w:w="675"/>
              <w:gridCol w:w="763"/>
              <w:gridCol w:w="682"/>
              <w:gridCol w:w="625"/>
              <w:gridCol w:w="472"/>
            </w:tblGrid>
            <w:tr w14:paraId="494A3D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70" w:hRule="atLeast"/>
                <w:tblHeader/>
                <w:jc w:val="center"/>
              </w:trPr>
              <w:tc>
                <w:tcPr>
                  <w:tcW w:w="172" w:type="pct"/>
                  <w:vMerge w:val="restart"/>
                  <w:tcBorders>
                    <w:tl2br w:val="nil"/>
                    <w:tr2bl w:val="nil"/>
                  </w:tcBorders>
                  <w:noWrap w:val="0"/>
                  <w:vAlign w:val="center"/>
                </w:tcPr>
                <w:p w14:paraId="64D8D6DA">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序号</w:t>
                  </w:r>
                </w:p>
              </w:tc>
              <w:tc>
                <w:tcPr>
                  <w:tcW w:w="207" w:type="pct"/>
                  <w:vMerge w:val="restart"/>
                  <w:tcBorders>
                    <w:tl2br w:val="nil"/>
                    <w:tr2bl w:val="nil"/>
                  </w:tcBorders>
                  <w:noWrap w:val="0"/>
                  <w:vAlign w:val="center"/>
                </w:tcPr>
                <w:p w14:paraId="04F40E21">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生产设施编号</w:t>
                  </w:r>
                </w:p>
              </w:tc>
              <w:tc>
                <w:tcPr>
                  <w:tcW w:w="217" w:type="pct"/>
                  <w:vMerge w:val="restart"/>
                  <w:tcBorders>
                    <w:tl2br w:val="nil"/>
                    <w:tr2bl w:val="nil"/>
                  </w:tcBorders>
                  <w:noWrap w:val="0"/>
                  <w:vAlign w:val="center"/>
                </w:tcPr>
                <w:p w14:paraId="1EDBB7F7">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生产设施</w:t>
                  </w:r>
                  <w:r>
                    <w:rPr>
                      <w:rFonts w:hint="eastAsia"/>
                      <w:color w:val="auto"/>
                      <w:sz w:val="21"/>
                      <w:szCs w:val="21"/>
                      <w:highlight w:val="none"/>
                    </w:rPr>
                    <w:t>名称</w:t>
                  </w:r>
                </w:p>
              </w:tc>
              <w:tc>
                <w:tcPr>
                  <w:tcW w:w="261" w:type="pct"/>
                  <w:vMerge w:val="restart"/>
                  <w:tcBorders>
                    <w:tl2br w:val="nil"/>
                    <w:tr2bl w:val="nil"/>
                  </w:tcBorders>
                  <w:noWrap w:val="0"/>
                  <w:vAlign w:val="center"/>
                </w:tcPr>
                <w:p w14:paraId="53EE1AD9">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对应产污环节名称</w:t>
                  </w:r>
                </w:p>
              </w:tc>
              <w:tc>
                <w:tcPr>
                  <w:tcW w:w="266" w:type="pct"/>
                  <w:vMerge w:val="restart"/>
                  <w:tcBorders>
                    <w:tl2br w:val="nil"/>
                    <w:tr2bl w:val="nil"/>
                  </w:tcBorders>
                  <w:noWrap w:val="0"/>
                  <w:vAlign w:val="center"/>
                </w:tcPr>
                <w:p w14:paraId="398AE446">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污染物种类</w:t>
                  </w:r>
                </w:p>
              </w:tc>
              <w:tc>
                <w:tcPr>
                  <w:tcW w:w="223" w:type="pct"/>
                  <w:vMerge w:val="restart"/>
                  <w:tcBorders>
                    <w:tl2br w:val="nil"/>
                    <w:tr2bl w:val="nil"/>
                  </w:tcBorders>
                  <w:noWrap w:val="0"/>
                  <w:vAlign w:val="center"/>
                </w:tcPr>
                <w:p w14:paraId="40F9855A">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排放形式</w:t>
                  </w:r>
                </w:p>
              </w:tc>
              <w:tc>
                <w:tcPr>
                  <w:tcW w:w="2459" w:type="pct"/>
                  <w:gridSpan w:val="9"/>
                  <w:tcBorders>
                    <w:tl2br w:val="nil"/>
                    <w:tr2bl w:val="nil"/>
                  </w:tcBorders>
                  <w:noWrap w:val="0"/>
                  <w:vAlign w:val="center"/>
                </w:tcPr>
                <w:p w14:paraId="19D7F142">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rFonts w:hint="eastAsia"/>
                      <w:color w:val="auto"/>
                      <w:sz w:val="21"/>
                      <w:szCs w:val="21"/>
                      <w:highlight w:val="none"/>
                    </w:rPr>
                    <w:t>污染治理设施</w:t>
                  </w:r>
                </w:p>
              </w:tc>
              <w:tc>
                <w:tcPr>
                  <w:tcW w:w="250" w:type="pct"/>
                  <w:vMerge w:val="restart"/>
                  <w:tcBorders>
                    <w:tl2br w:val="nil"/>
                    <w:tr2bl w:val="nil"/>
                  </w:tcBorders>
                  <w:noWrap w:val="0"/>
                  <w:vAlign w:val="center"/>
                </w:tcPr>
                <w:p w14:paraId="62F1370C">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有组织排放口编号</w:t>
                  </w:r>
                </w:p>
              </w:tc>
              <w:tc>
                <w:tcPr>
                  <w:tcW w:w="283" w:type="pct"/>
                  <w:vMerge w:val="restart"/>
                  <w:tcBorders>
                    <w:tl2br w:val="nil"/>
                    <w:tr2bl w:val="nil"/>
                  </w:tcBorders>
                  <w:noWrap w:val="0"/>
                  <w:vAlign w:val="center"/>
                </w:tcPr>
                <w:p w14:paraId="2448BD6A">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有组织排放口名称</w:t>
                  </w:r>
                </w:p>
              </w:tc>
              <w:tc>
                <w:tcPr>
                  <w:tcW w:w="253" w:type="pct"/>
                  <w:vMerge w:val="restart"/>
                  <w:tcBorders>
                    <w:tl2br w:val="nil"/>
                    <w:tr2bl w:val="nil"/>
                  </w:tcBorders>
                  <w:noWrap w:val="0"/>
                  <w:vAlign w:val="center"/>
                </w:tcPr>
                <w:p w14:paraId="3D0CF8BD">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排放口设置是否符合要求</w:t>
                  </w:r>
                </w:p>
              </w:tc>
              <w:tc>
                <w:tcPr>
                  <w:tcW w:w="232" w:type="pct"/>
                  <w:vMerge w:val="restart"/>
                  <w:tcBorders>
                    <w:tl2br w:val="nil"/>
                    <w:tr2bl w:val="nil"/>
                  </w:tcBorders>
                  <w:noWrap w:val="0"/>
                  <w:vAlign w:val="center"/>
                </w:tcPr>
                <w:p w14:paraId="0EED1FEE">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排放口类型</w:t>
                  </w:r>
                </w:p>
              </w:tc>
              <w:tc>
                <w:tcPr>
                  <w:tcW w:w="175" w:type="pct"/>
                  <w:vMerge w:val="restart"/>
                  <w:tcBorders>
                    <w:tl2br w:val="nil"/>
                    <w:tr2bl w:val="nil"/>
                  </w:tcBorders>
                  <w:noWrap w:val="0"/>
                  <w:vAlign w:val="center"/>
                </w:tcPr>
                <w:p w14:paraId="0F5E10B4">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rFonts w:hint="eastAsia"/>
                      <w:color w:val="auto"/>
                      <w:sz w:val="21"/>
                      <w:szCs w:val="21"/>
                      <w:highlight w:val="none"/>
                    </w:rPr>
                    <w:t>其他信息</w:t>
                  </w:r>
                </w:p>
              </w:tc>
            </w:tr>
            <w:tr w14:paraId="4B1AE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70" w:hRule="atLeast"/>
                <w:jc w:val="center"/>
              </w:trPr>
              <w:tc>
                <w:tcPr>
                  <w:tcW w:w="172" w:type="pct"/>
                  <w:vMerge w:val="continue"/>
                  <w:tcBorders>
                    <w:tl2br w:val="nil"/>
                    <w:tr2bl w:val="nil"/>
                  </w:tcBorders>
                  <w:noWrap w:val="0"/>
                  <w:vAlign w:val="center"/>
                </w:tcPr>
                <w:p w14:paraId="7977D659">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07" w:type="pct"/>
                  <w:vMerge w:val="continue"/>
                  <w:tcBorders>
                    <w:tl2br w:val="nil"/>
                    <w:tr2bl w:val="nil"/>
                  </w:tcBorders>
                  <w:noWrap w:val="0"/>
                  <w:vAlign w:val="center"/>
                </w:tcPr>
                <w:p w14:paraId="62AEFF6B">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17" w:type="pct"/>
                  <w:vMerge w:val="continue"/>
                  <w:tcBorders>
                    <w:tl2br w:val="nil"/>
                    <w:tr2bl w:val="nil"/>
                  </w:tcBorders>
                  <w:noWrap w:val="0"/>
                  <w:vAlign w:val="center"/>
                </w:tcPr>
                <w:p w14:paraId="45D40697">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61" w:type="pct"/>
                  <w:vMerge w:val="continue"/>
                  <w:tcBorders>
                    <w:tl2br w:val="nil"/>
                    <w:tr2bl w:val="nil"/>
                  </w:tcBorders>
                  <w:noWrap w:val="0"/>
                  <w:vAlign w:val="center"/>
                </w:tcPr>
                <w:p w14:paraId="02FB6CE6">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66" w:type="pct"/>
                  <w:vMerge w:val="continue"/>
                  <w:tcBorders>
                    <w:tl2br w:val="nil"/>
                    <w:tr2bl w:val="nil"/>
                  </w:tcBorders>
                  <w:noWrap w:val="0"/>
                  <w:vAlign w:val="center"/>
                </w:tcPr>
                <w:p w14:paraId="1071B60E">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23" w:type="pct"/>
                  <w:vMerge w:val="continue"/>
                  <w:tcBorders>
                    <w:tl2br w:val="nil"/>
                    <w:tr2bl w:val="nil"/>
                  </w:tcBorders>
                  <w:noWrap w:val="0"/>
                  <w:vAlign w:val="center"/>
                </w:tcPr>
                <w:p w14:paraId="72853ACC">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70" w:type="pct"/>
                  <w:tcBorders>
                    <w:tl2br w:val="nil"/>
                    <w:tr2bl w:val="nil"/>
                  </w:tcBorders>
                  <w:noWrap w:val="0"/>
                  <w:vAlign w:val="center"/>
                </w:tcPr>
                <w:p w14:paraId="3254E333">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污染治理设施编号</w:t>
                  </w:r>
                </w:p>
              </w:tc>
              <w:tc>
                <w:tcPr>
                  <w:tcW w:w="262" w:type="pct"/>
                  <w:tcBorders>
                    <w:tl2br w:val="nil"/>
                    <w:tr2bl w:val="nil"/>
                  </w:tcBorders>
                  <w:noWrap w:val="0"/>
                  <w:vAlign w:val="center"/>
                </w:tcPr>
                <w:p w14:paraId="418E17D1">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污染治理设施名称</w:t>
                  </w:r>
                </w:p>
              </w:tc>
              <w:tc>
                <w:tcPr>
                  <w:tcW w:w="327" w:type="pct"/>
                  <w:tcBorders>
                    <w:tl2br w:val="nil"/>
                    <w:tr2bl w:val="nil"/>
                  </w:tcBorders>
                  <w:noWrap w:val="0"/>
                  <w:vAlign w:val="center"/>
                </w:tcPr>
                <w:p w14:paraId="6B9D5764">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color w:val="auto"/>
                      <w:sz w:val="21"/>
                      <w:szCs w:val="21"/>
                      <w:highlight w:val="none"/>
                    </w:rPr>
                    <w:t>污染治理设施</w:t>
                  </w:r>
                  <w:r>
                    <w:rPr>
                      <w:rFonts w:hint="eastAsia"/>
                      <w:color w:val="auto"/>
                      <w:sz w:val="21"/>
                      <w:szCs w:val="21"/>
                      <w:highlight w:val="none"/>
                    </w:rPr>
                    <w:t>工艺</w:t>
                  </w:r>
                </w:p>
              </w:tc>
              <w:tc>
                <w:tcPr>
                  <w:tcW w:w="252" w:type="pct"/>
                  <w:tcBorders>
                    <w:tl2br w:val="nil"/>
                    <w:tr2bl w:val="nil"/>
                  </w:tcBorders>
                  <w:noWrap w:val="0"/>
                  <w:vAlign w:val="center"/>
                </w:tcPr>
                <w:p w14:paraId="383A75D3">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治理设施参数名称</w:t>
                  </w:r>
                </w:p>
              </w:tc>
              <w:tc>
                <w:tcPr>
                  <w:tcW w:w="252" w:type="pct"/>
                  <w:tcBorders>
                    <w:tl2br w:val="nil"/>
                    <w:tr2bl w:val="nil"/>
                  </w:tcBorders>
                  <w:noWrap w:val="0"/>
                  <w:vAlign w:val="center"/>
                </w:tcPr>
                <w:p w14:paraId="6AB990C1">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设计值</w:t>
                  </w:r>
                </w:p>
              </w:tc>
              <w:tc>
                <w:tcPr>
                  <w:tcW w:w="202" w:type="pct"/>
                  <w:tcBorders>
                    <w:tl2br w:val="nil"/>
                    <w:tr2bl w:val="nil"/>
                  </w:tcBorders>
                  <w:noWrap w:val="0"/>
                  <w:vAlign w:val="center"/>
                </w:tcPr>
                <w:p w14:paraId="67F890E7">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计量单位</w:t>
                  </w:r>
                </w:p>
              </w:tc>
              <w:tc>
                <w:tcPr>
                  <w:tcW w:w="300" w:type="pct"/>
                  <w:tcBorders>
                    <w:tl2br w:val="nil"/>
                    <w:tr2bl w:val="nil"/>
                  </w:tcBorders>
                  <w:noWrap w:val="0"/>
                  <w:vAlign w:val="center"/>
                </w:tcPr>
                <w:p w14:paraId="3BDFF9F0">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其他污染治理设施参数信息</w:t>
                  </w:r>
                </w:p>
              </w:tc>
              <w:tc>
                <w:tcPr>
                  <w:tcW w:w="252" w:type="pct"/>
                  <w:tcBorders>
                    <w:tl2br w:val="nil"/>
                    <w:tr2bl w:val="nil"/>
                  </w:tcBorders>
                  <w:noWrap w:val="0"/>
                  <w:vAlign w:val="center"/>
                </w:tcPr>
                <w:p w14:paraId="677AB39A">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是否为可行技术</w:t>
                  </w:r>
                </w:p>
              </w:tc>
              <w:tc>
                <w:tcPr>
                  <w:tcW w:w="340" w:type="pct"/>
                  <w:tcBorders>
                    <w:tl2br w:val="nil"/>
                    <w:tr2bl w:val="nil"/>
                  </w:tcBorders>
                  <w:noWrap w:val="0"/>
                  <w:vAlign w:val="center"/>
                </w:tcPr>
                <w:p w14:paraId="3B7EB264">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color w:val="auto"/>
                      <w:sz w:val="21"/>
                      <w:szCs w:val="21"/>
                      <w:highlight w:val="none"/>
                    </w:rPr>
                    <w:t>污染治理设施其他</w:t>
                  </w:r>
                  <w:r>
                    <w:rPr>
                      <w:rFonts w:hint="eastAsia"/>
                      <w:color w:val="auto"/>
                      <w:sz w:val="21"/>
                      <w:szCs w:val="21"/>
                      <w:highlight w:val="none"/>
                    </w:rPr>
                    <w:t>信息</w:t>
                  </w:r>
                </w:p>
              </w:tc>
              <w:tc>
                <w:tcPr>
                  <w:tcW w:w="250" w:type="pct"/>
                  <w:vMerge w:val="continue"/>
                  <w:tcBorders>
                    <w:tl2br w:val="nil"/>
                    <w:tr2bl w:val="nil"/>
                  </w:tcBorders>
                  <w:noWrap w:val="0"/>
                  <w:vAlign w:val="center"/>
                </w:tcPr>
                <w:p w14:paraId="061BB6B7">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83" w:type="pct"/>
                  <w:vMerge w:val="continue"/>
                  <w:tcBorders>
                    <w:tl2br w:val="nil"/>
                    <w:tr2bl w:val="nil"/>
                  </w:tcBorders>
                  <w:noWrap w:val="0"/>
                  <w:vAlign w:val="center"/>
                </w:tcPr>
                <w:p w14:paraId="2AB1844C">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53" w:type="pct"/>
                  <w:vMerge w:val="continue"/>
                  <w:tcBorders>
                    <w:tl2br w:val="nil"/>
                    <w:tr2bl w:val="nil"/>
                  </w:tcBorders>
                  <w:noWrap w:val="0"/>
                  <w:vAlign w:val="center"/>
                </w:tcPr>
                <w:p w14:paraId="32B07C5A">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232" w:type="pct"/>
                  <w:vMerge w:val="continue"/>
                  <w:tcBorders>
                    <w:tl2br w:val="nil"/>
                    <w:tr2bl w:val="nil"/>
                  </w:tcBorders>
                  <w:noWrap w:val="0"/>
                  <w:vAlign w:val="center"/>
                </w:tcPr>
                <w:p w14:paraId="378E163D">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c>
                <w:tcPr>
                  <w:tcW w:w="175" w:type="pct"/>
                  <w:vMerge w:val="continue"/>
                  <w:tcBorders>
                    <w:tl2br w:val="nil"/>
                    <w:tr2bl w:val="nil"/>
                  </w:tcBorders>
                  <w:noWrap w:val="0"/>
                  <w:vAlign w:val="center"/>
                </w:tcPr>
                <w:p w14:paraId="4E5AE210">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p>
              </w:tc>
            </w:tr>
            <w:tr w14:paraId="1FF63C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70" w:hRule="atLeast"/>
                <w:jc w:val="center"/>
              </w:trPr>
              <w:tc>
                <w:tcPr>
                  <w:tcW w:w="172" w:type="pct"/>
                  <w:tcBorders>
                    <w:tl2br w:val="nil"/>
                    <w:tr2bl w:val="nil"/>
                  </w:tcBorders>
                  <w:noWrap w:val="0"/>
                  <w:vAlign w:val="center"/>
                </w:tcPr>
                <w:p w14:paraId="52FE1607">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rFonts w:hint="eastAsia"/>
                      <w:color w:val="auto"/>
                      <w:sz w:val="21"/>
                      <w:szCs w:val="21"/>
                      <w:highlight w:val="none"/>
                    </w:rPr>
                    <w:t>1</w:t>
                  </w:r>
                </w:p>
              </w:tc>
              <w:tc>
                <w:tcPr>
                  <w:tcW w:w="207" w:type="pct"/>
                  <w:tcBorders>
                    <w:tl2br w:val="nil"/>
                    <w:tr2bl w:val="nil"/>
                  </w:tcBorders>
                  <w:noWrap w:val="0"/>
                  <w:vAlign w:val="center"/>
                </w:tcPr>
                <w:p w14:paraId="6E48D454">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rFonts w:hint="eastAsia"/>
                      <w:color w:val="auto"/>
                      <w:sz w:val="21"/>
                      <w:szCs w:val="21"/>
                      <w:highlight w:val="none"/>
                    </w:rPr>
                    <w:t>/</w:t>
                  </w:r>
                </w:p>
              </w:tc>
              <w:tc>
                <w:tcPr>
                  <w:tcW w:w="217" w:type="pct"/>
                  <w:tcBorders>
                    <w:tl2br w:val="nil"/>
                    <w:tr2bl w:val="nil"/>
                  </w:tcBorders>
                  <w:noWrap w:val="0"/>
                  <w:vAlign w:val="center"/>
                </w:tcPr>
                <w:p w14:paraId="6EE21495">
                  <w:pPr>
                    <w:pStyle w:val="59"/>
                    <w:keepNext w:val="0"/>
                    <w:keepLines w:val="0"/>
                    <w:pageBreakBefore w:val="0"/>
                    <w:widowControl w:val="0"/>
                    <w:kinsoku/>
                    <w:wordWrap/>
                    <w:overflowPunct/>
                    <w:topLinePunct w:val="0"/>
                    <w:autoSpaceDE/>
                    <w:autoSpaceDN/>
                    <w:bidi w:val="0"/>
                    <w:adjustRightInd/>
                    <w:snapToGrid/>
                    <w:spacing w:line="240" w:lineRule="auto"/>
                    <w:rPr>
                      <w:rFonts w:hint="default" w:eastAsia="宋体"/>
                      <w:color w:val="auto"/>
                      <w:sz w:val="21"/>
                      <w:szCs w:val="21"/>
                      <w:highlight w:val="none"/>
                      <w:lang w:val="en-US" w:eastAsia="zh-CN"/>
                    </w:rPr>
                  </w:pPr>
                  <w:r>
                    <w:rPr>
                      <w:rFonts w:hint="eastAsia" w:cs="Times New Roman"/>
                      <w:b w:val="0"/>
                      <w:bCs w:val="0"/>
                      <w:color w:val="auto"/>
                      <w:kern w:val="2"/>
                      <w:sz w:val="21"/>
                      <w:szCs w:val="21"/>
                      <w:highlight w:val="none"/>
                      <w:vertAlign w:val="baseline"/>
                      <w:lang w:val="en-US" w:eastAsia="zh-CN" w:bidi="ar-SA"/>
                    </w:rPr>
                    <w:t>抛丸机</w:t>
                  </w:r>
                </w:p>
              </w:tc>
              <w:tc>
                <w:tcPr>
                  <w:tcW w:w="261" w:type="pct"/>
                  <w:tcBorders>
                    <w:tl2br w:val="nil"/>
                    <w:tr2bl w:val="nil"/>
                  </w:tcBorders>
                  <w:noWrap w:val="0"/>
                  <w:vAlign w:val="center"/>
                </w:tcPr>
                <w:p w14:paraId="53E8D2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lang w:val="en-US"/>
                    </w:rPr>
                  </w:pPr>
                  <w:r>
                    <w:rPr>
                      <w:rFonts w:hint="eastAsia" w:cs="Times New Roman"/>
                      <w:b w:val="0"/>
                      <w:bCs w:val="0"/>
                      <w:color w:val="auto"/>
                      <w:kern w:val="2"/>
                      <w:sz w:val="21"/>
                      <w:szCs w:val="21"/>
                      <w:highlight w:val="none"/>
                      <w:vertAlign w:val="baseline"/>
                      <w:lang w:val="en-US" w:eastAsia="zh-CN" w:bidi="ar-SA"/>
                    </w:rPr>
                    <w:t>除锈工序</w:t>
                  </w:r>
                </w:p>
              </w:tc>
              <w:tc>
                <w:tcPr>
                  <w:tcW w:w="266" w:type="pct"/>
                  <w:tcBorders>
                    <w:tl2br w:val="nil"/>
                    <w:tr2bl w:val="nil"/>
                  </w:tcBorders>
                  <w:noWrap w:val="0"/>
                  <w:vAlign w:val="center"/>
                </w:tcPr>
                <w:p w14:paraId="5675CB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223" w:type="pct"/>
                  <w:tcBorders>
                    <w:tl2br w:val="nil"/>
                    <w:tr2bl w:val="nil"/>
                  </w:tcBorders>
                  <w:noWrap w:val="0"/>
                  <w:vAlign w:val="center"/>
                </w:tcPr>
                <w:p w14:paraId="59F7D8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1"/>
                      <w:szCs w:val="21"/>
                      <w:highlight w:val="none"/>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有组织</w:t>
                  </w:r>
                </w:p>
              </w:tc>
              <w:tc>
                <w:tcPr>
                  <w:tcW w:w="270" w:type="pct"/>
                  <w:tcBorders>
                    <w:tl2br w:val="nil"/>
                    <w:tr2bl w:val="nil"/>
                  </w:tcBorders>
                  <w:noWrap w:val="0"/>
                  <w:vAlign w:val="center"/>
                </w:tcPr>
                <w:p w14:paraId="41C31C6C">
                  <w:pPr>
                    <w:pStyle w:val="59"/>
                    <w:keepNext w:val="0"/>
                    <w:keepLines w:val="0"/>
                    <w:pageBreakBefore w:val="0"/>
                    <w:widowControl w:val="0"/>
                    <w:kinsoku/>
                    <w:wordWrap/>
                    <w:overflowPunct/>
                    <w:topLinePunct w:val="0"/>
                    <w:autoSpaceDE/>
                    <w:autoSpaceDN/>
                    <w:bidi w:val="0"/>
                    <w:adjustRightInd/>
                    <w:snapToGrid/>
                    <w:spacing w:line="240" w:lineRule="auto"/>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TA001</w:t>
                  </w:r>
                </w:p>
              </w:tc>
              <w:tc>
                <w:tcPr>
                  <w:tcW w:w="262" w:type="pct"/>
                  <w:tcBorders>
                    <w:tl2br w:val="nil"/>
                    <w:tr2bl w:val="nil"/>
                  </w:tcBorders>
                  <w:shd w:val="clear" w:color="auto" w:fill="auto"/>
                  <w:noWrap w:val="0"/>
                  <w:vAlign w:val="center"/>
                </w:tcPr>
                <w:p w14:paraId="6EE7BCF8">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olor w:val="auto"/>
                      <w:sz w:val="21"/>
                      <w:szCs w:val="21"/>
                      <w:highlight w:val="none"/>
                      <w:lang w:val="en-US" w:eastAsia="zh-CN"/>
                    </w:rPr>
                  </w:pPr>
                  <w:r>
                    <w:rPr>
                      <w:rFonts w:hint="eastAsia" w:eastAsia="宋体" w:cs="Times New Roman"/>
                      <w:color w:val="auto"/>
                      <w:kern w:val="2"/>
                      <w:sz w:val="21"/>
                      <w:szCs w:val="21"/>
                      <w:highlight w:val="none"/>
                      <w:lang w:val="en-US" w:eastAsia="zh-CN" w:bidi="ar-SA"/>
                    </w:rPr>
                    <w:t>袋式除尘器</w:t>
                  </w:r>
                </w:p>
              </w:tc>
              <w:tc>
                <w:tcPr>
                  <w:tcW w:w="327" w:type="pct"/>
                  <w:tcBorders>
                    <w:tl2br w:val="nil"/>
                    <w:tr2bl w:val="nil"/>
                  </w:tcBorders>
                  <w:shd w:val="clear" w:color="auto" w:fill="auto"/>
                  <w:noWrap w:val="0"/>
                  <w:vAlign w:val="center"/>
                </w:tcPr>
                <w:p w14:paraId="0A9221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集气罩+袋式除尘器</w:t>
                  </w:r>
                </w:p>
              </w:tc>
              <w:tc>
                <w:tcPr>
                  <w:tcW w:w="252" w:type="pct"/>
                  <w:tcBorders>
                    <w:tl2br w:val="nil"/>
                    <w:tr2bl w:val="nil"/>
                  </w:tcBorders>
                  <w:shd w:val="clear" w:color="auto" w:fill="auto"/>
                  <w:noWrap w:val="0"/>
                  <w:vAlign w:val="center"/>
                </w:tcPr>
                <w:p w14:paraId="1DDFFBFC">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olor w:val="auto"/>
                      <w:sz w:val="21"/>
                      <w:szCs w:val="21"/>
                      <w:highlight w:val="none"/>
                      <w:lang w:val="en-US" w:eastAsia="zh-CN"/>
                    </w:rPr>
                  </w:pPr>
                  <w:r>
                    <w:rPr>
                      <w:rFonts w:hint="eastAsia"/>
                      <w:color w:val="auto"/>
                      <w:sz w:val="21"/>
                      <w:szCs w:val="21"/>
                      <w:highlight w:val="none"/>
                      <w:lang w:val="en-US" w:eastAsia="zh-CN"/>
                    </w:rPr>
                    <w:t>风量</w:t>
                  </w:r>
                </w:p>
              </w:tc>
              <w:tc>
                <w:tcPr>
                  <w:tcW w:w="252" w:type="pct"/>
                  <w:tcBorders>
                    <w:tl2br w:val="nil"/>
                    <w:tr2bl w:val="nil"/>
                  </w:tcBorders>
                  <w:noWrap w:val="0"/>
                  <w:vAlign w:val="center"/>
                </w:tcPr>
                <w:p w14:paraId="273C04BA">
                  <w:pPr>
                    <w:pStyle w:val="59"/>
                    <w:keepNext w:val="0"/>
                    <w:keepLines w:val="0"/>
                    <w:pageBreakBefore w:val="0"/>
                    <w:widowControl w:val="0"/>
                    <w:kinsoku/>
                    <w:wordWrap/>
                    <w:overflowPunct/>
                    <w:topLinePunct w:val="0"/>
                    <w:autoSpaceDE/>
                    <w:autoSpaceDN/>
                    <w:bidi w:val="0"/>
                    <w:adjustRightInd/>
                    <w:snapToGrid/>
                    <w:spacing w:line="240" w:lineRule="auto"/>
                    <w:rPr>
                      <w:rFonts w:hint="default" w:eastAsia="宋体"/>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5500</w:t>
                  </w:r>
                </w:p>
              </w:tc>
              <w:tc>
                <w:tcPr>
                  <w:tcW w:w="202" w:type="pct"/>
                  <w:tcBorders>
                    <w:tl2br w:val="nil"/>
                    <w:tr2bl w:val="nil"/>
                  </w:tcBorders>
                  <w:noWrap w:val="0"/>
                  <w:vAlign w:val="center"/>
                </w:tcPr>
                <w:p w14:paraId="0E69B5AC">
                  <w:pPr>
                    <w:pStyle w:val="59"/>
                    <w:keepNext w:val="0"/>
                    <w:keepLines w:val="0"/>
                    <w:pageBreakBefore w:val="0"/>
                    <w:widowControl w:val="0"/>
                    <w:kinsoku/>
                    <w:wordWrap/>
                    <w:overflowPunct/>
                    <w:topLinePunct w:val="0"/>
                    <w:autoSpaceDE/>
                    <w:autoSpaceDN/>
                    <w:bidi w:val="0"/>
                    <w:adjustRightInd/>
                    <w:snapToGrid/>
                    <w:spacing w:line="240" w:lineRule="auto"/>
                    <w:rPr>
                      <w:rFonts w:hint="default" w:eastAsia="宋体"/>
                      <w:color w:val="auto"/>
                      <w:sz w:val="21"/>
                      <w:szCs w:val="21"/>
                      <w:highlight w:val="none"/>
                      <w:lang w:val="en-US" w:eastAsia="zh-CN"/>
                    </w:rPr>
                  </w:pPr>
                  <w:r>
                    <w:rPr>
                      <w:rFonts w:hint="eastAsia" w:eastAsia="宋体" w:cs="Times New Roman"/>
                      <w:color w:val="auto"/>
                      <w:kern w:val="2"/>
                      <w:sz w:val="21"/>
                      <w:szCs w:val="21"/>
                      <w:highlight w:val="none"/>
                      <w:lang w:val="en-US" w:eastAsia="zh-CN" w:bidi="ar-SA"/>
                    </w:rPr>
                    <w:t>m</w:t>
                  </w:r>
                  <w:r>
                    <w:rPr>
                      <w:rFonts w:hint="eastAsia" w:eastAsia="宋体" w:cs="Times New Roman"/>
                      <w:color w:val="auto"/>
                      <w:kern w:val="2"/>
                      <w:sz w:val="21"/>
                      <w:szCs w:val="21"/>
                      <w:highlight w:val="none"/>
                      <w:vertAlign w:val="superscript"/>
                      <w:lang w:val="en-US" w:eastAsia="zh-CN" w:bidi="ar-SA"/>
                    </w:rPr>
                    <w:t>3</w:t>
                  </w:r>
                  <w:r>
                    <w:rPr>
                      <w:rFonts w:hint="eastAsia" w:eastAsia="宋体" w:cs="Times New Roman"/>
                      <w:color w:val="auto"/>
                      <w:kern w:val="2"/>
                      <w:sz w:val="21"/>
                      <w:szCs w:val="21"/>
                      <w:highlight w:val="none"/>
                      <w:vertAlign w:val="baseline"/>
                      <w:lang w:val="en-US" w:eastAsia="zh-CN" w:bidi="ar-SA"/>
                    </w:rPr>
                    <w:t>/h</w:t>
                  </w:r>
                </w:p>
              </w:tc>
              <w:tc>
                <w:tcPr>
                  <w:tcW w:w="300" w:type="pct"/>
                  <w:tcBorders>
                    <w:tl2br w:val="nil"/>
                    <w:tr2bl w:val="nil"/>
                  </w:tcBorders>
                  <w:noWrap w:val="0"/>
                  <w:vAlign w:val="center"/>
                </w:tcPr>
                <w:p w14:paraId="6FDA68F6">
                  <w:pPr>
                    <w:pStyle w:val="59"/>
                    <w:keepNext w:val="0"/>
                    <w:keepLines w:val="0"/>
                    <w:pageBreakBefore w:val="0"/>
                    <w:widowControl w:val="0"/>
                    <w:kinsoku/>
                    <w:wordWrap/>
                    <w:overflowPunct/>
                    <w:topLinePunct w:val="0"/>
                    <w:autoSpaceDE/>
                    <w:autoSpaceDN/>
                    <w:bidi w:val="0"/>
                    <w:adjustRightInd/>
                    <w:snapToGrid/>
                    <w:spacing w:line="240" w:lineRule="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252" w:type="pct"/>
                  <w:tcBorders>
                    <w:tl2br w:val="nil"/>
                    <w:tr2bl w:val="nil"/>
                  </w:tcBorders>
                  <w:noWrap w:val="0"/>
                  <w:vAlign w:val="center"/>
                </w:tcPr>
                <w:p w14:paraId="741B56D7">
                  <w:pPr>
                    <w:pStyle w:val="59"/>
                    <w:keepNext w:val="0"/>
                    <w:keepLines w:val="0"/>
                    <w:pageBreakBefore w:val="0"/>
                    <w:widowControl w:val="0"/>
                    <w:kinsoku/>
                    <w:wordWrap/>
                    <w:overflowPunct/>
                    <w:topLinePunct w:val="0"/>
                    <w:autoSpaceDE/>
                    <w:autoSpaceDN/>
                    <w:bidi w:val="0"/>
                    <w:adjustRightInd/>
                    <w:snapToGrid/>
                    <w:spacing w:line="240" w:lineRule="auto"/>
                    <w:rPr>
                      <w:rFonts w:hint="eastAsia"/>
                      <w:color w:val="auto"/>
                      <w:sz w:val="21"/>
                      <w:szCs w:val="21"/>
                      <w:highlight w:val="none"/>
                    </w:rPr>
                  </w:pPr>
                  <w:r>
                    <w:rPr>
                      <w:rFonts w:hint="eastAsia"/>
                      <w:color w:val="auto"/>
                      <w:sz w:val="21"/>
                      <w:szCs w:val="21"/>
                      <w:highlight w:val="none"/>
                    </w:rPr>
                    <w:t>是</w:t>
                  </w:r>
                </w:p>
              </w:tc>
              <w:tc>
                <w:tcPr>
                  <w:tcW w:w="340" w:type="pct"/>
                  <w:tcBorders>
                    <w:tl2br w:val="nil"/>
                    <w:tr2bl w:val="nil"/>
                  </w:tcBorders>
                  <w:noWrap w:val="0"/>
                  <w:vAlign w:val="center"/>
                </w:tcPr>
                <w:p w14:paraId="6A2F65A3">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rFonts w:hint="eastAsia"/>
                      <w:color w:val="auto"/>
                      <w:sz w:val="21"/>
                      <w:szCs w:val="21"/>
                      <w:highlight w:val="none"/>
                    </w:rPr>
                    <w:t>/</w:t>
                  </w:r>
                </w:p>
              </w:tc>
              <w:tc>
                <w:tcPr>
                  <w:tcW w:w="250" w:type="pct"/>
                  <w:tcBorders>
                    <w:tl2br w:val="nil"/>
                    <w:tr2bl w:val="nil"/>
                  </w:tcBorders>
                  <w:noWrap w:val="0"/>
                  <w:vAlign w:val="center"/>
                </w:tcPr>
                <w:p w14:paraId="2734C5CB">
                  <w:pPr>
                    <w:pStyle w:val="59"/>
                    <w:keepNext w:val="0"/>
                    <w:keepLines w:val="0"/>
                    <w:pageBreakBefore w:val="0"/>
                    <w:widowControl w:val="0"/>
                    <w:kinsoku/>
                    <w:wordWrap/>
                    <w:overflowPunct/>
                    <w:topLinePunct w:val="0"/>
                    <w:autoSpaceDE/>
                    <w:autoSpaceDN/>
                    <w:bidi w:val="0"/>
                    <w:adjustRightInd/>
                    <w:snapToGrid/>
                    <w:spacing w:line="240" w:lineRule="auto"/>
                    <w:rPr>
                      <w:rFonts w:hint="eastAsia" w:eastAsia="宋体"/>
                      <w:color w:val="auto"/>
                      <w:sz w:val="21"/>
                      <w:szCs w:val="21"/>
                      <w:highlight w:val="none"/>
                      <w:lang w:val="en-US" w:eastAsia="zh-CN"/>
                    </w:rPr>
                  </w:pPr>
                  <w:r>
                    <w:rPr>
                      <w:rFonts w:hint="eastAsia" w:eastAsia="宋体" w:cs="Times New Roman"/>
                      <w:color w:val="auto"/>
                      <w:kern w:val="2"/>
                      <w:sz w:val="21"/>
                      <w:szCs w:val="21"/>
                      <w:highlight w:val="none"/>
                      <w:lang w:val="en-US" w:eastAsia="zh-CN" w:bidi="ar-SA"/>
                    </w:rPr>
                    <w:t>DA001</w:t>
                  </w:r>
                </w:p>
              </w:tc>
              <w:tc>
                <w:tcPr>
                  <w:tcW w:w="283" w:type="pct"/>
                  <w:tcBorders>
                    <w:tl2br w:val="nil"/>
                    <w:tr2bl w:val="nil"/>
                  </w:tcBorders>
                  <w:noWrap w:val="0"/>
                  <w:vAlign w:val="center"/>
                </w:tcPr>
                <w:p w14:paraId="278E63F1">
                  <w:pPr>
                    <w:pStyle w:val="59"/>
                    <w:keepNext w:val="0"/>
                    <w:keepLines w:val="0"/>
                    <w:pageBreakBefore w:val="0"/>
                    <w:widowControl w:val="0"/>
                    <w:kinsoku/>
                    <w:wordWrap/>
                    <w:overflowPunct/>
                    <w:topLinePunct w:val="0"/>
                    <w:autoSpaceDE/>
                    <w:autoSpaceDN/>
                    <w:bidi w:val="0"/>
                    <w:adjustRightInd/>
                    <w:snapToGrid/>
                    <w:spacing w:line="240" w:lineRule="auto"/>
                    <w:rPr>
                      <w:rFonts w:hint="eastAsia" w:eastAsia="宋体"/>
                      <w:color w:val="auto"/>
                      <w:sz w:val="21"/>
                      <w:szCs w:val="21"/>
                      <w:highlight w:val="none"/>
                      <w:lang w:val="en-US" w:eastAsia="zh-CN"/>
                    </w:rPr>
                  </w:pPr>
                  <w:r>
                    <w:rPr>
                      <w:rFonts w:hint="eastAsia" w:cs="Times New Roman"/>
                      <w:b w:val="0"/>
                      <w:bCs w:val="0"/>
                      <w:color w:val="auto"/>
                      <w:kern w:val="2"/>
                      <w:sz w:val="21"/>
                      <w:szCs w:val="21"/>
                      <w:highlight w:val="none"/>
                      <w:vertAlign w:val="baseline"/>
                      <w:lang w:val="en-US" w:eastAsia="zh-CN" w:bidi="ar-SA"/>
                    </w:rPr>
                    <w:t>除锈废气</w:t>
                  </w:r>
                  <w:r>
                    <w:rPr>
                      <w:rFonts w:hint="eastAsia" w:cs="Times New Roman"/>
                      <w:sz w:val="21"/>
                      <w:szCs w:val="21"/>
                      <w:highlight w:val="none"/>
                      <w:vertAlign w:val="baseline"/>
                      <w:lang w:val="en-US" w:eastAsia="zh-CN"/>
                    </w:rPr>
                    <w:t>排放筒</w:t>
                  </w:r>
                </w:p>
              </w:tc>
              <w:tc>
                <w:tcPr>
                  <w:tcW w:w="253" w:type="pct"/>
                  <w:tcBorders>
                    <w:tl2br w:val="nil"/>
                    <w:tr2bl w:val="nil"/>
                  </w:tcBorders>
                  <w:noWrap w:val="0"/>
                  <w:vAlign w:val="center"/>
                </w:tcPr>
                <w:p w14:paraId="185391E5">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eastAsia="宋体"/>
                      <w:color w:val="auto"/>
                      <w:sz w:val="21"/>
                      <w:szCs w:val="21"/>
                      <w:highlight w:val="none"/>
                      <w:lang w:val="en-US" w:eastAsia="zh-CN"/>
                    </w:rPr>
                  </w:pPr>
                  <w:r>
                    <w:rPr>
                      <w:rFonts w:hint="eastAsia" w:eastAsia="宋体" w:cs="Times New Roman"/>
                      <w:color w:val="auto"/>
                      <w:kern w:val="2"/>
                      <w:sz w:val="21"/>
                      <w:szCs w:val="21"/>
                      <w:highlight w:val="none"/>
                      <w:lang w:val="en-US" w:eastAsia="zh-CN" w:bidi="ar-SA"/>
                    </w:rPr>
                    <w:t>是</w:t>
                  </w:r>
                </w:p>
              </w:tc>
              <w:tc>
                <w:tcPr>
                  <w:tcW w:w="232" w:type="pct"/>
                  <w:tcBorders>
                    <w:tl2br w:val="nil"/>
                    <w:tr2bl w:val="nil"/>
                  </w:tcBorders>
                  <w:noWrap w:val="0"/>
                  <w:vAlign w:val="center"/>
                </w:tcPr>
                <w:p w14:paraId="6F432497">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eastAsia="宋体"/>
                      <w:color w:val="auto"/>
                      <w:sz w:val="21"/>
                      <w:szCs w:val="21"/>
                      <w:highlight w:val="none"/>
                      <w:lang w:val="en-US" w:eastAsia="zh-CN"/>
                    </w:rPr>
                  </w:pPr>
                  <w:r>
                    <w:rPr>
                      <w:rFonts w:hint="eastAsia" w:eastAsia="宋体" w:cs="Times New Roman"/>
                      <w:color w:val="auto"/>
                      <w:kern w:val="2"/>
                      <w:sz w:val="21"/>
                      <w:szCs w:val="21"/>
                      <w:highlight w:val="none"/>
                      <w:lang w:val="en-US" w:eastAsia="zh-CN" w:bidi="ar-SA"/>
                    </w:rPr>
                    <w:t>一般排放口</w:t>
                  </w:r>
                </w:p>
              </w:tc>
              <w:tc>
                <w:tcPr>
                  <w:tcW w:w="175" w:type="pct"/>
                  <w:tcBorders>
                    <w:tl2br w:val="nil"/>
                    <w:tr2bl w:val="nil"/>
                  </w:tcBorders>
                  <w:noWrap w:val="0"/>
                  <w:vAlign w:val="center"/>
                </w:tcPr>
                <w:p w14:paraId="30A9E79A">
                  <w:pPr>
                    <w:pStyle w:val="59"/>
                    <w:keepNext w:val="0"/>
                    <w:keepLines w:val="0"/>
                    <w:pageBreakBefore w:val="0"/>
                    <w:widowControl w:val="0"/>
                    <w:kinsoku/>
                    <w:wordWrap/>
                    <w:overflowPunct/>
                    <w:topLinePunct w:val="0"/>
                    <w:autoSpaceDE/>
                    <w:autoSpaceDN/>
                    <w:bidi w:val="0"/>
                    <w:adjustRightInd/>
                    <w:snapToGrid/>
                    <w:spacing w:line="240" w:lineRule="auto"/>
                    <w:rPr>
                      <w:color w:val="auto"/>
                      <w:sz w:val="21"/>
                      <w:szCs w:val="21"/>
                      <w:highlight w:val="none"/>
                    </w:rPr>
                  </w:pPr>
                  <w:r>
                    <w:rPr>
                      <w:rFonts w:hint="eastAsia"/>
                      <w:color w:val="auto"/>
                      <w:sz w:val="21"/>
                      <w:szCs w:val="21"/>
                      <w:highlight w:val="none"/>
                    </w:rPr>
                    <w:t>/</w:t>
                  </w:r>
                </w:p>
              </w:tc>
            </w:tr>
            <w:tr w14:paraId="4271F8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70" w:hRule="atLeast"/>
                <w:jc w:val="center"/>
              </w:trPr>
              <w:tc>
                <w:tcPr>
                  <w:tcW w:w="172" w:type="pct"/>
                  <w:tcBorders>
                    <w:tl2br w:val="nil"/>
                    <w:tr2bl w:val="nil"/>
                  </w:tcBorders>
                  <w:noWrap w:val="0"/>
                  <w:vAlign w:val="center"/>
                </w:tcPr>
                <w:p w14:paraId="0ED94C8F">
                  <w:pPr>
                    <w:pStyle w:val="59"/>
                    <w:keepNext w:val="0"/>
                    <w:keepLines w:val="0"/>
                    <w:pageBreakBefore w:val="0"/>
                    <w:widowControl w:val="0"/>
                    <w:kinsoku/>
                    <w:wordWrap/>
                    <w:overflowPunct/>
                    <w:topLinePunct w:val="0"/>
                    <w:autoSpaceDE/>
                    <w:autoSpaceDN/>
                    <w:bidi w:val="0"/>
                    <w:adjustRightInd/>
                    <w:snapToGrid/>
                    <w:spacing w:line="240" w:lineRule="auto"/>
                    <w:rPr>
                      <w:rFonts w:hint="default"/>
                      <w:color w:val="auto"/>
                      <w:sz w:val="21"/>
                      <w:szCs w:val="21"/>
                      <w:highlight w:val="none"/>
                      <w:lang w:val="en-US" w:eastAsia="zh-CN"/>
                    </w:rPr>
                  </w:pPr>
                  <w:r>
                    <w:rPr>
                      <w:rFonts w:hint="eastAsia"/>
                      <w:color w:val="auto"/>
                      <w:sz w:val="21"/>
                      <w:szCs w:val="21"/>
                      <w:highlight w:val="none"/>
                      <w:lang w:val="en-US" w:eastAsia="zh-CN"/>
                    </w:rPr>
                    <w:t>2</w:t>
                  </w:r>
                </w:p>
              </w:tc>
              <w:tc>
                <w:tcPr>
                  <w:tcW w:w="207" w:type="pct"/>
                  <w:tcBorders>
                    <w:tl2br w:val="nil"/>
                    <w:tr2bl w:val="nil"/>
                  </w:tcBorders>
                  <w:noWrap w:val="0"/>
                  <w:vAlign w:val="center"/>
                </w:tcPr>
                <w:p w14:paraId="34E7B04A">
                  <w:pPr>
                    <w:pStyle w:val="59"/>
                    <w:keepNext w:val="0"/>
                    <w:keepLines w:val="0"/>
                    <w:pageBreakBefore w:val="0"/>
                    <w:widowControl w:val="0"/>
                    <w:kinsoku/>
                    <w:wordWrap/>
                    <w:overflowPunct/>
                    <w:topLinePunct w:val="0"/>
                    <w:autoSpaceDE/>
                    <w:autoSpaceDN/>
                    <w:bidi w:val="0"/>
                    <w:adjustRightInd/>
                    <w:snapToGrid/>
                    <w:spacing w:line="240" w:lineRule="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217" w:type="pct"/>
                  <w:tcBorders>
                    <w:tl2br w:val="nil"/>
                    <w:tr2bl w:val="nil"/>
                  </w:tcBorders>
                  <w:noWrap w:val="0"/>
                  <w:vAlign w:val="center"/>
                </w:tcPr>
                <w:p w14:paraId="4A7C27BC">
                  <w:pPr>
                    <w:pStyle w:val="59"/>
                    <w:keepNext w:val="0"/>
                    <w:keepLines w:val="0"/>
                    <w:pageBreakBefore w:val="0"/>
                    <w:widowControl w:val="0"/>
                    <w:kinsoku/>
                    <w:wordWrap/>
                    <w:overflowPunct/>
                    <w:topLinePunct w:val="0"/>
                    <w:autoSpaceDE/>
                    <w:autoSpaceDN/>
                    <w:bidi w:val="0"/>
                    <w:adjustRightInd/>
                    <w:snapToGrid/>
                    <w:spacing w:line="240" w:lineRule="auto"/>
                    <w:rPr>
                      <w:rFonts w:hint="default"/>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1#氢碎炉</w:t>
                  </w:r>
                </w:p>
              </w:tc>
              <w:tc>
                <w:tcPr>
                  <w:tcW w:w="261" w:type="pct"/>
                  <w:tcBorders>
                    <w:tl2br w:val="nil"/>
                    <w:tr2bl w:val="nil"/>
                  </w:tcBorders>
                  <w:noWrap w:val="0"/>
                  <w:vAlign w:val="center"/>
                </w:tcPr>
                <w:p w14:paraId="52CBB3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氢碎</w:t>
                  </w:r>
                  <w:r>
                    <w:rPr>
                      <w:rFonts w:hint="eastAsia" w:cs="Times New Roman"/>
                      <w:b w:val="0"/>
                      <w:bCs w:val="0"/>
                      <w:color w:val="auto"/>
                      <w:kern w:val="2"/>
                      <w:sz w:val="21"/>
                      <w:szCs w:val="21"/>
                      <w:highlight w:val="none"/>
                      <w:vertAlign w:val="baseline"/>
                      <w:lang w:val="en-US" w:eastAsia="zh-CN" w:bidi="ar-SA"/>
                    </w:rPr>
                    <w:t>工序</w:t>
                  </w:r>
                </w:p>
              </w:tc>
              <w:tc>
                <w:tcPr>
                  <w:tcW w:w="266" w:type="pct"/>
                  <w:tcBorders>
                    <w:tl2br w:val="nil"/>
                    <w:tr2bl w:val="nil"/>
                  </w:tcBorders>
                  <w:noWrap w:val="0"/>
                  <w:vAlign w:val="center"/>
                </w:tcPr>
                <w:p w14:paraId="02905F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223" w:type="pct"/>
                  <w:tcBorders>
                    <w:tl2br w:val="nil"/>
                    <w:tr2bl w:val="nil"/>
                  </w:tcBorders>
                  <w:noWrap w:val="0"/>
                  <w:vAlign w:val="center"/>
                </w:tcPr>
                <w:p w14:paraId="4538B0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有组织</w:t>
                  </w:r>
                </w:p>
              </w:tc>
              <w:tc>
                <w:tcPr>
                  <w:tcW w:w="270" w:type="pct"/>
                  <w:tcBorders>
                    <w:tl2br w:val="nil"/>
                    <w:tr2bl w:val="nil"/>
                  </w:tcBorders>
                  <w:noWrap w:val="0"/>
                  <w:vAlign w:val="center"/>
                </w:tcPr>
                <w:p w14:paraId="4086A0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eastAsia="宋体"/>
                      <w:color w:val="auto"/>
                      <w:sz w:val="21"/>
                      <w:szCs w:val="21"/>
                      <w:highlight w:val="none"/>
                      <w:lang w:val="en-US" w:eastAsia="zh-CN"/>
                    </w:rPr>
                    <w:t>TA002</w:t>
                  </w:r>
                </w:p>
              </w:tc>
              <w:tc>
                <w:tcPr>
                  <w:tcW w:w="262" w:type="pct"/>
                  <w:tcBorders>
                    <w:tl2br w:val="nil"/>
                    <w:tr2bl w:val="nil"/>
                  </w:tcBorders>
                  <w:shd w:val="clear" w:color="auto" w:fill="auto"/>
                  <w:noWrap w:val="0"/>
                  <w:vAlign w:val="center"/>
                </w:tcPr>
                <w:p w14:paraId="409FFDD0">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超细粉过滤器</w:t>
                  </w:r>
                </w:p>
              </w:tc>
              <w:tc>
                <w:tcPr>
                  <w:tcW w:w="327" w:type="pct"/>
                  <w:tcBorders>
                    <w:tl2br w:val="nil"/>
                    <w:tr2bl w:val="nil"/>
                  </w:tcBorders>
                  <w:shd w:val="clear" w:color="auto" w:fill="auto"/>
                  <w:noWrap w:val="0"/>
                  <w:vAlign w:val="center"/>
                </w:tcPr>
                <w:p w14:paraId="1907DC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auto"/>
                      <w:sz w:val="21"/>
                      <w:szCs w:val="21"/>
                      <w:highlight w:val="none"/>
                      <w:lang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超细粉过滤器过滤</w:t>
                  </w:r>
                </w:p>
              </w:tc>
              <w:tc>
                <w:tcPr>
                  <w:tcW w:w="252" w:type="pct"/>
                  <w:tcBorders>
                    <w:tl2br w:val="nil"/>
                    <w:tr2bl w:val="nil"/>
                  </w:tcBorders>
                  <w:shd w:val="clear" w:color="auto" w:fill="auto"/>
                  <w:noWrap w:val="0"/>
                  <w:vAlign w:val="center"/>
                </w:tcPr>
                <w:p w14:paraId="7AA39811">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color w:val="auto"/>
                      <w:sz w:val="21"/>
                      <w:szCs w:val="21"/>
                      <w:highlight w:val="none"/>
                      <w:lang w:val="en-US" w:eastAsia="zh-CN"/>
                    </w:rPr>
                  </w:pPr>
                  <w:r>
                    <w:rPr>
                      <w:rFonts w:hint="eastAsia"/>
                      <w:color w:val="auto"/>
                      <w:sz w:val="21"/>
                      <w:szCs w:val="21"/>
                      <w:highlight w:val="none"/>
                      <w:lang w:val="en-US" w:eastAsia="zh-CN"/>
                    </w:rPr>
                    <w:t>风量</w:t>
                  </w:r>
                </w:p>
              </w:tc>
              <w:tc>
                <w:tcPr>
                  <w:tcW w:w="252" w:type="pct"/>
                  <w:tcBorders>
                    <w:tl2br w:val="nil"/>
                    <w:tr2bl w:val="nil"/>
                  </w:tcBorders>
                  <w:noWrap w:val="0"/>
                  <w:vAlign w:val="center"/>
                </w:tcPr>
                <w:p w14:paraId="119165EC">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color w:val="auto"/>
                      <w:sz w:val="21"/>
                      <w:szCs w:val="21"/>
                      <w:highlight w:val="none"/>
                      <w:lang w:val="en-US" w:eastAsia="zh-CN"/>
                    </w:rPr>
                  </w:pPr>
                  <w:r>
                    <w:rPr>
                      <w:rFonts w:hint="eastAsia" w:cs="Times New Roman"/>
                      <w:b w:val="0"/>
                      <w:bCs w:val="0"/>
                      <w:color w:val="auto"/>
                      <w:kern w:val="2"/>
                      <w:sz w:val="21"/>
                      <w:szCs w:val="21"/>
                      <w:highlight w:val="none"/>
                      <w:vertAlign w:val="baseline"/>
                      <w:lang w:val="en-US" w:eastAsia="zh-CN" w:bidi="ar-SA"/>
                    </w:rPr>
                    <w:t>1400</w:t>
                  </w:r>
                </w:p>
              </w:tc>
              <w:tc>
                <w:tcPr>
                  <w:tcW w:w="202" w:type="pct"/>
                  <w:tcBorders>
                    <w:tl2br w:val="nil"/>
                    <w:tr2bl w:val="nil"/>
                  </w:tcBorders>
                  <w:noWrap w:val="0"/>
                  <w:vAlign w:val="center"/>
                </w:tcPr>
                <w:p w14:paraId="05BADB69">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3</w:t>
                  </w:r>
                  <w:r>
                    <w:rPr>
                      <w:rFonts w:hint="eastAsia" w:ascii="Times New Roman" w:hAnsi="Times New Roman" w:eastAsia="宋体" w:cs="Times New Roman"/>
                      <w:b w:val="0"/>
                      <w:bCs w:val="0"/>
                      <w:color w:val="auto"/>
                      <w:kern w:val="2"/>
                      <w:sz w:val="21"/>
                      <w:szCs w:val="21"/>
                      <w:highlight w:val="none"/>
                      <w:vertAlign w:val="baseline"/>
                      <w:lang w:val="en-US" w:eastAsia="zh-CN" w:bidi="ar-SA"/>
                    </w:rPr>
                    <w:t>/</w:t>
                  </w:r>
                  <w:r>
                    <w:rPr>
                      <w:rFonts w:hint="eastAsia" w:cs="Times New Roman"/>
                      <w:b w:val="0"/>
                      <w:bCs w:val="0"/>
                      <w:color w:val="auto"/>
                      <w:kern w:val="2"/>
                      <w:sz w:val="21"/>
                      <w:szCs w:val="21"/>
                      <w:highlight w:val="none"/>
                      <w:vertAlign w:val="baseline"/>
                      <w:lang w:val="en-US" w:eastAsia="zh-CN" w:bidi="ar-SA"/>
                    </w:rPr>
                    <w:t>h</w:t>
                  </w:r>
                </w:p>
              </w:tc>
              <w:tc>
                <w:tcPr>
                  <w:tcW w:w="300" w:type="pct"/>
                  <w:tcBorders>
                    <w:tl2br w:val="nil"/>
                    <w:tr2bl w:val="nil"/>
                  </w:tcBorders>
                  <w:noWrap w:val="0"/>
                  <w:vAlign w:val="center"/>
                </w:tcPr>
                <w:p w14:paraId="0AD79971">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252" w:type="pct"/>
                  <w:tcBorders>
                    <w:tl2br w:val="nil"/>
                    <w:tr2bl w:val="nil"/>
                  </w:tcBorders>
                  <w:noWrap w:val="0"/>
                  <w:vAlign w:val="center"/>
                </w:tcPr>
                <w:p w14:paraId="2D4A9AB0">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是</w:t>
                  </w:r>
                </w:p>
              </w:tc>
              <w:tc>
                <w:tcPr>
                  <w:tcW w:w="340" w:type="pct"/>
                  <w:tcBorders>
                    <w:tl2br w:val="nil"/>
                    <w:tr2bl w:val="nil"/>
                  </w:tcBorders>
                  <w:noWrap w:val="0"/>
                  <w:vAlign w:val="center"/>
                </w:tcPr>
                <w:p w14:paraId="045D2FE4">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w:t>
                  </w:r>
                </w:p>
              </w:tc>
              <w:tc>
                <w:tcPr>
                  <w:tcW w:w="250" w:type="pct"/>
                  <w:tcBorders>
                    <w:tl2br w:val="nil"/>
                    <w:tr2bl w:val="nil"/>
                  </w:tcBorders>
                  <w:noWrap w:val="0"/>
                  <w:vAlign w:val="center"/>
                </w:tcPr>
                <w:p w14:paraId="00AC0C9F">
                  <w:pPr>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DA002</w:t>
                  </w:r>
                </w:p>
              </w:tc>
              <w:tc>
                <w:tcPr>
                  <w:tcW w:w="283" w:type="pct"/>
                  <w:tcBorders>
                    <w:tl2br w:val="nil"/>
                    <w:tr2bl w:val="nil"/>
                  </w:tcBorders>
                  <w:noWrap w:val="0"/>
                  <w:vAlign w:val="center"/>
                </w:tcPr>
                <w:p w14:paraId="204A1E39">
                  <w:pPr>
                    <w:pStyle w:val="59"/>
                    <w:keepNext w:val="0"/>
                    <w:keepLines w:val="0"/>
                    <w:pageBreakBefore w:val="0"/>
                    <w:widowControl w:val="0"/>
                    <w:kinsoku/>
                    <w:wordWrap/>
                    <w:overflowPunct/>
                    <w:topLinePunct w:val="0"/>
                    <w:autoSpaceDE/>
                    <w:autoSpaceDN/>
                    <w:bidi w:val="0"/>
                    <w:adjustRightInd/>
                    <w:snapToGrid/>
                    <w:spacing w:line="240" w:lineRule="auto"/>
                    <w:rPr>
                      <w:rFonts w:hint="default"/>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1#氢碎废气排放筒</w:t>
                  </w:r>
                </w:p>
              </w:tc>
              <w:tc>
                <w:tcPr>
                  <w:tcW w:w="253" w:type="pct"/>
                  <w:tcBorders>
                    <w:tl2br w:val="nil"/>
                    <w:tr2bl w:val="nil"/>
                  </w:tcBorders>
                  <w:noWrap w:val="0"/>
                  <w:vAlign w:val="center"/>
                </w:tcPr>
                <w:p w14:paraId="4ADA1A4B">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是</w:t>
                  </w:r>
                </w:p>
              </w:tc>
              <w:tc>
                <w:tcPr>
                  <w:tcW w:w="232" w:type="pct"/>
                  <w:tcBorders>
                    <w:tl2br w:val="nil"/>
                    <w:tr2bl w:val="nil"/>
                  </w:tcBorders>
                  <w:noWrap w:val="0"/>
                  <w:vAlign w:val="center"/>
                </w:tcPr>
                <w:p w14:paraId="19637D2D">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一般排放口</w:t>
                  </w:r>
                </w:p>
              </w:tc>
              <w:tc>
                <w:tcPr>
                  <w:tcW w:w="175" w:type="pct"/>
                  <w:tcBorders>
                    <w:tl2br w:val="nil"/>
                    <w:tr2bl w:val="nil"/>
                  </w:tcBorders>
                  <w:noWrap w:val="0"/>
                  <w:vAlign w:val="center"/>
                </w:tcPr>
                <w:p w14:paraId="76A261A3">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w:t>
                  </w:r>
                </w:p>
              </w:tc>
            </w:tr>
            <w:tr w14:paraId="10E7BB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70" w:hRule="atLeast"/>
                <w:jc w:val="center"/>
              </w:trPr>
              <w:tc>
                <w:tcPr>
                  <w:tcW w:w="172" w:type="pct"/>
                  <w:tcBorders>
                    <w:tl2br w:val="nil"/>
                    <w:tr2bl w:val="nil"/>
                  </w:tcBorders>
                  <w:noWrap w:val="0"/>
                  <w:vAlign w:val="center"/>
                </w:tcPr>
                <w:p w14:paraId="0C1F8978">
                  <w:pPr>
                    <w:pStyle w:val="59"/>
                    <w:keepNext w:val="0"/>
                    <w:keepLines w:val="0"/>
                    <w:pageBreakBefore w:val="0"/>
                    <w:widowControl w:val="0"/>
                    <w:kinsoku/>
                    <w:wordWrap/>
                    <w:overflowPunct/>
                    <w:topLinePunct w:val="0"/>
                    <w:autoSpaceDE/>
                    <w:autoSpaceDN/>
                    <w:bidi w:val="0"/>
                    <w:adjustRightInd/>
                    <w:snapToGrid/>
                    <w:spacing w:line="240" w:lineRule="auto"/>
                    <w:rPr>
                      <w:rFonts w:hint="default"/>
                      <w:color w:val="auto"/>
                      <w:sz w:val="21"/>
                      <w:szCs w:val="21"/>
                      <w:highlight w:val="none"/>
                      <w:lang w:val="en-US" w:eastAsia="zh-CN"/>
                    </w:rPr>
                  </w:pPr>
                  <w:r>
                    <w:rPr>
                      <w:rFonts w:hint="eastAsia"/>
                      <w:color w:val="auto"/>
                      <w:sz w:val="21"/>
                      <w:szCs w:val="21"/>
                      <w:highlight w:val="none"/>
                      <w:lang w:val="en-US" w:eastAsia="zh-CN"/>
                    </w:rPr>
                    <w:t>3</w:t>
                  </w:r>
                </w:p>
              </w:tc>
              <w:tc>
                <w:tcPr>
                  <w:tcW w:w="207" w:type="pct"/>
                  <w:tcBorders>
                    <w:tl2br w:val="nil"/>
                    <w:tr2bl w:val="nil"/>
                  </w:tcBorders>
                  <w:noWrap w:val="0"/>
                  <w:vAlign w:val="center"/>
                </w:tcPr>
                <w:p w14:paraId="3ABC673E">
                  <w:pPr>
                    <w:pStyle w:val="59"/>
                    <w:keepNext w:val="0"/>
                    <w:keepLines w:val="0"/>
                    <w:pageBreakBefore w:val="0"/>
                    <w:widowControl w:val="0"/>
                    <w:kinsoku/>
                    <w:wordWrap/>
                    <w:overflowPunct/>
                    <w:topLinePunct w:val="0"/>
                    <w:autoSpaceDE/>
                    <w:autoSpaceDN/>
                    <w:bidi w:val="0"/>
                    <w:adjustRightInd/>
                    <w:snapToGrid/>
                    <w:spacing w:line="240" w:lineRule="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217" w:type="pct"/>
                  <w:tcBorders>
                    <w:tl2br w:val="nil"/>
                    <w:tr2bl w:val="nil"/>
                  </w:tcBorders>
                  <w:noWrap w:val="0"/>
                  <w:vAlign w:val="center"/>
                </w:tcPr>
                <w:p w14:paraId="70CBDAEE">
                  <w:pPr>
                    <w:pStyle w:val="59"/>
                    <w:keepNext w:val="0"/>
                    <w:keepLines w:val="0"/>
                    <w:pageBreakBefore w:val="0"/>
                    <w:widowControl w:val="0"/>
                    <w:kinsoku/>
                    <w:wordWrap/>
                    <w:overflowPunct/>
                    <w:topLinePunct w:val="0"/>
                    <w:autoSpaceDE/>
                    <w:autoSpaceDN/>
                    <w:bidi w:val="0"/>
                    <w:adjustRightInd/>
                    <w:snapToGrid/>
                    <w:spacing w:line="240" w:lineRule="auto"/>
                    <w:rPr>
                      <w:rFonts w:hint="default"/>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2#氢碎炉</w:t>
                  </w:r>
                </w:p>
              </w:tc>
              <w:tc>
                <w:tcPr>
                  <w:tcW w:w="261" w:type="pct"/>
                  <w:tcBorders>
                    <w:tl2br w:val="nil"/>
                    <w:tr2bl w:val="nil"/>
                  </w:tcBorders>
                  <w:noWrap w:val="0"/>
                  <w:vAlign w:val="center"/>
                </w:tcPr>
                <w:p w14:paraId="1AD7A2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氢碎</w:t>
                  </w:r>
                  <w:r>
                    <w:rPr>
                      <w:rFonts w:hint="eastAsia" w:cs="Times New Roman"/>
                      <w:b w:val="0"/>
                      <w:bCs w:val="0"/>
                      <w:color w:val="auto"/>
                      <w:kern w:val="2"/>
                      <w:sz w:val="21"/>
                      <w:szCs w:val="21"/>
                      <w:highlight w:val="none"/>
                      <w:vertAlign w:val="baseline"/>
                      <w:lang w:val="en-US" w:eastAsia="zh-CN" w:bidi="ar-SA"/>
                    </w:rPr>
                    <w:t>工序</w:t>
                  </w:r>
                </w:p>
              </w:tc>
              <w:tc>
                <w:tcPr>
                  <w:tcW w:w="266" w:type="pct"/>
                  <w:tcBorders>
                    <w:tl2br w:val="nil"/>
                    <w:tr2bl w:val="nil"/>
                  </w:tcBorders>
                  <w:noWrap w:val="0"/>
                  <w:vAlign w:val="center"/>
                </w:tcPr>
                <w:p w14:paraId="7C0F04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223" w:type="pct"/>
                  <w:tcBorders>
                    <w:tl2br w:val="nil"/>
                    <w:tr2bl w:val="nil"/>
                  </w:tcBorders>
                  <w:noWrap w:val="0"/>
                  <w:vAlign w:val="center"/>
                </w:tcPr>
                <w:p w14:paraId="1C0E53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有组织</w:t>
                  </w:r>
                </w:p>
              </w:tc>
              <w:tc>
                <w:tcPr>
                  <w:tcW w:w="270" w:type="pct"/>
                  <w:tcBorders>
                    <w:tl2br w:val="nil"/>
                    <w:tr2bl w:val="nil"/>
                  </w:tcBorders>
                  <w:noWrap w:val="0"/>
                  <w:vAlign w:val="center"/>
                </w:tcPr>
                <w:p w14:paraId="3B293C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default" w:eastAsia="宋体" w:cs="Times New Roman"/>
                      <w:color w:val="auto"/>
                      <w:kern w:val="2"/>
                      <w:sz w:val="21"/>
                      <w:szCs w:val="21"/>
                      <w:highlight w:val="none"/>
                      <w:lang w:val="en-US" w:eastAsia="zh-CN" w:bidi="ar-SA"/>
                    </w:rPr>
                  </w:pPr>
                  <w:r>
                    <w:rPr>
                      <w:rFonts w:hint="eastAsia" w:eastAsia="宋体"/>
                      <w:color w:val="auto"/>
                      <w:sz w:val="21"/>
                      <w:szCs w:val="21"/>
                      <w:highlight w:val="none"/>
                      <w:lang w:val="en-US" w:eastAsia="zh-CN"/>
                    </w:rPr>
                    <w:t>TA002</w:t>
                  </w:r>
                </w:p>
              </w:tc>
              <w:tc>
                <w:tcPr>
                  <w:tcW w:w="262" w:type="pct"/>
                  <w:tcBorders>
                    <w:tl2br w:val="nil"/>
                    <w:tr2bl w:val="nil"/>
                  </w:tcBorders>
                  <w:shd w:val="clear" w:color="auto" w:fill="auto"/>
                  <w:noWrap w:val="0"/>
                  <w:vAlign w:val="center"/>
                </w:tcPr>
                <w:p w14:paraId="5F5C4FF4">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超细粉过滤器</w:t>
                  </w:r>
                </w:p>
              </w:tc>
              <w:tc>
                <w:tcPr>
                  <w:tcW w:w="327" w:type="pct"/>
                  <w:tcBorders>
                    <w:tl2br w:val="nil"/>
                    <w:tr2bl w:val="nil"/>
                  </w:tcBorders>
                  <w:shd w:val="clear" w:color="auto" w:fill="auto"/>
                  <w:noWrap w:val="0"/>
                  <w:vAlign w:val="center"/>
                </w:tcPr>
                <w:p w14:paraId="4E9DBA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超细粉过滤器过滤</w:t>
                  </w:r>
                </w:p>
              </w:tc>
              <w:tc>
                <w:tcPr>
                  <w:tcW w:w="252" w:type="pct"/>
                  <w:tcBorders>
                    <w:tl2br w:val="nil"/>
                    <w:tr2bl w:val="nil"/>
                  </w:tcBorders>
                  <w:shd w:val="clear" w:color="auto" w:fill="auto"/>
                  <w:noWrap w:val="0"/>
                  <w:vAlign w:val="center"/>
                </w:tcPr>
                <w:p w14:paraId="7AADE452">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color w:val="auto"/>
                      <w:sz w:val="21"/>
                      <w:szCs w:val="21"/>
                      <w:highlight w:val="none"/>
                      <w:lang w:val="en-US" w:eastAsia="zh-CN"/>
                    </w:rPr>
                  </w:pPr>
                  <w:r>
                    <w:rPr>
                      <w:rFonts w:hint="eastAsia"/>
                      <w:color w:val="auto"/>
                      <w:sz w:val="21"/>
                      <w:szCs w:val="21"/>
                      <w:highlight w:val="none"/>
                      <w:lang w:val="en-US" w:eastAsia="zh-CN"/>
                    </w:rPr>
                    <w:t>风量</w:t>
                  </w:r>
                </w:p>
              </w:tc>
              <w:tc>
                <w:tcPr>
                  <w:tcW w:w="252" w:type="pct"/>
                  <w:tcBorders>
                    <w:tl2br w:val="nil"/>
                    <w:tr2bl w:val="nil"/>
                  </w:tcBorders>
                  <w:noWrap w:val="0"/>
                  <w:vAlign w:val="center"/>
                </w:tcPr>
                <w:p w14:paraId="2CC78905">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color w:val="auto"/>
                      <w:sz w:val="21"/>
                      <w:szCs w:val="21"/>
                      <w:highlight w:val="none"/>
                      <w:lang w:val="en-US" w:eastAsia="zh-CN"/>
                    </w:rPr>
                  </w:pPr>
                  <w:r>
                    <w:rPr>
                      <w:rFonts w:hint="eastAsia" w:cs="Times New Roman"/>
                      <w:b w:val="0"/>
                      <w:bCs w:val="0"/>
                      <w:color w:val="auto"/>
                      <w:kern w:val="2"/>
                      <w:sz w:val="21"/>
                      <w:szCs w:val="21"/>
                      <w:highlight w:val="none"/>
                      <w:vertAlign w:val="baseline"/>
                      <w:lang w:val="en-US" w:eastAsia="zh-CN" w:bidi="ar-SA"/>
                    </w:rPr>
                    <w:t>1400</w:t>
                  </w:r>
                </w:p>
              </w:tc>
              <w:tc>
                <w:tcPr>
                  <w:tcW w:w="202" w:type="pct"/>
                  <w:tcBorders>
                    <w:tl2br w:val="nil"/>
                    <w:tr2bl w:val="nil"/>
                  </w:tcBorders>
                  <w:noWrap w:val="0"/>
                  <w:vAlign w:val="center"/>
                </w:tcPr>
                <w:p w14:paraId="67F4EECA">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3</w:t>
                  </w:r>
                  <w:r>
                    <w:rPr>
                      <w:rFonts w:hint="eastAsia" w:ascii="Times New Roman" w:hAnsi="Times New Roman" w:eastAsia="宋体" w:cs="Times New Roman"/>
                      <w:b w:val="0"/>
                      <w:bCs w:val="0"/>
                      <w:color w:val="auto"/>
                      <w:kern w:val="2"/>
                      <w:sz w:val="21"/>
                      <w:szCs w:val="21"/>
                      <w:highlight w:val="none"/>
                      <w:vertAlign w:val="baseline"/>
                      <w:lang w:val="en-US" w:eastAsia="zh-CN" w:bidi="ar-SA"/>
                    </w:rPr>
                    <w:t>/</w:t>
                  </w:r>
                  <w:r>
                    <w:rPr>
                      <w:rFonts w:hint="eastAsia" w:cs="Times New Roman"/>
                      <w:b w:val="0"/>
                      <w:bCs w:val="0"/>
                      <w:color w:val="auto"/>
                      <w:kern w:val="2"/>
                      <w:sz w:val="21"/>
                      <w:szCs w:val="21"/>
                      <w:highlight w:val="none"/>
                      <w:vertAlign w:val="baseline"/>
                      <w:lang w:val="en-US" w:eastAsia="zh-CN" w:bidi="ar-SA"/>
                    </w:rPr>
                    <w:t>h</w:t>
                  </w:r>
                </w:p>
              </w:tc>
              <w:tc>
                <w:tcPr>
                  <w:tcW w:w="300" w:type="pct"/>
                  <w:tcBorders>
                    <w:tl2br w:val="nil"/>
                    <w:tr2bl w:val="nil"/>
                  </w:tcBorders>
                  <w:shd w:val="clear" w:color="auto" w:fill="auto"/>
                  <w:noWrap w:val="0"/>
                  <w:vAlign w:val="center"/>
                </w:tcPr>
                <w:p w14:paraId="00E66C7C">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w:t>
                  </w:r>
                </w:p>
              </w:tc>
              <w:tc>
                <w:tcPr>
                  <w:tcW w:w="252" w:type="pct"/>
                  <w:tcBorders>
                    <w:tl2br w:val="nil"/>
                    <w:tr2bl w:val="nil"/>
                  </w:tcBorders>
                  <w:shd w:val="clear" w:color="auto" w:fill="auto"/>
                  <w:noWrap w:val="0"/>
                  <w:vAlign w:val="center"/>
                </w:tcPr>
                <w:p w14:paraId="71CF4AFA">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是</w:t>
                  </w:r>
                </w:p>
              </w:tc>
              <w:tc>
                <w:tcPr>
                  <w:tcW w:w="340" w:type="pct"/>
                  <w:tcBorders>
                    <w:tl2br w:val="nil"/>
                    <w:tr2bl w:val="nil"/>
                  </w:tcBorders>
                  <w:shd w:val="clear" w:color="auto" w:fill="auto"/>
                  <w:noWrap w:val="0"/>
                  <w:vAlign w:val="center"/>
                </w:tcPr>
                <w:p w14:paraId="79503E52">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w:t>
                  </w:r>
                </w:p>
              </w:tc>
              <w:tc>
                <w:tcPr>
                  <w:tcW w:w="250" w:type="pct"/>
                  <w:tcBorders>
                    <w:tl2br w:val="nil"/>
                    <w:tr2bl w:val="nil"/>
                  </w:tcBorders>
                  <w:noWrap w:val="0"/>
                  <w:vAlign w:val="center"/>
                </w:tcPr>
                <w:p w14:paraId="54386B65">
                  <w:pPr>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DA003</w:t>
                  </w:r>
                </w:p>
              </w:tc>
              <w:tc>
                <w:tcPr>
                  <w:tcW w:w="283" w:type="pct"/>
                  <w:tcBorders>
                    <w:tl2br w:val="nil"/>
                    <w:tr2bl w:val="nil"/>
                  </w:tcBorders>
                  <w:noWrap w:val="0"/>
                  <w:vAlign w:val="center"/>
                </w:tcPr>
                <w:p w14:paraId="7D9D1812">
                  <w:pPr>
                    <w:pStyle w:val="59"/>
                    <w:keepNext w:val="0"/>
                    <w:keepLines w:val="0"/>
                    <w:pageBreakBefore w:val="0"/>
                    <w:widowControl w:val="0"/>
                    <w:kinsoku/>
                    <w:wordWrap/>
                    <w:overflowPunct/>
                    <w:topLinePunct w:val="0"/>
                    <w:autoSpaceDE/>
                    <w:autoSpaceDN/>
                    <w:bidi w:val="0"/>
                    <w:adjustRightInd/>
                    <w:snapToGrid/>
                    <w:spacing w:line="240" w:lineRule="auto"/>
                    <w:rPr>
                      <w:rFonts w:hint="default"/>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2#氢碎废气排放筒</w:t>
                  </w:r>
                </w:p>
              </w:tc>
              <w:tc>
                <w:tcPr>
                  <w:tcW w:w="253" w:type="pct"/>
                  <w:tcBorders>
                    <w:tl2br w:val="nil"/>
                    <w:tr2bl w:val="nil"/>
                  </w:tcBorders>
                  <w:noWrap w:val="0"/>
                  <w:vAlign w:val="center"/>
                </w:tcPr>
                <w:p w14:paraId="2C0619F2">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是</w:t>
                  </w:r>
                </w:p>
              </w:tc>
              <w:tc>
                <w:tcPr>
                  <w:tcW w:w="232" w:type="pct"/>
                  <w:tcBorders>
                    <w:tl2br w:val="nil"/>
                    <w:tr2bl w:val="nil"/>
                  </w:tcBorders>
                  <w:noWrap w:val="0"/>
                  <w:vAlign w:val="center"/>
                </w:tcPr>
                <w:p w14:paraId="0511D958">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一般排放口</w:t>
                  </w:r>
                </w:p>
              </w:tc>
              <w:tc>
                <w:tcPr>
                  <w:tcW w:w="175" w:type="pct"/>
                  <w:tcBorders>
                    <w:tl2br w:val="nil"/>
                    <w:tr2bl w:val="nil"/>
                  </w:tcBorders>
                  <w:noWrap w:val="0"/>
                  <w:vAlign w:val="center"/>
                </w:tcPr>
                <w:p w14:paraId="15663A2E">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r>
            <w:tr w14:paraId="496B64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70" w:hRule="atLeast"/>
                <w:jc w:val="center"/>
              </w:trPr>
              <w:tc>
                <w:tcPr>
                  <w:tcW w:w="172" w:type="pct"/>
                  <w:tcBorders>
                    <w:tl2br w:val="nil"/>
                    <w:tr2bl w:val="nil"/>
                  </w:tcBorders>
                  <w:shd w:val="clear" w:color="auto" w:fill="auto"/>
                  <w:noWrap w:val="0"/>
                  <w:vAlign w:val="center"/>
                </w:tcPr>
                <w:p w14:paraId="0691E50B">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w:t>
                  </w:r>
                </w:p>
              </w:tc>
              <w:tc>
                <w:tcPr>
                  <w:tcW w:w="207" w:type="pct"/>
                  <w:tcBorders>
                    <w:tl2br w:val="nil"/>
                    <w:tr2bl w:val="nil"/>
                  </w:tcBorders>
                  <w:shd w:val="clear" w:color="auto" w:fill="auto"/>
                  <w:noWrap w:val="0"/>
                  <w:vAlign w:val="center"/>
                </w:tcPr>
                <w:p w14:paraId="08E8B4D2">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w:t>
                  </w:r>
                </w:p>
              </w:tc>
              <w:tc>
                <w:tcPr>
                  <w:tcW w:w="217" w:type="pct"/>
                  <w:tcBorders>
                    <w:tl2br w:val="nil"/>
                    <w:tr2bl w:val="nil"/>
                  </w:tcBorders>
                  <w:shd w:val="clear" w:color="auto" w:fill="auto"/>
                  <w:noWrap w:val="0"/>
                  <w:vAlign w:val="center"/>
                </w:tcPr>
                <w:p w14:paraId="038C4CA8">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等静压机</w:t>
                  </w:r>
                </w:p>
              </w:tc>
              <w:tc>
                <w:tcPr>
                  <w:tcW w:w="261" w:type="pct"/>
                  <w:tcBorders>
                    <w:tl2br w:val="nil"/>
                    <w:tr2bl w:val="nil"/>
                  </w:tcBorders>
                  <w:shd w:val="clear" w:color="auto" w:fill="auto"/>
                  <w:noWrap w:val="0"/>
                  <w:vAlign w:val="center"/>
                </w:tcPr>
                <w:p w14:paraId="55CC1E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cs="Times New Roman"/>
                      <w:b w:val="0"/>
                      <w:bCs w:val="0"/>
                      <w:color w:val="auto"/>
                      <w:kern w:val="2"/>
                      <w:sz w:val="21"/>
                      <w:szCs w:val="21"/>
                      <w:highlight w:val="none"/>
                      <w:vertAlign w:val="baseline"/>
                      <w:lang w:val="en-US" w:eastAsia="zh-CN" w:bidi="ar-SA"/>
                    </w:rPr>
                    <w:t>成型工序</w:t>
                  </w:r>
                </w:p>
              </w:tc>
              <w:tc>
                <w:tcPr>
                  <w:tcW w:w="266" w:type="pct"/>
                  <w:tcBorders>
                    <w:tl2br w:val="nil"/>
                    <w:tr2bl w:val="nil"/>
                  </w:tcBorders>
                  <w:shd w:val="clear" w:color="auto" w:fill="auto"/>
                  <w:noWrap w:val="0"/>
                  <w:vAlign w:val="center"/>
                </w:tcPr>
                <w:p w14:paraId="4C43B8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223" w:type="pct"/>
                  <w:tcBorders>
                    <w:tl2br w:val="nil"/>
                    <w:tr2bl w:val="nil"/>
                  </w:tcBorders>
                  <w:shd w:val="clear" w:color="auto" w:fill="auto"/>
                  <w:noWrap w:val="0"/>
                  <w:vAlign w:val="center"/>
                </w:tcPr>
                <w:p w14:paraId="13BB19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有组织</w:t>
                  </w:r>
                </w:p>
              </w:tc>
              <w:tc>
                <w:tcPr>
                  <w:tcW w:w="270" w:type="pct"/>
                  <w:tcBorders>
                    <w:tl2br w:val="nil"/>
                    <w:tr2bl w:val="nil"/>
                  </w:tcBorders>
                  <w:shd w:val="clear" w:color="auto" w:fill="auto"/>
                  <w:noWrap w:val="0"/>
                  <w:vAlign w:val="center"/>
                </w:tcPr>
                <w:p w14:paraId="46B57E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eastAsia="宋体"/>
                      <w:color w:val="auto"/>
                      <w:sz w:val="21"/>
                      <w:szCs w:val="21"/>
                      <w:highlight w:val="none"/>
                      <w:lang w:val="en-US" w:eastAsia="zh-CN"/>
                    </w:rPr>
                    <w:t>TA00</w:t>
                  </w:r>
                  <w:r>
                    <w:rPr>
                      <w:rFonts w:hint="eastAsia"/>
                      <w:color w:val="auto"/>
                      <w:sz w:val="21"/>
                      <w:szCs w:val="21"/>
                      <w:highlight w:val="none"/>
                      <w:lang w:val="en-US" w:eastAsia="zh-CN"/>
                    </w:rPr>
                    <w:t>3</w:t>
                  </w:r>
                </w:p>
              </w:tc>
              <w:tc>
                <w:tcPr>
                  <w:tcW w:w="262" w:type="pct"/>
                  <w:tcBorders>
                    <w:tl2br w:val="nil"/>
                    <w:tr2bl w:val="nil"/>
                  </w:tcBorders>
                  <w:shd w:val="clear" w:color="auto" w:fill="auto"/>
                  <w:noWrap w:val="0"/>
                  <w:vAlign w:val="center"/>
                </w:tcPr>
                <w:p w14:paraId="66B430A1">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活性炭吸附</w:t>
                  </w:r>
                  <w:r>
                    <w:rPr>
                      <w:rFonts w:hint="eastAsia" w:cs="Times New Roman"/>
                      <w:b w:val="0"/>
                      <w:bCs w:val="0"/>
                      <w:color w:val="auto"/>
                      <w:kern w:val="2"/>
                      <w:sz w:val="21"/>
                      <w:szCs w:val="21"/>
                      <w:highlight w:val="none"/>
                      <w:vertAlign w:val="baseline"/>
                      <w:lang w:val="en-US" w:eastAsia="zh-CN" w:bidi="ar-SA"/>
                    </w:rPr>
                    <w:t>装置</w:t>
                  </w:r>
                </w:p>
              </w:tc>
              <w:tc>
                <w:tcPr>
                  <w:tcW w:w="327" w:type="pct"/>
                  <w:tcBorders>
                    <w:tl2br w:val="nil"/>
                    <w:tr2bl w:val="nil"/>
                  </w:tcBorders>
                  <w:shd w:val="clear" w:color="auto" w:fill="auto"/>
                  <w:noWrap w:val="0"/>
                  <w:vAlign w:val="center"/>
                </w:tcPr>
                <w:p w14:paraId="5270D76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二级活性炭吸附处置</w:t>
                  </w:r>
                </w:p>
              </w:tc>
              <w:tc>
                <w:tcPr>
                  <w:tcW w:w="252" w:type="pct"/>
                  <w:tcBorders>
                    <w:tl2br w:val="nil"/>
                    <w:tr2bl w:val="nil"/>
                  </w:tcBorders>
                  <w:shd w:val="clear" w:color="auto" w:fill="auto"/>
                  <w:noWrap w:val="0"/>
                  <w:vAlign w:val="center"/>
                </w:tcPr>
                <w:p w14:paraId="1D447884">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风量</w:t>
                  </w:r>
                </w:p>
              </w:tc>
              <w:tc>
                <w:tcPr>
                  <w:tcW w:w="252" w:type="pct"/>
                  <w:tcBorders>
                    <w:tl2br w:val="nil"/>
                    <w:tr2bl w:val="nil"/>
                  </w:tcBorders>
                  <w:shd w:val="clear" w:color="auto" w:fill="auto"/>
                  <w:noWrap w:val="0"/>
                  <w:vAlign w:val="center"/>
                </w:tcPr>
                <w:p w14:paraId="785D06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vertAlign w:val="baseline"/>
                      <w:lang w:val="en-US" w:eastAsia="zh-CN" w:bidi="ar-SA"/>
                    </w:rPr>
                    <w:t>12</w:t>
                  </w:r>
                  <w:r>
                    <w:rPr>
                      <w:rFonts w:hint="eastAsia" w:ascii="Times New Roman" w:hAnsi="Times New Roman" w:eastAsia="宋体" w:cs="Times New Roman"/>
                      <w:b w:val="0"/>
                      <w:bCs w:val="0"/>
                      <w:color w:val="auto"/>
                      <w:kern w:val="2"/>
                      <w:sz w:val="21"/>
                      <w:szCs w:val="21"/>
                      <w:highlight w:val="none"/>
                      <w:vertAlign w:val="baseline"/>
                      <w:lang w:val="en-US" w:eastAsia="zh-CN" w:bidi="ar-SA"/>
                    </w:rPr>
                    <w:t>00</w:t>
                  </w:r>
                </w:p>
              </w:tc>
              <w:tc>
                <w:tcPr>
                  <w:tcW w:w="202" w:type="pct"/>
                  <w:tcBorders>
                    <w:tl2br w:val="nil"/>
                    <w:tr2bl w:val="nil"/>
                  </w:tcBorders>
                  <w:shd w:val="clear" w:color="auto" w:fill="auto"/>
                  <w:noWrap w:val="0"/>
                  <w:vAlign w:val="center"/>
                </w:tcPr>
                <w:p w14:paraId="28F3019D">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eastAsia="宋体" w:cs="Times New Roman"/>
                      <w:color w:val="auto"/>
                      <w:kern w:val="2"/>
                      <w:sz w:val="21"/>
                      <w:szCs w:val="21"/>
                      <w:highlight w:val="none"/>
                      <w:lang w:val="en-US" w:eastAsia="zh-CN" w:bidi="ar-SA"/>
                    </w:rPr>
                    <w:t>m</w:t>
                  </w:r>
                  <w:r>
                    <w:rPr>
                      <w:rFonts w:hint="eastAsia" w:eastAsia="宋体" w:cs="Times New Roman"/>
                      <w:color w:val="auto"/>
                      <w:kern w:val="2"/>
                      <w:sz w:val="21"/>
                      <w:szCs w:val="21"/>
                      <w:highlight w:val="none"/>
                      <w:vertAlign w:val="superscript"/>
                      <w:lang w:val="en-US" w:eastAsia="zh-CN" w:bidi="ar-SA"/>
                    </w:rPr>
                    <w:t>3</w:t>
                  </w:r>
                  <w:r>
                    <w:rPr>
                      <w:rFonts w:hint="eastAsia" w:eastAsia="宋体" w:cs="Times New Roman"/>
                      <w:color w:val="auto"/>
                      <w:kern w:val="2"/>
                      <w:sz w:val="21"/>
                      <w:szCs w:val="21"/>
                      <w:highlight w:val="none"/>
                      <w:vertAlign w:val="baseline"/>
                      <w:lang w:val="en-US" w:eastAsia="zh-CN" w:bidi="ar-SA"/>
                    </w:rPr>
                    <w:t>/h</w:t>
                  </w:r>
                </w:p>
              </w:tc>
              <w:tc>
                <w:tcPr>
                  <w:tcW w:w="300" w:type="pct"/>
                  <w:tcBorders>
                    <w:tl2br w:val="nil"/>
                    <w:tr2bl w:val="nil"/>
                  </w:tcBorders>
                  <w:shd w:val="clear" w:color="auto" w:fill="auto"/>
                  <w:noWrap w:val="0"/>
                  <w:vAlign w:val="center"/>
                </w:tcPr>
                <w:p w14:paraId="2DBD5907">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w:t>
                  </w:r>
                </w:p>
              </w:tc>
              <w:tc>
                <w:tcPr>
                  <w:tcW w:w="252" w:type="pct"/>
                  <w:tcBorders>
                    <w:tl2br w:val="nil"/>
                    <w:tr2bl w:val="nil"/>
                  </w:tcBorders>
                  <w:shd w:val="clear" w:color="auto" w:fill="auto"/>
                  <w:noWrap w:val="0"/>
                  <w:vAlign w:val="center"/>
                </w:tcPr>
                <w:p w14:paraId="6647DF2A">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是</w:t>
                  </w:r>
                </w:p>
              </w:tc>
              <w:tc>
                <w:tcPr>
                  <w:tcW w:w="340" w:type="pct"/>
                  <w:tcBorders>
                    <w:tl2br w:val="nil"/>
                    <w:tr2bl w:val="nil"/>
                  </w:tcBorders>
                  <w:shd w:val="clear" w:color="auto" w:fill="auto"/>
                  <w:noWrap w:val="0"/>
                  <w:vAlign w:val="center"/>
                </w:tcPr>
                <w:p w14:paraId="0EFCD2BA">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w:t>
                  </w:r>
                </w:p>
              </w:tc>
              <w:tc>
                <w:tcPr>
                  <w:tcW w:w="250" w:type="pct"/>
                  <w:tcBorders>
                    <w:tl2br w:val="nil"/>
                    <w:tr2bl w:val="nil"/>
                  </w:tcBorders>
                  <w:shd w:val="clear" w:color="auto" w:fill="auto"/>
                  <w:noWrap w:val="0"/>
                  <w:vAlign w:val="center"/>
                </w:tcPr>
                <w:p w14:paraId="2C19CD25">
                  <w:pPr>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DA004</w:t>
                  </w:r>
                </w:p>
              </w:tc>
              <w:tc>
                <w:tcPr>
                  <w:tcW w:w="283" w:type="pct"/>
                  <w:tcBorders>
                    <w:tl2br w:val="nil"/>
                    <w:tr2bl w:val="nil"/>
                  </w:tcBorders>
                  <w:shd w:val="clear" w:color="auto" w:fill="auto"/>
                  <w:noWrap w:val="0"/>
                  <w:vAlign w:val="center"/>
                </w:tcPr>
                <w:p w14:paraId="0653ABCF">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vertAlign w:val="baseline"/>
                      <w:lang w:val="en-US" w:eastAsia="zh-CN" w:bidi="ar-SA"/>
                    </w:rPr>
                    <w:t>成型</w:t>
                  </w:r>
                  <w:r>
                    <w:rPr>
                      <w:rFonts w:hint="eastAsia" w:ascii="Times New Roman" w:hAnsi="Times New Roman" w:eastAsia="宋体" w:cs="Times New Roman"/>
                      <w:b w:val="0"/>
                      <w:bCs w:val="0"/>
                      <w:color w:val="auto"/>
                      <w:kern w:val="2"/>
                      <w:sz w:val="21"/>
                      <w:szCs w:val="21"/>
                      <w:highlight w:val="none"/>
                      <w:vertAlign w:val="baseline"/>
                      <w:lang w:val="en-US" w:eastAsia="zh-CN" w:bidi="ar-SA"/>
                    </w:rPr>
                    <w:t>废气排气筒</w:t>
                  </w:r>
                </w:p>
              </w:tc>
              <w:tc>
                <w:tcPr>
                  <w:tcW w:w="253" w:type="pct"/>
                  <w:tcBorders>
                    <w:tl2br w:val="nil"/>
                    <w:tr2bl w:val="nil"/>
                  </w:tcBorders>
                  <w:shd w:val="clear" w:color="auto" w:fill="auto"/>
                  <w:noWrap w:val="0"/>
                  <w:vAlign w:val="center"/>
                </w:tcPr>
                <w:p w14:paraId="3E5348FC">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是</w:t>
                  </w:r>
                </w:p>
              </w:tc>
              <w:tc>
                <w:tcPr>
                  <w:tcW w:w="232" w:type="pct"/>
                  <w:tcBorders>
                    <w:tl2br w:val="nil"/>
                    <w:tr2bl w:val="nil"/>
                  </w:tcBorders>
                  <w:shd w:val="clear" w:color="auto" w:fill="auto"/>
                  <w:noWrap w:val="0"/>
                  <w:vAlign w:val="center"/>
                </w:tcPr>
                <w:p w14:paraId="4DD1C5C7">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一般排放口</w:t>
                  </w:r>
                </w:p>
              </w:tc>
              <w:tc>
                <w:tcPr>
                  <w:tcW w:w="175" w:type="pct"/>
                  <w:tcBorders>
                    <w:tl2br w:val="nil"/>
                    <w:tr2bl w:val="nil"/>
                  </w:tcBorders>
                  <w:shd w:val="clear" w:color="auto" w:fill="auto"/>
                  <w:noWrap w:val="0"/>
                  <w:vAlign w:val="center"/>
                </w:tcPr>
                <w:p w14:paraId="5215929A">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r>
            <w:tr w14:paraId="42828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70" w:hRule="atLeast"/>
                <w:jc w:val="center"/>
              </w:trPr>
              <w:tc>
                <w:tcPr>
                  <w:tcW w:w="172" w:type="pct"/>
                  <w:tcBorders>
                    <w:tl2br w:val="nil"/>
                    <w:tr2bl w:val="nil"/>
                  </w:tcBorders>
                  <w:shd w:val="clear" w:color="auto" w:fill="auto"/>
                  <w:noWrap w:val="0"/>
                  <w:vAlign w:val="center"/>
                </w:tcPr>
                <w:p w14:paraId="4FCAAC72">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w:t>
                  </w:r>
                </w:p>
              </w:tc>
              <w:tc>
                <w:tcPr>
                  <w:tcW w:w="207" w:type="pct"/>
                  <w:tcBorders>
                    <w:tl2br w:val="nil"/>
                    <w:tr2bl w:val="nil"/>
                  </w:tcBorders>
                  <w:shd w:val="clear" w:color="auto" w:fill="auto"/>
                  <w:noWrap w:val="0"/>
                  <w:vAlign w:val="center"/>
                </w:tcPr>
                <w:p w14:paraId="5A149A17">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217" w:type="pct"/>
                  <w:tcBorders>
                    <w:tl2br w:val="nil"/>
                    <w:tr2bl w:val="nil"/>
                  </w:tcBorders>
                  <w:shd w:val="clear" w:color="auto" w:fill="auto"/>
                  <w:noWrap w:val="0"/>
                  <w:vAlign w:val="center"/>
                </w:tcPr>
                <w:p w14:paraId="0EC9A288">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color w:val="auto"/>
                      <w:sz w:val="21"/>
                      <w:szCs w:val="21"/>
                      <w:highlight w:val="none"/>
                      <w:lang w:val="en-US" w:eastAsia="zh-CN"/>
                    </w:rPr>
                  </w:pPr>
                  <w:r>
                    <w:rPr>
                      <w:rFonts w:hint="eastAsia" w:ascii="Times New Roman" w:hAnsi="Times New Roman" w:eastAsia="宋体" w:cs="Times New Roman"/>
                      <w:color w:val="auto"/>
                      <w:kern w:val="2"/>
                      <w:sz w:val="21"/>
                      <w:szCs w:val="21"/>
                      <w:highlight w:val="none"/>
                      <w:lang w:val="zh-CN" w:eastAsia="zh-CN" w:bidi="ar-SA"/>
                    </w:rPr>
                    <w:t>烧结炉</w:t>
                  </w:r>
                </w:p>
              </w:tc>
              <w:tc>
                <w:tcPr>
                  <w:tcW w:w="261" w:type="pct"/>
                  <w:tcBorders>
                    <w:tl2br w:val="nil"/>
                    <w:tr2bl w:val="nil"/>
                  </w:tcBorders>
                  <w:shd w:val="clear" w:color="auto" w:fill="auto"/>
                  <w:noWrap w:val="0"/>
                  <w:vAlign w:val="center"/>
                </w:tcPr>
                <w:p w14:paraId="4BE605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sz w:val="21"/>
                      <w:szCs w:val="21"/>
                      <w:highlight w:val="none"/>
                      <w:vertAlign w:val="baseli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烧结抽真空工序</w:t>
                  </w:r>
                </w:p>
              </w:tc>
              <w:tc>
                <w:tcPr>
                  <w:tcW w:w="266" w:type="pct"/>
                  <w:tcBorders>
                    <w:tl2br w:val="nil"/>
                    <w:tr2bl w:val="nil"/>
                  </w:tcBorders>
                  <w:shd w:val="clear" w:color="auto" w:fill="auto"/>
                  <w:noWrap w:val="0"/>
                  <w:vAlign w:val="center"/>
                </w:tcPr>
                <w:p w14:paraId="76A5C7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223" w:type="pct"/>
                  <w:tcBorders>
                    <w:tl2br w:val="nil"/>
                    <w:tr2bl w:val="nil"/>
                  </w:tcBorders>
                  <w:shd w:val="clear" w:color="auto" w:fill="auto"/>
                  <w:noWrap w:val="0"/>
                  <w:vAlign w:val="center"/>
                </w:tcPr>
                <w:p w14:paraId="25E0E0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有组织</w:t>
                  </w:r>
                </w:p>
              </w:tc>
              <w:tc>
                <w:tcPr>
                  <w:tcW w:w="270" w:type="pct"/>
                  <w:tcBorders>
                    <w:tl2br w:val="nil"/>
                    <w:tr2bl w:val="nil"/>
                  </w:tcBorders>
                  <w:shd w:val="clear" w:color="auto" w:fill="auto"/>
                  <w:noWrap w:val="0"/>
                  <w:vAlign w:val="center"/>
                </w:tcPr>
                <w:p w14:paraId="323E19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default" w:eastAsia="宋体" w:cs="Times New Roman"/>
                      <w:color w:val="auto"/>
                      <w:kern w:val="2"/>
                      <w:sz w:val="21"/>
                      <w:szCs w:val="21"/>
                      <w:highlight w:val="none"/>
                      <w:lang w:val="en-US" w:eastAsia="zh-CN" w:bidi="ar-SA"/>
                    </w:rPr>
                  </w:pPr>
                  <w:r>
                    <w:rPr>
                      <w:rFonts w:hint="eastAsia" w:eastAsia="宋体"/>
                      <w:color w:val="auto"/>
                      <w:sz w:val="21"/>
                      <w:szCs w:val="21"/>
                      <w:highlight w:val="none"/>
                      <w:lang w:val="en-US" w:eastAsia="zh-CN"/>
                    </w:rPr>
                    <w:t>TA00</w:t>
                  </w:r>
                  <w:r>
                    <w:rPr>
                      <w:rFonts w:hint="eastAsia"/>
                      <w:color w:val="auto"/>
                      <w:sz w:val="21"/>
                      <w:szCs w:val="21"/>
                      <w:highlight w:val="none"/>
                      <w:lang w:val="en-US" w:eastAsia="zh-CN"/>
                    </w:rPr>
                    <w:t>4</w:t>
                  </w:r>
                </w:p>
              </w:tc>
              <w:tc>
                <w:tcPr>
                  <w:tcW w:w="262" w:type="pct"/>
                  <w:tcBorders>
                    <w:tl2br w:val="nil"/>
                    <w:tr2bl w:val="nil"/>
                  </w:tcBorders>
                  <w:shd w:val="clear" w:color="auto" w:fill="auto"/>
                  <w:noWrap w:val="0"/>
                  <w:vAlign w:val="center"/>
                </w:tcPr>
                <w:p w14:paraId="5A6A3D07">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活性炭吸附</w:t>
                  </w:r>
                  <w:r>
                    <w:rPr>
                      <w:rFonts w:hint="eastAsia" w:cs="Times New Roman"/>
                      <w:b w:val="0"/>
                      <w:bCs w:val="0"/>
                      <w:color w:val="auto"/>
                      <w:kern w:val="2"/>
                      <w:sz w:val="21"/>
                      <w:szCs w:val="21"/>
                      <w:highlight w:val="none"/>
                      <w:vertAlign w:val="baseline"/>
                      <w:lang w:val="en-US" w:eastAsia="zh-CN" w:bidi="ar-SA"/>
                    </w:rPr>
                    <w:t>装置</w:t>
                  </w:r>
                </w:p>
              </w:tc>
              <w:tc>
                <w:tcPr>
                  <w:tcW w:w="327" w:type="pct"/>
                  <w:tcBorders>
                    <w:tl2br w:val="nil"/>
                    <w:tr2bl w:val="nil"/>
                  </w:tcBorders>
                  <w:shd w:val="clear" w:color="auto" w:fill="auto"/>
                  <w:noWrap w:val="0"/>
                  <w:vAlign w:val="center"/>
                </w:tcPr>
                <w:p w14:paraId="37B31C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二级活性炭吸附处理</w:t>
                  </w:r>
                </w:p>
              </w:tc>
              <w:tc>
                <w:tcPr>
                  <w:tcW w:w="252" w:type="pct"/>
                  <w:tcBorders>
                    <w:tl2br w:val="nil"/>
                    <w:tr2bl w:val="nil"/>
                  </w:tcBorders>
                  <w:shd w:val="clear" w:color="auto" w:fill="auto"/>
                  <w:noWrap w:val="0"/>
                  <w:vAlign w:val="center"/>
                </w:tcPr>
                <w:p w14:paraId="6ACC531C">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color w:val="auto"/>
                      <w:sz w:val="21"/>
                      <w:szCs w:val="21"/>
                      <w:highlight w:val="none"/>
                      <w:lang w:val="en-US" w:eastAsia="zh-CN"/>
                    </w:rPr>
                  </w:pPr>
                  <w:r>
                    <w:rPr>
                      <w:rFonts w:hint="eastAsia"/>
                      <w:color w:val="auto"/>
                      <w:sz w:val="21"/>
                      <w:szCs w:val="21"/>
                      <w:highlight w:val="none"/>
                      <w:lang w:val="en-US" w:eastAsia="zh-CN"/>
                    </w:rPr>
                    <w:t>风量</w:t>
                  </w:r>
                </w:p>
              </w:tc>
              <w:tc>
                <w:tcPr>
                  <w:tcW w:w="252" w:type="pct"/>
                  <w:tcBorders>
                    <w:tl2br w:val="nil"/>
                    <w:tr2bl w:val="nil"/>
                  </w:tcBorders>
                  <w:shd w:val="clear" w:color="auto" w:fill="auto"/>
                  <w:noWrap w:val="0"/>
                  <w:vAlign w:val="center"/>
                </w:tcPr>
                <w:p w14:paraId="30569A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13000</w:t>
                  </w:r>
                </w:p>
              </w:tc>
              <w:tc>
                <w:tcPr>
                  <w:tcW w:w="202" w:type="pct"/>
                  <w:tcBorders>
                    <w:tl2br w:val="nil"/>
                    <w:tr2bl w:val="nil"/>
                  </w:tcBorders>
                  <w:shd w:val="clear" w:color="auto" w:fill="auto"/>
                  <w:noWrap w:val="0"/>
                  <w:vAlign w:val="center"/>
                </w:tcPr>
                <w:p w14:paraId="5804CD86">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m</w:t>
                  </w:r>
                  <w:r>
                    <w:rPr>
                      <w:rFonts w:hint="eastAsia" w:eastAsia="宋体" w:cs="Times New Roman"/>
                      <w:color w:val="auto"/>
                      <w:kern w:val="2"/>
                      <w:sz w:val="21"/>
                      <w:szCs w:val="21"/>
                      <w:highlight w:val="none"/>
                      <w:vertAlign w:val="superscript"/>
                      <w:lang w:val="en-US" w:eastAsia="zh-CN" w:bidi="ar-SA"/>
                    </w:rPr>
                    <w:t>3</w:t>
                  </w:r>
                  <w:r>
                    <w:rPr>
                      <w:rFonts w:hint="eastAsia" w:eastAsia="宋体" w:cs="Times New Roman"/>
                      <w:color w:val="auto"/>
                      <w:kern w:val="2"/>
                      <w:sz w:val="21"/>
                      <w:szCs w:val="21"/>
                      <w:highlight w:val="none"/>
                      <w:vertAlign w:val="baseline"/>
                      <w:lang w:val="en-US" w:eastAsia="zh-CN" w:bidi="ar-SA"/>
                    </w:rPr>
                    <w:t>/h</w:t>
                  </w:r>
                </w:p>
              </w:tc>
              <w:tc>
                <w:tcPr>
                  <w:tcW w:w="300" w:type="pct"/>
                  <w:tcBorders>
                    <w:tl2br w:val="nil"/>
                    <w:tr2bl w:val="nil"/>
                  </w:tcBorders>
                  <w:shd w:val="clear" w:color="auto" w:fill="auto"/>
                  <w:noWrap w:val="0"/>
                  <w:vAlign w:val="center"/>
                </w:tcPr>
                <w:p w14:paraId="1577A333">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252" w:type="pct"/>
                  <w:tcBorders>
                    <w:tl2br w:val="nil"/>
                    <w:tr2bl w:val="nil"/>
                  </w:tcBorders>
                  <w:shd w:val="clear" w:color="auto" w:fill="auto"/>
                  <w:noWrap w:val="0"/>
                  <w:vAlign w:val="center"/>
                </w:tcPr>
                <w:p w14:paraId="709C3A54">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color w:val="auto"/>
                      <w:sz w:val="21"/>
                      <w:szCs w:val="21"/>
                      <w:highlight w:val="none"/>
                    </w:rPr>
                  </w:pPr>
                  <w:r>
                    <w:rPr>
                      <w:rFonts w:hint="eastAsia"/>
                      <w:color w:val="auto"/>
                      <w:sz w:val="21"/>
                      <w:szCs w:val="21"/>
                      <w:highlight w:val="none"/>
                    </w:rPr>
                    <w:t>是</w:t>
                  </w:r>
                </w:p>
              </w:tc>
              <w:tc>
                <w:tcPr>
                  <w:tcW w:w="340" w:type="pct"/>
                  <w:tcBorders>
                    <w:tl2br w:val="nil"/>
                    <w:tr2bl w:val="nil"/>
                  </w:tcBorders>
                  <w:shd w:val="clear" w:color="auto" w:fill="auto"/>
                  <w:noWrap w:val="0"/>
                  <w:vAlign w:val="center"/>
                </w:tcPr>
                <w:p w14:paraId="6D754F44">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250" w:type="pct"/>
                  <w:tcBorders>
                    <w:tl2br w:val="nil"/>
                    <w:tr2bl w:val="nil"/>
                  </w:tcBorders>
                  <w:shd w:val="clear" w:color="auto" w:fill="auto"/>
                  <w:noWrap w:val="0"/>
                  <w:vAlign w:val="center"/>
                </w:tcPr>
                <w:p w14:paraId="3743DB93">
                  <w:pPr>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DA005</w:t>
                  </w:r>
                </w:p>
              </w:tc>
              <w:tc>
                <w:tcPr>
                  <w:tcW w:w="283" w:type="pct"/>
                  <w:tcBorders>
                    <w:tl2br w:val="nil"/>
                    <w:tr2bl w:val="nil"/>
                  </w:tcBorders>
                  <w:shd w:val="clear" w:color="auto" w:fill="auto"/>
                  <w:noWrap w:val="0"/>
                  <w:vAlign w:val="center"/>
                </w:tcPr>
                <w:p w14:paraId="44959D46">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抽真空废气排放筒</w:t>
                  </w:r>
                </w:p>
              </w:tc>
              <w:tc>
                <w:tcPr>
                  <w:tcW w:w="253" w:type="pct"/>
                  <w:tcBorders>
                    <w:tl2br w:val="nil"/>
                    <w:tr2bl w:val="nil"/>
                  </w:tcBorders>
                  <w:shd w:val="clear" w:color="auto" w:fill="auto"/>
                  <w:noWrap w:val="0"/>
                  <w:vAlign w:val="center"/>
                </w:tcPr>
                <w:p w14:paraId="255BDD40">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是</w:t>
                  </w:r>
                </w:p>
              </w:tc>
              <w:tc>
                <w:tcPr>
                  <w:tcW w:w="232" w:type="pct"/>
                  <w:tcBorders>
                    <w:tl2br w:val="nil"/>
                    <w:tr2bl w:val="nil"/>
                  </w:tcBorders>
                  <w:shd w:val="clear" w:color="auto" w:fill="auto"/>
                  <w:noWrap w:val="0"/>
                  <w:vAlign w:val="center"/>
                </w:tcPr>
                <w:p w14:paraId="16CF5194">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eastAsia"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一般排放口</w:t>
                  </w:r>
                </w:p>
              </w:tc>
              <w:tc>
                <w:tcPr>
                  <w:tcW w:w="175" w:type="pct"/>
                  <w:tcBorders>
                    <w:tl2br w:val="nil"/>
                    <w:tr2bl w:val="nil"/>
                  </w:tcBorders>
                  <w:shd w:val="clear" w:color="auto" w:fill="auto"/>
                  <w:noWrap w:val="0"/>
                  <w:vAlign w:val="center"/>
                </w:tcPr>
                <w:p w14:paraId="309B4063">
                  <w:pPr>
                    <w:pStyle w:val="59"/>
                    <w:keepNext w:val="0"/>
                    <w:keepLines w:val="0"/>
                    <w:pageBreakBefore w:val="0"/>
                    <w:widowControl w:val="0"/>
                    <w:kinsoku/>
                    <w:wordWrap/>
                    <w:overflowPunct/>
                    <w:topLinePunct w:val="0"/>
                    <w:autoSpaceDE/>
                    <w:autoSpaceDN/>
                    <w:bidi w:val="0"/>
                    <w:adjustRightInd/>
                    <w:snapToGrid/>
                    <w:spacing w:line="240" w:lineRule="auto"/>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r>
          </w:tbl>
          <w:p w14:paraId="76C3FCF4">
            <w:pPr>
              <w:keepNext w:val="0"/>
              <w:keepLines w:val="0"/>
              <w:pageBreakBefore w:val="0"/>
              <w:widowControl w:val="0"/>
              <w:suppressLineNumbers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表4-2  大气排放口基本情况表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507"/>
              <w:gridCol w:w="1179"/>
              <w:gridCol w:w="1851"/>
              <w:gridCol w:w="1179"/>
              <w:gridCol w:w="1115"/>
              <w:gridCol w:w="1012"/>
              <w:gridCol w:w="1801"/>
              <w:gridCol w:w="2249"/>
              <w:gridCol w:w="1627"/>
              <w:gridCol w:w="955"/>
            </w:tblGrid>
            <w:tr w14:paraId="7EED4E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vMerge w:val="restart"/>
                  <w:tcBorders>
                    <w:tl2br w:val="nil"/>
                    <w:tr2bl w:val="nil"/>
                  </w:tcBorders>
                  <w:vAlign w:val="center"/>
                </w:tcPr>
                <w:p w14:paraId="5DEB53E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序号</w:t>
                  </w:r>
                </w:p>
              </w:tc>
              <w:tc>
                <w:tcPr>
                  <w:tcW w:w="0" w:type="auto"/>
                  <w:vMerge w:val="restart"/>
                  <w:tcBorders>
                    <w:tl2br w:val="nil"/>
                    <w:tr2bl w:val="nil"/>
                  </w:tcBorders>
                  <w:vAlign w:val="center"/>
                </w:tcPr>
                <w:p w14:paraId="6D48A1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排放口编号</w:t>
                  </w:r>
                </w:p>
              </w:tc>
              <w:tc>
                <w:tcPr>
                  <w:tcW w:w="0" w:type="auto"/>
                  <w:vMerge w:val="restart"/>
                  <w:tcBorders>
                    <w:tl2br w:val="nil"/>
                    <w:tr2bl w:val="nil"/>
                  </w:tcBorders>
                  <w:vAlign w:val="center"/>
                </w:tcPr>
                <w:p w14:paraId="37E54EE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排放口名称</w:t>
                  </w:r>
                </w:p>
              </w:tc>
              <w:tc>
                <w:tcPr>
                  <w:tcW w:w="0" w:type="auto"/>
                  <w:vMerge w:val="restart"/>
                  <w:tcBorders>
                    <w:tl2br w:val="nil"/>
                    <w:tr2bl w:val="nil"/>
                  </w:tcBorders>
                  <w:vAlign w:val="center"/>
                </w:tcPr>
                <w:p w14:paraId="7347B13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污染物种类</w:t>
                  </w:r>
                </w:p>
              </w:tc>
              <w:tc>
                <w:tcPr>
                  <w:tcW w:w="0" w:type="auto"/>
                  <w:gridSpan w:val="2"/>
                  <w:tcBorders>
                    <w:tl2br w:val="nil"/>
                    <w:tr2bl w:val="nil"/>
                  </w:tcBorders>
                  <w:vAlign w:val="center"/>
                </w:tcPr>
                <w:p w14:paraId="3096527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排放口地理坐标</w:t>
                  </w:r>
                </w:p>
              </w:tc>
              <w:tc>
                <w:tcPr>
                  <w:tcW w:w="0" w:type="auto"/>
                  <w:vMerge w:val="restart"/>
                  <w:tcBorders>
                    <w:tl2br w:val="nil"/>
                    <w:tr2bl w:val="nil"/>
                  </w:tcBorders>
                  <w:vAlign w:val="center"/>
                </w:tcPr>
                <w:p w14:paraId="070E799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排气筒高度（m）</w:t>
                  </w:r>
                </w:p>
              </w:tc>
              <w:tc>
                <w:tcPr>
                  <w:tcW w:w="0" w:type="auto"/>
                  <w:vMerge w:val="restart"/>
                  <w:tcBorders>
                    <w:tl2br w:val="nil"/>
                    <w:tr2bl w:val="nil"/>
                  </w:tcBorders>
                  <w:vAlign w:val="center"/>
                </w:tcPr>
                <w:p w14:paraId="08A2033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排气筒出口内径（m）</w:t>
                  </w:r>
                </w:p>
              </w:tc>
              <w:tc>
                <w:tcPr>
                  <w:tcW w:w="0" w:type="auto"/>
                  <w:vMerge w:val="restart"/>
                  <w:tcBorders>
                    <w:tl2br w:val="nil"/>
                    <w:tr2bl w:val="nil"/>
                  </w:tcBorders>
                  <w:vAlign w:val="center"/>
                </w:tcPr>
                <w:p w14:paraId="212D0E7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排气温度（℃）</w:t>
                  </w:r>
                </w:p>
              </w:tc>
              <w:tc>
                <w:tcPr>
                  <w:tcW w:w="0" w:type="auto"/>
                  <w:vMerge w:val="restart"/>
                  <w:tcBorders>
                    <w:tl2br w:val="nil"/>
                    <w:tr2bl w:val="nil"/>
                  </w:tcBorders>
                  <w:vAlign w:val="center"/>
                </w:tcPr>
                <w:p w14:paraId="2C2A8F0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其他信息</w:t>
                  </w:r>
                </w:p>
              </w:tc>
            </w:tr>
            <w:tr w14:paraId="3312EA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vMerge w:val="continue"/>
                  <w:tcBorders>
                    <w:tl2br w:val="nil"/>
                    <w:tr2bl w:val="nil"/>
                  </w:tcBorders>
                  <w:vAlign w:val="center"/>
                </w:tcPr>
                <w:p w14:paraId="0BC3763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01F48A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6AC2C5A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1594EC3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tcBorders>
                    <w:tl2br w:val="nil"/>
                    <w:tr2bl w:val="nil"/>
                  </w:tcBorders>
                  <w:vAlign w:val="center"/>
                </w:tcPr>
                <w:p w14:paraId="37C8766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经度</w:t>
                  </w:r>
                </w:p>
              </w:tc>
              <w:tc>
                <w:tcPr>
                  <w:tcW w:w="0" w:type="auto"/>
                  <w:tcBorders>
                    <w:tl2br w:val="nil"/>
                    <w:tr2bl w:val="nil"/>
                  </w:tcBorders>
                  <w:vAlign w:val="center"/>
                </w:tcPr>
                <w:p w14:paraId="6ACD755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纬度</w:t>
                  </w:r>
                </w:p>
              </w:tc>
              <w:tc>
                <w:tcPr>
                  <w:tcW w:w="0" w:type="auto"/>
                  <w:vMerge w:val="continue"/>
                  <w:tcBorders>
                    <w:tl2br w:val="nil"/>
                    <w:tr2bl w:val="nil"/>
                  </w:tcBorders>
                  <w:vAlign w:val="center"/>
                </w:tcPr>
                <w:p w14:paraId="0A69CD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4E7DAEA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77F91B9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45E64E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r>
            <w:tr w14:paraId="0088C5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72AFC1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w:t>
                  </w:r>
                </w:p>
              </w:tc>
              <w:tc>
                <w:tcPr>
                  <w:tcW w:w="0" w:type="auto"/>
                  <w:tcBorders>
                    <w:tl2br w:val="nil"/>
                    <w:tr2bl w:val="nil"/>
                  </w:tcBorders>
                  <w:vAlign w:val="center"/>
                </w:tcPr>
                <w:p w14:paraId="19B940E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DA001</w:t>
                  </w:r>
                </w:p>
              </w:tc>
              <w:tc>
                <w:tcPr>
                  <w:tcW w:w="0" w:type="auto"/>
                  <w:tcBorders>
                    <w:tl2br w:val="nil"/>
                    <w:tr2bl w:val="nil"/>
                  </w:tcBorders>
                  <w:vAlign w:val="center"/>
                </w:tcPr>
                <w:p w14:paraId="0808FA47">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除锈废气</w:t>
                  </w:r>
                  <w:r>
                    <w:rPr>
                      <w:rFonts w:hint="default" w:ascii="Times New Roman" w:hAnsi="Times New Roman" w:eastAsia="宋体" w:cs="Times New Roman"/>
                      <w:b w:val="0"/>
                      <w:bCs w:val="0"/>
                      <w:sz w:val="21"/>
                      <w:szCs w:val="21"/>
                      <w:highlight w:val="none"/>
                      <w:vertAlign w:val="baseline"/>
                      <w:lang w:val="en-US" w:eastAsia="zh-CN"/>
                    </w:rPr>
                    <w:t>排放筒</w:t>
                  </w:r>
                </w:p>
              </w:tc>
              <w:tc>
                <w:tcPr>
                  <w:tcW w:w="0" w:type="auto"/>
                  <w:tcBorders>
                    <w:tl2br w:val="nil"/>
                    <w:tr2bl w:val="nil"/>
                  </w:tcBorders>
                  <w:vAlign w:val="center"/>
                </w:tcPr>
                <w:p w14:paraId="74CDC6D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0" w:type="auto"/>
                  <w:tcBorders>
                    <w:tl2br w:val="nil"/>
                    <w:tr2bl w:val="nil"/>
                  </w:tcBorders>
                  <w:vAlign w:val="center"/>
                </w:tcPr>
                <w:p w14:paraId="6C163B2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113.206506</w:t>
                  </w:r>
                </w:p>
              </w:tc>
              <w:tc>
                <w:tcPr>
                  <w:tcW w:w="0" w:type="auto"/>
                  <w:tcBorders>
                    <w:tl2br w:val="nil"/>
                    <w:tr2bl w:val="nil"/>
                  </w:tcBorders>
                  <w:vAlign w:val="center"/>
                </w:tcPr>
                <w:p w14:paraId="3F14D8B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36.142867</w:t>
                  </w:r>
                </w:p>
              </w:tc>
              <w:tc>
                <w:tcPr>
                  <w:tcW w:w="0" w:type="auto"/>
                  <w:tcBorders>
                    <w:tl2br w:val="nil"/>
                    <w:tr2bl w:val="nil"/>
                  </w:tcBorders>
                  <w:vAlign w:val="center"/>
                </w:tcPr>
                <w:p w14:paraId="73F62FA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15m</w:t>
                  </w:r>
                </w:p>
              </w:tc>
              <w:tc>
                <w:tcPr>
                  <w:tcW w:w="0" w:type="auto"/>
                  <w:tcBorders>
                    <w:tl2br w:val="nil"/>
                    <w:tr2bl w:val="nil"/>
                  </w:tcBorders>
                  <w:vAlign w:val="center"/>
                </w:tcPr>
                <w:p w14:paraId="69825B5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0.4</w:t>
                  </w:r>
                </w:p>
              </w:tc>
              <w:tc>
                <w:tcPr>
                  <w:tcW w:w="0" w:type="auto"/>
                  <w:tcBorders>
                    <w:tl2br w:val="nil"/>
                    <w:tr2bl w:val="nil"/>
                  </w:tcBorders>
                  <w:vAlign w:val="center"/>
                </w:tcPr>
                <w:p w14:paraId="1790C5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常温</w:t>
                  </w:r>
                </w:p>
              </w:tc>
              <w:tc>
                <w:tcPr>
                  <w:tcW w:w="0" w:type="auto"/>
                  <w:tcBorders>
                    <w:tl2br w:val="nil"/>
                    <w:tr2bl w:val="nil"/>
                  </w:tcBorders>
                  <w:vAlign w:val="center"/>
                </w:tcPr>
                <w:p w14:paraId="6B251FC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r w14:paraId="15DD91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3F0DDD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2</w:t>
                  </w:r>
                </w:p>
              </w:tc>
              <w:tc>
                <w:tcPr>
                  <w:tcW w:w="0" w:type="auto"/>
                  <w:tcBorders>
                    <w:tl2br w:val="nil"/>
                    <w:tr2bl w:val="nil"/>
                  </w:tcBorders>
                  <w:vAlign w:val="center"/>
                </w:tcPr>
                <w:p w14:paraId="7B4791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DA002</w:t>
                  </w:r>
                </w:p>
              </w:tc>
              <w:tc>
                <w:tcPr>
                  <w:tcW w:w="0" w:type="auto"/>
                  <w:tcBorders>
                    <w:tl2br w:val="nil"/>
                    <w:tr2bl w:val="nil"/>
                  </w:tcBorders>
                  <w:vAlign w:val="center"/>
                </w:tcPr>
                <w:p w14:paraId="7F303A92">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1#氢碎废气排放筒</w:t>
                  </w:r>
                </w:p>
              </w:tc>
              <w:tc>
                <w:tcPr>
                  <w:tcW w:w="0" w:type="auto"/>
                  <w:tcBorders>
                    <w:tl2br w:val="nil"/>
                    <w:tr2bl w:val="nil"/>
                  </w:tcBorders>
                  <w:vAlign w:val="center"/>
                </w:tcPr>
                <w:p w14:paraId="010279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0" w:type="auto"/>
                  <w:tcBorders>
                    <w:tl2br w:val="nil"/>
                    <w:tr2bl w:val="nil"/>
                  </w:tcBorders>
                  <w:vAlign w:val="center"/>
                </w:tcPr>
                <w:p w14:paraId="6583522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113.206881</w:t>
                  </w:r>
                </w:p>
              </w:tc>
              <w:tc>
                <w:tcPr>
                  <w:tcW w:w="0" w:type="auto"/>
                  <w:tcBorders>
                    <w:tl2br w:val="nil"/>
                    <w:tr2bl w:val="nil"/>
                  </w:tcBorders>
                  <w:vAlign w:val="center"/>
                </w:tcPr>
                <w:p w14:paraId="358B25F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36.142422</w:t>
                  </w:r>
                </w:p>
              </w:tc>
              <w:tc>
                <w:tcPr>
                  <w:tcW w:w="0" w:type="auto"/>
                  <w:tcBorders>
                    <w:tl2br w:val="nil"/>
                    <w:tr2bl w:val="nil"/>
                  </w:tcBorders>
                  <w:vAlign w:val="center"/>
                </w:tcPr>
                <w:p w14:paraId="7AE59F8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15m</w:t>
                  </w:r>
                </w:p>
              </w:tc>
              <w:tc>
                <w:tcPr>
                  <w:tcW w:w="0" w:type="auto"/>
                  <w:tcBorders>
                    <w:tl2br w:val="nil"/>
                    <w:tr2bl w:val="nil"/>
                  </w:tcBorders>
                  <w:vAlign w:val="center"/>
                </w:tcPr>
                <w:p w14:paraId="28A4796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eastAsia" w:cs="Times New Roman"/>
                      <w:b w:val="0"/>
                      <w:bCs w:val="0"/>
                      <w:color w:val="000000"/>
                      <w:kern w:val="2"/>
                      <w:sz w:val="21"/>
                      <w:szCs w:val="21"/>
                      <w:highlight w:val="none"/>
                      <w:vertAlign w:val="baseline"/>
                      <w:lang w:val="en-US" w:eastAsia="zh-CN" w:bidi="ar-SA"/>
                    </w:rPr>
                    <w:t>0.2</w:t>
                  </w:r>
                </w:p>
              </w:tc>
              <w:tc>
                <w:tcPr>
                  <w:tcW w:w="0" w:type="auto"/>
                  <w:tcBorders>
                    <w:tl2br w:val="nil"/>
                    <w:tr2bl w:val="nil"/>
                  </w:tcBorders>
                  <w:vAlign w:val="center"/>
                </w:tcPr>
                <w:p w14:paraId="39119D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常温</w:t>
                  </w:r>
                </w:p>
              </w:tc>
              <w:tc>
                <w:tcPr>
                  <w:tcW w:w="0" w:type="auto"/>
                  <w:tcBorders>
                    <w:tl2br w:val="nil"/>
                    <w:tr2bl w:val="nil"/>
                  </w:tcBorders>
                  <w:vAlign w:val="center"/>
                </w:tcPr>
                <w:p w14:paraId="266C880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r w14:paraId="112D82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34E34B6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w:t>
                  </w:r>
                </w:p>
              </w:tc>
              <w:tc>
                <w:tcPr>
                  <w:tcW w:w="0" w:type="auto"/>
                  <w:tcBorders>
                    <w:tl2br w:val="nil"/>
                    <w:tr2bl w:val="nil"/>
                  </w:tcBorders>
                  <w:vAlign w:val="center"/>
                </w:tcPr>
                <w:p w14:paraId="088EF22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DA003</w:t>
                  </w:r>
                </w:p>
              </w:tc>
              <w:tc>
                <w:tcPr>
                  <w:tcW w:w="0" w:type="auto"/>
                  <w:tcBorders>
                    <w:tl2br w:val="nil"/>
                    <w:tr2bl w:val="nil"/>
                  </w:tcBorders>
                  <w:vAlign w:val="center"/>
                </w:tcPr>
                <w:p w14:paraId="2658B6E1">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2#氢碎废气排放筒</w:t>
                  </w:r>
                </w:p>
              </w:tc>
              <w:tc>
                <w:tcPr>
                  <w:tcW w:w="0" w:type="auto"/>
                  <w:tcBorders>
                    <w:tl2br w:val="nil"/>
                    <w:tr2bl w:val="nil"/>
                  </w:tcBorders>
                  <w:vAlign w:val="center"/>
                </w:tcPr>
                <w:p w14:paraId="095EDCD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0" w:type="auto"/>
                  <w:tcBorders>
                    <w:tl2br w:val="nil"/>
                    <w:tr2bl w:val="nil"/>
                  </w:tcBorders>
                  <w:vAlign w:val="center"/>
                </w:tcPr>
                <w:p w14:paraId="19261B3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113.206742</w:t>
                  </w:r>
                </w:p>
              </w:tc>
              <w:tc>
                <w:tcPr>
                  <w:tcW w:w="0" w:type="auto"/>
                  <w:tcBorders>
                    <w:tl2br w:val="nil"/>
                    <w:tr2bl w:val="nil"/>
                  </w:tcBorders>
                  <w:vAlign w:val="center"/>
                </w:tcPr>
                <w:p w14:paraId="4D7E22A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36.142154</w:t>
                  </w:r>
                </w:p>
              </w:tc>
              <w:tc>
                <w:tcPr>
                  <w:tcW w:w="0" w:type="auto"/>
                  <w:tcBorders>
                    <w:tl2br w:val="nil"/>
                    <w:tr2bl w:val="nil"/>
                  </w:tcBorders>
                  <w:vAlign w:val="center"/>
                </w:tcPr>
                <w:p w14:paraId="06AF586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15m</w:t>
                  </w:r>
                </w:p>
              </w:tc>
              <w:tc>
                <w:tcPr>
                  <w:tcW w:w="0" w:type="auto"/>
                  <w:tcBorders>
                    <w:tl2br w:val="nil"/>
                    <w:tr2bl w:val="nil"/>
                  </w:tcBorders>
                  <w:vAlign w:val="center"/>
                </w:tcPr>
                <w:p w14:paraId="4FDD818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eastAsia" w:cs="Times New Roman"/>
                      <w:b w:val="0"/>
                      <w:bCs w:val="0"/>
                      <w:color w:val="000000"/>
                      <w:kern w:val="2"/>
                      <w:sz w:val="21"/>
                      <w:szCs w:val="21"/>
                      <w:highlight w:val="none"/>
                      <w:vertAlign w:val="baseline"/>
                      <w:lang w:val="en-US" w:eastAsia="zh-CN" w:bidi="ar-SA"/>
                    </w:rPr>
                    <w:t>0.2</w:t>
                  </w:r>
                </w:p>
              </w:tc>
              <w:tc>
                <w:tcPr>
                  <w:tcW w:w="0" w:type="auto"/>
                  <w:tcBorders>
                    <w:tl2br w:val="nil"/>
                    <w:tr2bl w:val="nil"/>
                  </w:tcBorders>
                  <w:vAlign w:val="center"/>
                </w:tcPr>
                <w:p w14:paraId="34CA0BB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常温</w:t>
                  </w:r>
                </w:p>
              </w:tc>
              <w:tc>
                <w:tcPr>
                  <w:tcW w:w="0" w:type="auto"/>
                  <w:tcBorders>
                    <w:tl2br w:val="nil"/>
                    <w:tr2bl w:val="nil"/>
                  </w:tcBorders>
                  <w:vAlign w:val="center"/>
                </w:tcPr>
                <w:p w14:paraId="056737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r w14:paraId="0FF25A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7BE37A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4</w:t>
                  </w:r>
                </w:p>
              </w:tc>
              <w:tc>
                <w:tcPr>
                  <w:tcW w:w="0" w:type="auto"/>
                  <w:tcBorders>
                    <w:tl2br w:val="nil"/>
                    <w:tr2bl w:val="nil"/>
                  </w:tcBorders>
                  <w:vAlign w:val="center"/>
                </w:tcPr>
                <w:p w14:paraId="7BBFBB7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DA004</w:t>
                  </w:r>
                </w:p>
              </w:tc>
              <w:tc>
                <w:tcPr>
                  <w:tcW w:w="0" w:type="auto"/>
                  <w:tcBorders>
                    <w:tl2br w:val="nil"/>
                    <w:tr2bl w:val="nil"/>
                  </w:tcBorders>
                  <w:vAlign w:val="center"/>
                </w:tcPr>
                <w:p w14:paraId="200A8684">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成型废气排气筒</w:t>
                  </w:r>
                </w:p>
              </w:tc>
              <w:tc>
                <w:tcPr>
                  <w:tcW w:w="0" w:type="auto"/>
                  <w:tcBorders>
                    <w:tl2br w:val="nil"/>
                    <w:tr2bl w:val="nil"/>
                  </w:tcBorders>
                  <w:vAlign w:val="center"/>
                </w:tcPr>
                <w:p w14:paraId="3F6A37B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0" w:type="auto"/>
                  <w:tcBorders>
                    <w:tl2br w:val="nil"/>
                    <w:tr2bl w:val="nil"/>
                  </w:tcBorders>
                  <w:vAlign w:val="center"/>
                </w:tcPr>
                <w:p w14:paraId="70264F7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113.205041</w:t>
                  </w:r>
                </w:p>
              </w:tc>
              <w:tc>
                <w:tcPr>
                  <w:tcW w:w="0" w:type="auto"/>
                  <w:tcBorders>
                    <w:tl2br w:val="nil"/>
                    <w:tr2bl w:val="nil"/>
                  </w:tcBorders>
                  <w:vAlign w:val="center"/>
                </w:tcPr>
                <w:p w14:paraId="022901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36.143270</w:t>
                  </w:r>
                </w:p>
              </w:tc>
              <w:tc>
                <w:tcPr>
                  <w:tcW w:w="0" w:type="auto"/>
                  <w:tcBorders>
                    <w:tl2br w:val="nil"/>
                    <w:tr2bl w:val="nil"/>
                  </w:tcBorders>
                  <w:vAlign w:val="center"/>
                </w:tcPr>
                <w:p w14:paraId="4B26A7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15m</w:t>
                  </w:r>
                </w:p>
              </w:tc>
              <w:tc>
                <w:tcPr>
                  <w:tcW w:w="0" w:type="auto"/>
                  <w:tcBorders>
                    <w:tl2br w:val="nil"/>
                    <w:tr2bl w:val="nil"/>
                  </w:tcBorders>
                  <w:vAlign w:val="center"/>
                </w:tcPr>
                <w:p w14:paraId="171447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0.2</w:t>
                  </w:r>
                </w:p>
              </w:tc>
              <w:tc>
                <w:tcPr>
                  <w:tcW w:w="0" w:type="auto"/>
                  <w:tcBorders>
                    <w:tl2br w:val="nil"/>
                    <w:tr2bl w:val="nil"/>
                  </w:tcBorders>
                  <w:vAlign w:val="center"/>
                </w:tcPr>
                <w:p w14:paraId="0C9265E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常温</w:t>
                  </w:r>
                </w:p>
              </w:tc>
              <w:tc>
                <w:tcPr>
                  <w:tcW w:w="0" w:type="auto"/>
                  <w:tcBorders>
                    <w:tl2br w:val="nil"/>
                    <w:tr2bl w:val="nil"/>
                  </w:tcBorders>
                  <w:vAlign w:val="center"/>
                </w:tcPr>
                <w:p w14:paraId="72A6630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r w14:paraId="654AE9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763FFD3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5</w:t>
                  </w:r>
                </w:p>
              </w:tc>
              <w:tc>
                <w:tcPr>
                  <w:tcW w:w="0" w:type="auto"/>
                  <w:tcBorders>
                    <w:tl2br w:val="nil"/>
                    <w:tr2bl w:val="nil"/>
                  </w:tcBorders>
                  <w:vAlign w:val="center"/>
                </w:tcPr>
                <w:p w14:paraId="5AA473C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DA005</w:t>
                  </w:r>
                </w:p>
              </w:tc>
              <w:tc>
                <w:tcPr>
                  <w:tcW w:w="0" w:type="auto"/>
                  <w:tcBorders>
                    <w:tl2br w:val="nil"/>
                    <w:tr2bl w:val="nil"/>
                  </w:tcBorders>
                  <w:vAlign w:val="center"/>
                </w:tcPr>
                <w:p w14:paraId="3D2EC7D8">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sz w:val="21"/>
                      <w:szCs w:val="21"/>
                      <w:highlight w:val="none"/>
                      <w:vertAlign w:val="baseline"/>
                      <w:lang w:val="en-US" w:eastAsia="zh-CN"/>
                    </w:rPr>
                    <w:t>抽真空废气排放筒</w:t>
                  </w:r>
                </w:p>
              </w:tc>
              <w:tc>
                <w:tcPr>
                  <w:tcW w:w="0" w:type="auto"/>
                  <w:tcBorders>
                    <w:tl2br w:val="nil"/>
                    <w:tr2bl w:val="nil"/>
                  </w:tcBorders>
                  <w:vAlign w:val="center"/>
                </w:tcPr>
                <w:p w14:paraId="7214431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0" w:type="auto"/>
                  <w:tcBorders>
                    <w:tl2br w:val="nil"/>
                    <w:tr2bl w:val="nil"/>
                  </w:tcBorders>
                  <w:vAlign w:val="center"/>
                </w:tcPr>
                <w:p w14:paraId="1A434EF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113.205084</w:t>
                  </w:r>
                </w:p>
              </w:tc>
              <w:tc>
                <w:tcPr>
                  <w:tcW w:w="0" w:type="auto"/>
                  <w:tcBorders>
                    <w:tl2br w:val="nil"/>
                    <w:tr2bl w:val="nil"/>
                  </w:tcBorders>
                  <w:vAlign w:val="center"/>
                </w:tcPr>
                <w:p w14:paraId="4A413B1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36.142605</w:t>
                  </w:r>
                </w:p>
              </w:tc>
              <w:tc>
                <w:tcPr>
                  <w:tcW w:w="0" w:type="auto"/>
                  <w:tcBorders>
                    <w:tl2br w:val="nil"/>
                    <w:tr2bl w:val="nil"/>
                  </w:tcBorders>
                  <w:vAlign w:val="center"/>
                </w:tcPr>
                <w:p w14:paraId="0A3268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15m</w:t>
                  </w:r>
                </w:p>
              </w:tc>
              <w:tc>
                <w:tcPr>
                  <w:tcW w:w="0" w:type="auto"/>
                  <w:tcBorders>
                    <w:tl2br w:val="nil"/>
                    <w:tr2bl w:val="nil"/>
                  </w:tcBorders>
                  <w:vAlign w:val="center"/>
                </w:tcPr>
                <w:p w14:paraId="3E1BB9E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0.6</w:t>
                  </w:r>
                </w:p>
              </w:tc>
              <w:tc>
                <w:tcPr>
                  <w:tcW w:w="0" w:type="auto"/>
                  <w:tcBorders>
                    <w:tl2br w:val="nil"/>
                    <w:tr2bl w:val="nil"/>
                  </w:tcBorders>
                  <w:vAlign w:val="center"/>
                </w:tcPr>
                <w:p w14:paraId="6D5EAF9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常温</w:t>
                  </w:r>
                </w:p>
              </w:tc>
              <w:tc>
                <w:tcPr>
                  <w:tcW w:w="0" w:type="auto"/>
                  <w:tcBorders>
                    <w:tl2br w:val="nil"/>
                    <w:tr2bl w:val="nil"/>
                  </w:tcBorders>
                  <w:vAlign w:val="center"/>
                </w:tcPr>
                <w:p w14:paraId="0C8A69F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bl>
          <w:p w14:paraId="2C48ADC6">
            <w:pPr>
              <w:keepNext w:val="0"/>
              <w:keepLines w:val="0"/>
              <w:pageBreakBefore w:val="0"/>
              <w:widowControl w:val="0"/>
              <w:suppressLineNumbers w:val="0"/>
              <w:kinsoku/>
              <w:wordWrap/>
              <w:overflowPunct/>
              <w:topLinePunct w:val="0"/>
              <w:autoSpaceDE/>
              <w:autoSpaceDN/>
              <w:bidi w:val="0"/>
              <w:adjustRightInd/>
              <w:snapToGrid/>
              <w:spacing w:before="63" w:beforeLines="20" w:after="63" w:afterLines="20" w:line="240" w:lineRule="auto"/>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表4-3  废气污染物排放执行标准表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511"/>
              <w:gridCol w:w="1186"/>
              <w:gridCol w:w="1862"/>
              <w:gridCol w:w="1186"/>
              <w:gridCol w:w="2988"/>
              <w:gridCol w:w="997"/>
              <w:gridCol w:w="961"/>
              <w:gridCol w:w="1411"/>
              <w:gridCol w:w="1411"/>
              <w:gridCol w:w="962"/>
            </w:tblGrid>
            <w:tr w14:paraId="675BFB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vMerge w:val="restart"/>
                  <w:tcBorders>
                    <w:tl2br w:val="nil"/>
                    <w:tr2bl w:val="nil"/>
                  </w:tcBorders>
                  <w:vAlign w:val="center"/>
                </w:tcPr>
                <w:p w14:paraId="24D8B0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序号</w:t>
                  </w:r>
                </w:p>
              </w:tc>
              <w:tc>
                <w:tcPr>
                  <w:tcW w:w="0" w:type="auto"/>
                  <w:vMerge w:val="restart"/>
                  <w:tcBorders>
                    <w:tl2br w:val="nil"/>
                    <w:tr2bl w:val="nil"/>
                  </w:tcBorders>
                  <w:vAlign w:val="center"/>
                </w:tcPr>
                <w:p w14:paraId="6BE6191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排放口编号</w:t>
                  </w:r>
                </w:p>
              </w:tc>
              <w:tc>
                <w:tcPr>
                  <w:tcW w:w="0" w:type="auto"/>
                  <w:vMerge w:val="restart"/>
                  <w:tcBorders>
                    <w:tl2br w:val="nil"/>
                    <w:tr2bl w:val="nil"/>
                  </w:tcBorders>
                  <w:vAlign w:val="center"/>
                </w:tcPr>
                <w:p w14:paraId="68A4247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排放口名称</w:t>
                  </w:r>
                </w:p>
              </w:tc>
              <w:tc>
                <w:tcPr>
                  <w:tcW w:w="0" w:type="auto"/>
                  <w:vMerge w:val="restart"/>
                  <w:tcBorders>
                    <w:tl2br w:val="nil"/>
                    <w:tr2bl w:val="nil"/>
                  </w:tcBorders>
                  <w:vAlign w:val="center"/>
                </w:tcPr>
                <w:p w14:paraId="3F904C4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污染物种类</w:t>
                  </w:r>
                </w:p>
              </w:tc>
              <w:tc>
                <w:tcPr>
                  <w:tcW w:w="0" w:type="auto"/>
                  <w:gridSpan w:val="3"/>
                  <w:tcBorders>
                    <w:tl2br w:val="nil"/>
                    <w:tr2bl w:val="nil"/>
                  </w:tcBorders>
                  <w:vAlign w:val="center"/>
                </w:tcPr>
                <w:p w14:paraId="3A39360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国家或地方污染物排放标准</w:t>
                  </w:r>
                </w:p>
              </w:tc>
              <w:tc>
                <w:tcPr>
                  <w:tcW w:w="0" w:type="auto"/>
                  <w:vMerge w:val="restart"/>
                  <w:tcBorders>
                    <w:tl2br w:val="nil"/>
                    <w:tr2bl w:val="nil"/>
                  </w:tcBorders>
                  <w:vAlign w:val="center"/>
                </w:tcPr>
                <w:p w14:paraId="27214F3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环境影响评价</w:t>
                  </w:r>
                </w:p>
                <w:p w14:paraId="514F16D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批复要求</w:t>
                  </w:r>
                </w:p>
              </w:tc>
              <w:tc>
                <w:tcPr>
                  <w:tcW w:w="0" w:type="auto"/>
                  <w:vMerge w:val="restart"/>
                  <w:tcBorders>
                    <w:tl2br w:val="nil"/>
                    <w:tr2bl w:val="nil"/>
                  </w:tcBorders>
                  <w:vAlign w:val="center"/>
                </w:tcPr>
                <w:p w14:paraId="18EA668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承诺更加</w:t>
                  </w:r>
                </w:p>
                <w:p w14:paraId="5DD2BA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严格排放限值</w:t>
                  </w:r>
                </w:p>
              </w:tc>
              <w:tc>
                <w:tcPr>
                  <w:tcW w:w="0" w:type="auto"/>
                  <w:vMerge w:val="restart"/>
                  <w:tcBorders>
                    <w:tl2br w:val="nil"/>
                    <w:tr2bl w:val="nil"/>
                  </w:tcBorders>
                  <w:vAlign w:val="center"/>
                </w:tcPr>
                <w:p w14:paraId="23D343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其他信息</w:t>
                  </w:r>
                </w:p>
              </w:tc>
            </w:tr>
            <w:tr w14:paraId="01B4A1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vMerge w:val="continue"/>
                  <w:tcBorders>
                    <w:tl2br w:val="nil"/>
                    <w:tr2bl w:val="nil"/>
                  </w:tcBorders>
                  <w:vAlign w:val="center"/>
                </w:tcPr>
                <w:p w14:paraId="31394CF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2BCF6E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1746206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7DF94C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tcBorders>
                    <w:tl2br w:val="nil"/>
                    <w:tr2bl w:val="nil"/>
                  </w:tcBorders>
                  <w:vAlign w:val="center"/>
                </w:tcPr>
                <w:p w14:paraId="1AB43E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名称</w:t>
                  </w:r>
                </w:p>
              </w:tc>
              <w:tc>
                <w:tcPr>
                  <w:tcW w:w="0" w:type="auto"/>
                  <w:tcBorders>
                    <w:tl2br w:val="nil"/>
                    <w:tr2bl w:val="nil"/>
                  </w:tcBorders>
                  <w:vAlign w:val="center"/>
                </w:tcPr>
                <w:p w14:paraId="13D0A31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浓度限值</w:t>
                  </w:r>
                </w:p>
              </w:tc>
              <w:tc>
                <w:tcPr>
                  <w:tcW w:w="0" w:type="auto"/>
                  <w:tcBorders>
                    <w:tl2br w:val="nil"/>
                    <w:tr2bl w:val="nil"/>
                  </w:tcBorders>
                  <w:vAlign w:val="center"/>
                </w:tcPr>
                <w:p w14:paraId="69DBE67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排放速率</w:t>
                  </w:r>
                </w:p>
              </w:tc>
              <w:tc>
                <w:tcPr>
                  <w:tcW w:w="0" w:type="auto"/>
                  <w:vMerge w:val="continue"/>
                  <w:tcBorders>
                    <w:tl2br w:val="nil"/>
                    <w:tr2bl w:val="nil"/>
                  </w:tcBorders>
                  <w:vAlign w:val="center"/>
                </w:tcPr>
                <w:p w14:paraId="2E6AF2A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27EC046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0" w:type="auto"/>
                  <w:vMerge w:val="continue"/>
                  <w:tcBorders>
                    <w:tl2br w:val="nil"/>
                    <w:tr2bl w:val="nil"/>
                  </w:tcBorders>
                  <w:vAlign w:val="center"/>
                </w:tcPr>
                <w:p w14:paraId="22C39B1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r>
            <w:tr w14:paraId="478A1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6B4E432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w:t>
                  </w:r>
                </w:p>
              </w:tc>
              <w:tc>
                <w:tcPr>
                  <w:tcW w:w="0" w:type="auto"/>
                  <w:tcBorders>
                    <w:tl2br w:val="nil"/>
                    <w:tr2bl w:val="nil"/>
                  </w:tcBorders>
                  <w:vAlign w:val="center"/>
                </w:tcPr>
                <w:p w14:paraId="52A309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DA001</w:t>
                  </w:r>
                </w:p>
              </w:tc>
              <w:tc>
                <w:tcPr>
                  <w:tcW w:w="0" w:type="auto"/>
                  <w:tcBorders>
                    <w:tl2br w:val="nil"/>
                    <w:tr2bl w:val="nil"/>
                  </w:tcBorders>
                  <w:vAlign w:val="center"/>
                </w:tcPr>
                <w:p w14:paraId="4F4A5C37">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除锈废气</w:t>
                  </w:r>
                  <w:r>
                    <w:rPr>
                      <w:rFonts w:hint="default" w:ascii="Times New Roman" w:hAnsi="Times New Roman" w:eastAsia="宋体" w:cs="Times New Roman"/>
                      <w:b w:val="0"/>
                      <w:bCs w:val="0"/>
                      <w:sz w:val="21"/>
                      <w:szCs w:val="21"/>
                      <w:highlight w:val="none"/>
                      <w:vertAlign w:val="baseline"/>
                      <w:lang w:val="en-US" w:eastAsia="zh-CN"/>
                    </w:rPr>
                    <w:t>排放筒</w:t>
                  </w:r>
                </w:p>
              </w:tc>
              <w:tc>
                <w:tcPr>
                  <w:tcW w:w="0" w:type="auto"/>
                  <w:tcBorders>
                    <w:tl2br w:val="nil"/>
                    <w:tr2bl w:val="nil"/>
                  </w:tcBorders>
                  <w:vAlign w:val="center"/>
                </w:tcPr>
                <w:p w14:paraId="405421B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0" w:type="auto"/>
                  <w:tcBorders>
                    <w:tl2br w:val="nil"/>
                    <w:tr2bl w:val="nil"/>
                  </w:tcBorders>
                  <w:vAlign w:val="center"/>
                </w:tcPr>
                <w:p w14:paraId="7201EC0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《大气污染物综合排放标准》</w:t>
                  </w:r>
                </w:p>
                <w:p w14:paraId="749C832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（GB16297-1996）表2</w:t>
                  </w:r>
                </w:p>
              </w:tc>
              <w:tc>
                <w:tcPr>
                  <w:tcW w:w="0" w:type="auto"/>
                  <w:tcBorders>
                    <w:tl2br w:val="nil"/>
                    <w:tr2bl w:val="nil"/>
                  </w:tcBorders>
                  <w:vAlign w:val="center"/>
                </w:tcPr>
                <w:p w14:paraId="72FBE48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120mg/m</w:t>
                  </w:r>
                  <w:r>
                    <w:rPr>
                      <w:rFonts w:hint="default" w:ascii="Times New Roman" w:hAnsi="Times New Roman" w:eastAsia="宋体" w:cs="Times New Roman"/>
                      <w:b w:val="0"/>
                      <w:bCs w:val="0"/>
                      <w:color w:val="000000"/>
                      <w:kern w:val="2"/>
                      <w:sz w:val="21"/>
                      <w:szCs w:val="21"/>
                      <w:highlight w:val="none"/>
                      <w:vertAlign w:val="superscript"/>
                      <w:lang w:val="en-US" w:eastAsia="zh-CN" w:bidi="ar-SA"/>
                    </w:rPr>
                    <w:t>3</w:t>
                  </w:r>
                </w:p>
              </w:tc>
              <w:tc>
                <w:tcPr>
                  <w:tcW w:w="0" w:type="auto"/>
                  <w:tcBorders>
                    <w:tl2br w:val="nil"/>
                    <w:tr2bl w:val="nil"/>
                  </w:tcBorders>
                  <w:vAlign w:val="center"/>
                </w:tcPr>
                <w:p w14:paraId="6C4F87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3.5kg/h</w:t>
                  </w:r>
                </w:p>
              </w:tc>
              <w:tc>
                <w:tcPr>
                  <w:tcW w:w="0" w:type="auto"/>
                  <w:tcBorders>
                    <w:tl2br w:val="nil"/>
                    <w:tr2bl w:val="nil"/>
                  </w:tcBorders>
                  <w:vAlign w:val="center"/>
                </w:tcPr>
                <w:p w14:paraId="4B5DA57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c>
                <w:tcPr>
                  <w:tcW w:w="0" w:type="auto"/>
                  <w:tcBorders>
                    <w:tl2br w:val="nil"/>
                    <w:tr2bl w:val="nil"/>
                  </w:tcBorders>
                  <w:vAlign w:val="center"/>
                </w:tcPr>
                <w:p w14:paraId="6406BD9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10mg/m</w:t>
                  </w:r>
                  <w:r>
                    <w:rPr>
                      <w:rFonts w:hint="default" w:ascii="Times New Roman" w:hAnsi="Times New Roman" w:eastAsia="宋体" w:cs="Times New Roman"/>
                      <w:b w:val="0"/>
                      <w:bCs w:val="0"/>
                      <w:color w:val="000000"/>
                      <w:kern w:val="2"/>
                      <w:sz w:val="21"/>
                      <w:szCs w:val="21"/>
                      <w:highlight w:val="none"/>
                      <w:vertAlign w:val="superscript"/>
                      <w:lang w:val="en-US" w:eastAsia="zh-CN" w:bidi="ar-SA"/>
                    </w:rPr>
                    <w:t>3</w:t>
                  </w:r>
                </w:p>
              </w:tc>
              <w:tc>
                <w:tcPr>
                  <w:tcW w:w="0" w:type="auto"/>
                  <w:tcBorders>
                    <w:tl2br w:val="nil"/>
                    <w:tr2bl w:val="nil"/>
                  </w:tcBorders>
                  <w:vAlign w:val="center"/>
                </w:tcPr>
                <w:p w14:paraId="1B9AF05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r w14:paraId="7C50C4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4CB31D0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2</w:t>
                  </w:r>
                </w:p>
              </w:tc>
              <w:tc>
                <w:tcPr>
                  <w:tcW w:w="0" w:type="auto"/>
                  <w:tcBorders>
                    <w:tl2br w:val="nil"/>
                    <w:tr2bl w:val="nil"/>
                  </w:tcBorders>
                  <w:vAlign w:val="center"/>
                </w:tcPr>
                <w:p w14:paraId="30486BA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DA002</w:t>
                  </w:r>
                </w:p>
              </w:tc>
              <w:tc>
                <w:tcPr>
                  <w:tcW w:w="0" w:type="auto"/>
                  <w:tcBorders>
                    <w:tl2br w:val="nil"/>
                    <w:tr2bl w:val="nil"/>
                  </w:tcBorders>
                  <w:vAlign w:val="center"/>
                </w:tcPr>
                <w:p w14:paraId="6273AE40">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1#氢碎废气排放筒</w:t>
                  </w:r>
                </w:p>
              </w:tc>
              <w:tc>
                <w:tcPr>
                  <w:tcW w:w="0" w:type="auto"/>
                  <w:tcBorders>
                    <w:tl2br w:val="nil"/>
                    <w:tr2bl w:val="nil"/>
                  </w:tcBorders>
                  <w:vAlign w:val="center"/>
                </w:tcPr>
                <w:p w14:paraId="2E3052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0" w:type="auto"/>
                  <w:tcBorders>
                    <w:tl2br w:val="nil"/>
                    <w:tr2bl w:val="nil"/>
                  </w:tcBorders>
                  <w:vAlign w:val="center"/>
                </w:tcPr>
                <w:p w14:paraId="4B9E88D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《大气污染物综合排放标准》</w:t>
                  </w:r>
                </w:p>
                <w:p w14:paraId="2DDA776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（GB16297-1996）表2</w:t>
                  </w:r>
                </w:p>
              </w:tc>
              <w:tc>
                <w:tcPr>
                  <w:tcW w:w="0" w:type="auto"/>
                  <w:tcBorders>
                    <w:tl2br w:val="nil"/>
                    <w:tr2bl w:val="nil"/>
                  </w:tcBorders>
                  <w:vAlign w:val="center"/>
                </w:tcPr>
                <w:p w14:paraId="6500EE4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120mg/m</w:t>
                  </w:r>
                  <w:r>
                    <w:rPr>
                      <w:rFonts w:hint="default" w:ascii="Times New Roman" w:hAnsi="Times New Roman" w:eastAsia="宋体" w:cs="Times New Roman"/>
                      <w:b w:val="0"/>
                      <w:bCs w:val="0"/>
                      <w:color w:val="000000"/>
                      <w:kern w:val="2"/>
                      <w:sz w:val="21"/>
                      <w:szCs w:val="21"/>
                      <w:highlight w:val="none"/>
                      <w:vertAlign w:val="superscript"/>
                      <w:lang w:val="en-US" w:eastAsia="zh-CN" w:bidi="ar-SA"/>
                    </w:rPr>
                    <w:t>3</w:t>
                  </w:r>
                </w:p>
              </w:tc>
              <w:tc>
                <w:tcPr>
                  <w:tcW w:w="0" w:type="auto"/>
                  <w:tcBorders>
                    <w:tl2br w:val="nil"/>
                    <w:tr2bl w:val="nil"/>
                  </w:tcBorders>
                  <w:vAlign w:val="center"/>
                </w:tcPr>
                <w:p w14:paraId="4E2F722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3.5kg/h</w:t>
                  </w:r>
                </w:p>
              </w:tc>
              <w:tc>
                <w:tcPr>
                  <w:tcW w:w="0" w:type="auto"/>
                  <w:tcBorders>
                    <w:tl2br w:val="nil"/>
                    <w:tr2bl w:val="nil"/>
                  </w:tcBorders>
                  <w:vAlign w:val="center"/>
                </w:tcPr>
                <w:p w14:paraId="23E24ED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c>
                <w:tcPr>
                  <w:tcW w:w="0" w:type="auto"/>
                  <w:tcBorders>
                    <w:tl2br w:val="nil"/>
                    <w:tr2bl w:val="nil"/>
                  </w:tcBorders>
                  <w:vAlign w:val="center"/>
                </w:tcPr>
                <w:p w14:paraId="13179B2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10mg/m</w:t>
                  </w:r>
                  <w:r>
                    <w:rPr>
                      <w:rFonts w:hint="default" w:ascii="Times New Roman" w:hAnsi="Times New Roman" w:eastAsia="宋体" w:cs="Times New Roman"/>
                      <w:b w:val="0"/>
                      <w:bCs w:val="0"/>
                      <w:color w:val="000000"/>
                      <w:kern w:val="2"/>
                      <w:sz w:val="21"/>
                      <w:szCs w:val="21"/>
                      <w:highlight w:val="none"/>
                      <w:vertAlign w:val="superscript"/>
                      <w:lang w:val="en-US" w:eastAsia="zh-CN" w:bidi="ar-SA"/>
                    </w:rPr>
                    <w:t>3</w:t>
                  </w:r>
                </w:p>
              </w:tc>
              <w:tc>
                <w:tcPr>
                  <w:tcW w:w="0" w:type="auto"/>
                  <w:tcBorders>
                    <w:tl2br w:val="nil"/>
                    <w:tr2bl w:val="nil"/>
                  </w:tcBorders>
                  <w:vAlign w:val="center"/>
                </w:tcPr>
                <w:p w14:paraId="5409F25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r w14:paraId="4521D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7926A5C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w:t>
                  </w:r>
                </w:p>
              </w:tc>
              <w:tc>
                <w:tcPr>
                  <w:tcW w:w="0" w:type="auto"/>
                  <w:tcBorders>
                    <w:tl2br w:val="nil"/>
                    <w:tr2bl w:val="nil"/>
                  </w:tcBorders>
                  <w:vAlign w:val="center"/>
                </w:tcPr>
                <w:p w14:paraId="7A1B6A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DA003</w:t>
                  </w:r>
                </w:p>
              </w:tc>
              <w:tc>
                <w:tcPr>
                  <w:tcW w:w="0" w:type="auto"/>
                  <w:tcBorders>
                    <w:tl2br w:val="nil"/>
                    <w:tr2bl w:val="nil"/>
                  </w:tcBorders>
                  <w:vAlign w:val="center"/>
                </w:tcPr>
                <w:p w14:paraId="7C2FECBF">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2#氢碎废气排放筒</w:t>
                  </w:r>
                </w:p>
              </w:tc>
              <w:tc>
                <w:tcPr>
                  <w:tcW w:w="0" w:type="auto"/>
                  <w:tcBorders>
                    <w:tl2br w:val="nil"/>
                    <w:tr2bl w:val="nil"/>
                  </w:tcBorders>
                  <w:vAlign w:val="center"/>
                </w:tcPr>
                <w:p w14:paraId="36A6099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0" w:type="auto"/>
                  <w:tcBorders>
                    <w:tl2br w:val="nil"/>
                    <w:tr2bl w:val="nil"/>
                  </w:tcBorders>
                  <w:vAlign w:val="center"/>
                </w:tcPr>
                <w:p w14:paraId="30030D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《大气污染物综合排放标准》</w:t>
                  </w:r>
                </w:p>
                <w:p w14:paraId="40B454C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（GB16297-1996）表2</w:t>
                  </w:r>
                </w:p>
              </w:tc>
              <w:tc>
                <w:tcPr>
                  <w:tcW w:w="0" w:type="auto"/>
                  <w:tcBorders>
                    <w:tl2br w:val="nil"/>
                    <w:tr2bl w:val="nil"/>
                  </w:tcBorders>
                  <w:vAlign w:val="center"/>
                </w:tcPr>
                <w:p w14:paraId="7680A22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120mg/m</w:t>
                  </w:r>
                  <w:r>
                    <w:rPr>
                      <w:rFonts w:hint="default" w:ascii="Times New Roman" w:hAnsi="Times New Roman" w:eastAsia="宋体" w:cs="Times New Roman"/>
                      <w:b w:val="0"/>
                      <w:bCs w:val="0"/>
                      <w:color w:val="000000"/>
                      <w:kern w:val="2"/>
                      <w:sz w:val="21"/>
                      <w:szCs w:val="21"/>
                      <w:highlight w:val="none"/>
                      <w:vertAlign w:val="superscript"/>
                      <w:lang w:val="en-US" w:eastAsia="zh-CN" w:bidi="ar-SA"/>
                    </w:rPr>
                    <w:t>3</w:t>
                  </w:r>
                </w:p>
              </w:tc>
              <w:tc>
                <w:tcPr>
                  <w:tcW w:w="0" w:type="auto"/>
                  <w:tcBorders>
                    <w:tl2br w:val="nil"/>
                    <w:tr2bl w:val="nil"/>
                  </w:tcBorders>
                  <w:vAlign w:val="center"/>
                </w:tcPr>
                <w:p w14:paraId="05B84D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3.5kg/h</w:t>
                  </w:r>
                </w:p>
              </w:tc>
              <w:tc>
                <w:tcPr>
                  <w:tcW w:w="0" w:type="auto"/>
                  <w:tcBorders>
                    <w:tl2br w:val="nil"/>
                    <w:tr2bl w:val="nil"/>
                  </w:tcBorders>
                  <w:vAlign w:val="center"/>
                </w:tcPr>
                <w:p w14:paraId="72D1A56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c>
                <w:tcPr>
                  <w:tcW w:w="0" w:type="auto"/>
                  <w:tcBorders>
                    <w:tl2br w:val="nil"/>
                    <w:tr2bl w:val="nil"/>
                  </w:tcBorders>
                  <w:vAlign w:val="center"/>
                </w:tcPr>
                <w:p w14:paraId="5E2403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10mg/m</w:t>
                  </w:r>
                  <w:r>
                    <w:rPr>
                      <w:rFonts w:hint="default" w:ascii="Times New Roman" w:hAnsi="Times New Roman" w:eastAsia="宋体" w:cs="Times New Roman"/>
                      <w:b w:val="0"/>
                      <w:bCs w:val="0"/>
                      <w:color w:val="000000"/>
                      <w:kern w:val="2"/>
                      <w:sz w:val="21"/>
                      <w:szCs w:val="21"/>
                      <w:highlight w:val="none"/>
                      <w:vertAlign w:val="superscript"/>
                      <w:lang w:val="en-US" w:eastAsia="zh-CN" w:bidi="ar-SA"/>
                    </w:rPr>
                    <w:t>3</w:t>
                  </w:r>
                </w:p>
              </w:tc>
              <w:tc>
                <w:tcPr>
                  <w:tcW w:w="0" w:type="auto"/>
                  <w:tcBorders>
                    <w:tl2br w:val="nil"/>
                    <w:tr2bl w:val="nil"/>
                  </w:tcBorders>
                  <w:vAlign w:val="center"/>
                </w:tcPr>
                <w:p w14:paraId="3C3D95F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r w14:paraId="32400E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01F5986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4</w:t>
                  </w:r>
                </w:p>
              </w:tc>
              <w:tc>
                <w:tcPr>
                  <w:tcW w:w="0" w:type="auto"/>
                  <w:tcBorders>
                    <w:tl2br w:val="nil"/>
                    <w:tr2bl w:val="nil"/>
                  </w:tcBorders>
                  <w:vAlign w:val="center"/>
                </w:tcPr>
                <w:p w14:paraId="516B23D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DA004</w:t>
                  </w:r>
                </w:p>
              </w:tc>
              <w:tc>
                <w:tcPr>
                  <w:tcW w:w="0" w:type="auto"/>
                  <w:tcBorders>
                    <w:tl2br w:val="nil"/>
                    <w:tr2bl w:val="nil"/>
                  </w:tcBorders>
                  <w:vAlign w:val="center"/>
                </w:tcPr>
                <w:p w14:paraId="00352640">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成型废气排气筒</w:t>
                  </w:r>
                </w:p>
              </w:tc>
              <w:tc>
                <w:tcPr>
                  <w:tcW w:w="0" w:type="auto"/>
                  <w:tcBorders>
                    <w:tl2br w:val="nil"/>
                    <w:tr2bl w:val="nil"/>
                  </w:tcBorders>
                  <w:vAlign w:val="center"/>
                </w:tcPr>
                <w:p w14:paraId="333D50B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0" w:type="auto"/>
                  <w:tcBorders>
                    <w:tl2br w:val="nil"/>
                    <w:tr2bl w:val="nil"/>
                  </w:tcBorders>
                  <w:shd w:val="clear" w:color="auto" w:fill="auto"/>
                  <w:vAlign w:val="center"/>
                </w:tcPr>
                <w:p w14:paraId="72C0864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《大气污染物综合排放标准》</w:t>
                  </w:r>
                </w:p>
                <w:p w14:paraId="7E9597E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（GB16297-1996）表2</w:t>
                  </w:r>
                </w:p>
              </w:tc>
              <w:tc>
                <w:tcPr>
                  <w:tcW w:w="0" w:type="auto"/>
                  <w:tcBorders>
                    <w:tl2br w:val="nil"/>
                    <w:tr2bl w:val="nil"/>
                  </w:tcBorders>
                  <w:shd w:val="clear" w:color="auto" w:fill="auto"/>
                  <w:vAlign w:val="center"/>
                </w:tcPr>
                <w:p w14:paraId="5F0D633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120mg/m</w:t>
                  </w:r>
                  <w:r>
                    <w:rPr>
                      <w:rFonts w:hint="default" w:ascii="Times New Roman" w:hAnsi="Times New Roman" w:eastAsia="宋体" w:cs="Times New Roman"/>
                      <w:b w:val="0"/>
                      <w:bCs w:val="0"/>
                      <w:color w:val="000000"/>
                      <w:kern w:val="2"/>
                      <w:sz w:val="21"/>
                      <w:szCs w:val="21"/>
                      <w:highlight w:val="none"/>
                      <w:vertAlign w:val="superscript"/>
                      <w:lang w:val="en-US" w:eastAsia="zh-CN" w:bidi="ar-SA"/>
                    </w:rPr>
                    <w:t>3</w:t>
                  </w:r>
                </w:p>
              </w:tc>
              <w:tc>
                <w:tcPr>
                  <w:tcW w:w="0" w:type="auto"/>
                  <w:tcBorders>
                    <w:tl2br w:val="nil"/>
                    <w:tr2bl w:val="nil"/>
                  </w:tcBorders>
                  <w:vAlign w:val="center"/>
                </w:tcPr>
                <w:p w14:paraId="501CA7D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10kg/h</w:t>
                  </w:r>
                </w:p>
              </w:tc>
              <w:tc>
                <w:tcPr>
                  <w:tcW w:w="0" w:type="auto"/>
                  <w:tcBorders>
                    <w:tl2br w:val="nil"/>
                    <w:tr2bl w:val="nil"/>
                  </w:tcBorders>
                  <w:vAlign w:val="center"/>
                </w:tcPr>
                <w:p w14:paraId="7DA719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c>
                <w:tcPr>
                  <w:tcW w:w="0" w:type="auto"/>
                  <w:tcBorders>
                    <w:tl2br w:val="nil"/>
                    <w:tr2bl w:val="nil"/>
                  </w:tcBorders>
                  <w:vAlign w:val="center"/>
                </w:tcPr>
                <w:p w14:paraId="307BEAE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60</w:t>
                  </w:r>
                  <w:r>
                    <w:rPr>
                      <w:rFonts w:hint="default" w:ascii="Times New Roman" w:hAnsi="Times New Roman" w:eastAsia="宋体" w:cs="Times New Roman"/>
                      <w:sz w:val="21"/>
                      <w:szCs w:val="21"/>
                      <w:highlight w:val="none"/>
                      <w:lang w:val="en-US" w:eastAsia="zh-CN"/>
                    </w:rPr>
                    <w:t>mg/m</w:t>
                  </w:r>
                  <w:r>
                    <w:rPr>
                      <w:rFonts w:hint="default" w:ascii="Times New Roman" w:hAnsi="Times New Roman" w:eastAsia="宋体" w:cs="Times New Roman"/>
                      <w:sz w:val="21"/>
                      <w:szCs w:val="21"/>
                      <w:highlight w:val="none"/>
                      <w:vertAlign w:val="superscript"/>
                      <w:lang w:val="en-US" w:eastAsia="zh-CN"/>
                    </w:rPr>
                    <w:t>3</w:t>
                  </w:r>
                </w:p>
              </w:tc>
              <w:tc>
                <w:tcPr>
                  <w:tcW w:w="0" w:type="auto"/>
                  <w:tcBorders>
                    <w:tl2br w:val="nil"/>
                    <w:tr2bl w:val="nil"/>
                  </w:tcBorders>
                  <w:vAlign w:val="center"/>
                </w:tcPr>
                <w:p w14:paraId="0E42F67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r w14:paraId="266F07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0" w:type="auto"/>
                  <w:tcBorders>
                    <w:tl2br w:val="nil"/>
                    <w:tr2bl w:val="nil"/>
                  </w:tcBorders>
                  <w:vAlign w:val="center"/>
                </w:tcPr>
                <w:p w14:paraId="1E95824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5</w:t>
                  </w:r>
                </w:p>
              </w:tc>
              <w:tc>
                <w:tcPr>
                  <w:tcW w:w="0" w:type="auto"/>
                  <w:tcBorders>
                    <w:tl2br w:val="nil"/>
                    <w:tr2bl w:val="nil"/>
                  </w:tcBorders>
                  <w:vAlign w:val="center"/>
                </w:tcPr>
                <w:p w14:paraId="0146B9B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DA005</w:t>
                  </w:r>
                </w:p>
              </w:tc>
              <w:tc>
                <w:tcPr>
                  <w:tcW w:w="0" w:type="auto"/>
                  <w:tcBorders>
                    <w:tl2br w:val="nil"/>
                    <w:tr2bl w:val="nil"/>
                  </w:tcBorders>
                  <w:vAlign w:val="center"/>
                </w:tcPr>
                <w:p w14:paraId="3D6FC022">
                  <w:pPr>
                    <w:pStyle w:val="59"/>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sz w:val="21"/>
                      <w:szCs w:val="21"/>
                      <w:highlight w:val="none"/>
                      <w:vertAlign w:val="baseline"/>
                      <w:lang w:val="en-US" w:eastAsia="zh-CN"/>
                    </w:rPr>
                    <w:t>抽真空废气排放筒</w:t>
                  </w:r>
                </w:p>
              </w:tc>
              <w:tc>
                <w:tcPr>
                  <w:tcW w:w="0" w:type="auto"/>
                  <w:tcBorders>
                    <w:tl2br w:val="nil"/>
                    <w:tr2bl w:val="nil"/>
                  </w:tcBorders>
                  <w:vAlign w:val="center"/>
                </w:tcPr>
                <w:p w14:paraId="12EE8A3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0" w:type="auto"/>
                  <w:tcBorders>
                    <w:tl2br w:val="nil"/>
                    <w:tr2bl w:val="nil"/>
                  </w:tcBorders>
                  <w:shd w:val="clear" w:color="auto" w:fill="auto"/>
                  <w:vAlign w:val="center"/>
                </w:tcPr>
                <w:p w14:paraId="391068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《大气污染物综合排放标准》</w:t>
                  </w:r>
                </w:p>
                <w:p w14:paraId="05B51D0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（GB16297-1996）表2</w:t>
                  </w:r>
                </w:p>
              </w:tc>
              <w:tc>
                <w:tcPr>
                  <w:tcW w:w="0" w:type="auto"/>
                  <w:tcBorders>
                    <w:tl2br w:val="nil"/>
                    <w:tr2bl w:val="nil"/>
                  </w:tcBorders>
                  <w:shd w:val="clear" w:color="auto" w:fill="auto"/>
                  <w:vAlign w:val="center"/>
                </w:tcPr>
                <w:p w14:paraId="4CB2A57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120mg/m</w:t>
                  </w:r>
                  <w:r>
                    <w:rPr>
                      <w:rFonts w:hint="default" w:ascii="Times New Roman" w:hAnsi="Times New Roman" w:eastAsia="宋体" w:cs="Times New Roman"/>
                      <w:b w:val="0"/>
                      <w:bCs w:val="0"/>
                      <w:color w:val="000000"/>
                      <w:kern w:val="2"/>
                      <w:sz w:val="21"/>
                      <w:szCs w:val="21"/>
                      <w:highlight w:val="none"/>
                      <w:vertAlign w:val="superscript"/>
                      <w:lang w:val="en-US" w:eastAsia="zh-CN" w:bidi="ar-SA"/>
                    </w:rPr>
                    <w:t>3</w:t>
                  </w:r>
                </w:p>
              </w:tc>
              <w:tc>
                <w:tcPr>
                  <w:tcW w:w="0" w:type="auto"/>
                  <w:tcBorders>
                    <w:tl2br w:val="nil"/>
                    <w:tr2bl w:val="nil"/>
                  </w:tcBorders>
                  <w:vAlign w:val="center"/>
                </w:tcPr>
                <w:p w14:paraId="11DCB4B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10kg/h</w:t>
                  </w:r>
                </w:p>
              </w:tc>
              <w:tc>
                <w:tcPr>
                  <w:tcW w:w="0" w:type="auto"/>
                  <w:tcBorders>
                    <w:tl2br w:val="nil"/>
                    <w:tr2bl w:val="nil"/>
                  </w:tcBorders>
                  <w:vAlign w:val="center"/>
                </w:tcPr>
                <w:p w14:paraId="2245269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c>
                <w:tcPr>
                  <w:tcW w:w="0" w:type="auto"/>
                  <w:tcBorders>
                    <w:tl2br w:val="nil"/>
                    <w:tr2bl w:val="nil"/>
                  </w:tcBorders>
                  <w:vAlign w:val="center"/>
                </w:tcPr>
                <w:p w14:paraId="36D8952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60</w:t>
                  </w:r>
                  <w:r>
                    <w:rPr>
                      <w:rFonts w:hint="default" w:ascii="Times New Roman" w:hAnsi="Times New Roman" w:eastAsia="宋体" w:cs="Times New Roman"/>
                      <w:sz w:val="21"/>
                      <w:szCs w:val="21"/>
                      <w:highlight w:val="none"/>
                      <w:lang w:val="en-US" w:eastAsia="zh-CN"/>
                    </w:rPr>
                    <w:t>mg/m</w:t>
                  </w:r>
                  <w:r>
                    <w:rPr>
                      <w:rFonts w:hint="default" w:ascii="Times New Roman" w:hAnsi="Times New Roman" w:eastAsia="宋体" w:cs="Times New Roman"/>
                      <w:sz w:val="21"/>
                      <w:szCs w:val="21"/>
                      <w:highlight w:val="none"/>
                      <w:vertAlign w:val="superscript"/>
                      <w:lang w:val="en-US" w:eastAsia="zh-CN"/>
                    </w:rPr>
                    <w:t>3</w:t>
                  </w:r>
                </w:p>
              </w:tc>
              <w:tc>
                <w:tcPr>
                  <w:tcW w:w="0" w:type="auto"/>
                  <w:tcBorders>
                    <w:tl2br w:val="nil"/>
                    <w:tr2bl w:val="nil"/>
                  </w:tcBorders>
                  <w:vAlign w:val="center"/>
                </w:tcPr>
                <w:p w14:paraId="700ABCF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w:t>
                  </w:r>
                </w:p>
              </w:tc>
            </w:tr>
          </w:tbl>
          <w:p w14:paraId="7C0A7A16">
            <w:pPr>
              <w:jc w:val="both"/>
              <w:rPr>
                <w:rFonts w:hint="default" w:ascii="Times New Roman" w:hAnsi="Times New Roman" w:eastAsia="宋体" w:cs="Times New Roman"/>
                <w:b/>
                <w:bCs/>
                <w:color w:val="000000"/>
                <w:kern w:val="2"/>
                <w:sz w:val="21"/>
                <w:szCs w:val="21"/>
                <w:highlight w:val="none"/>
                <w:lang w:val="en-US" w:eastAsia="zh-CN" w:bidi="ar-SA"/>
              </w:rPr>
            </w:pPr>
          </w:p>
          <w:p w14:paraId="00A8076D">
            <w:pPr>
              <w:jc w:val="both"/>
              <w:rPr>
                <w:rFonts w:hint="default" w:ascii="Times New Roman" w:hAnsi="Times New Roman" w:eastAsia="宋体" w:cs="Times New Roman"/>
                <w:b/>
                <w:bCs/>
                <w:color w:val="000000"/>
                <w:kern w:val="2"/>
                <w:sz w:val="21"/>
                <w:szCs w:val="21"/>
                <w:highlight w:val="none"/>
                <w:lang w:val="en-US" w:eastAsia="zh-CN" w:bidi="ar-SA"/>
              </w:rPr>
            </w:pPr>
          </w:p>
          <w:p w14:paraId="4BED107D">
            <w:pPr>
              <w:jc w:val="both"/>
              <w:rPr>
                <w:rFonts w:hint="default" w:ascii="Times New Roman" w:hAnsi="Times New Roman" w:eastAsia="宋体" w:cs="Times New Roman"/>
                <w:b/>
                <w:bCs/>
                <w:color w:val="000000"/>
                <w:kern w:val="2"/>
                <w:sz w:val="21"/>
                <w:szCs w:val="21"/>
                <w:highlight w:val="none"/>
                <w:lang w:val="en-US" w:eastAsia="zh-CN" w:bidi="ar-SA"/>
              </w:rPr>
            </w:pPr>
          </w:p>
          <w:p w14:paraId="24929D0C">
            <w:pPr>
              <w:jc w:val="both"/>
              <w:rPr>
                <w:rFonts w:hint="default" w:ascii="Times New Roman" w:hAnsi="Times New Roman" w:eastAsia="宋体" w:cs="Times New Roman"/>
                <w:b/>
                <w:bCs/>
                <w:color w:val="000000"/>
                <w:kern w:val="2"/>
                <w:sz w:val="21"/>
                <w:szCs w:val="21"/>
                <w:highlight w:val="none"/>
                <w:lang w:val="en-US" w:eastAsia="zh-CN" w:bidi="ar-SA"/>
              </w:rPr>
            </w:pPr>
          </w:p>
          <w:p w14:paraId="15A532AE">
            <w:pPr>
              <w:jc w:val="both"/>
              <w:rPr>
                <w:rFonts w:hint="default" w:ascii="Times New Roman" w:hAnsi="Times New Roman" w:eastAsia="宋体" w:cs="Times New Roman"/>
                <w:b/>
                <w:bCs/>
                <w:color w:val="000000"/>
                <w:kern w:val="2"/>
                <w:sz w:val="21"/>
                <w:szCs w:val="21"/>
                <w:highlight w:val="none"/>
                <w:lang w:val="en-US" w:eastAsia="zh-CN" w:bidi="ar-SA"/>
              </w:rPr>
            </w:pPr>
          </w:p>
          <w:p w14:paraId="35C683FA">
            <w:pPr>
              <w:jc w:val="both"/>
              <w:rPr>
                <w:rFonts w:hint="default" w:ascii="Times New Roman" w:hAnsi="Times New Roman" w:eastAsia="宋体" w:cs="Times New Roman"/>
                <w:b/>
                <w:bCs/>
                <w:color w:val="000000"/>
                <w:kern w:val="2"/>
                <w:sz w:val="21"/>
                <w:szCs w:val="21"/>
                <w:highlight w:val="none"/>
                <w:lang w:val="en-US" w:eastAsia="zh-CN" w:bidi="ar-SA"/>
              </w:rPr>
            </w:pPr>
          </w:p>
          <w:p w14:paraId="7A1064B1">
            <w:pPr>
              <w:jc w:val="both"/>
              <w:rPr>
                <w:rFonts w:hint="default" w:ascii="Times New Roman" w:hAnsi="Times New Roman" w:eastAsia="宋体" w:cs="Times New Roman"/>
                <w:b/>
                <w:bCs/>
                <w:color w:val="000000"/>
                <w:kern w:val="2"/>
                <w:sz w:val="21"/>
                <w:szCs w:val="21"/>
                <w:highlight w:val="none"/>
                <w:lang w:val="en-US" w:eastAsia="zh-CN" w:bidi="ar-SA"/>
              </w:rPr>
            </w:pPr>
          </w:p>
          <w:p w14:paraId="1362EEF7">
            <w:pPr>
              <w:jc w:val="both"/>
              <w:rPr>
                <w:rFonts w:hint="default" w:ascii="Times New Roman" w:hAnsi="Times New Roman" w:eastAsia="宋体" w:cs="Times New Roman"/>
                <w:b/>
                <w:bCs/>
                <w:color w:val="000000"/>
                <w:kern w:val="2"/>
                <w:sz w:val="21"/>
                <w:szCs w:val="21"/>
                <w:highlight w:val="none"/>
                <w:lang w:val="en-US" w:eastAsia="zh-CN" w:bidi="ar-SA"/>
              </w:rPr>
            </w:pPr>
          </w:p>
          <w:p w14:paraId="1B87BE8D">
            <w:pPr>
              <w:jc w:val="both"/>
              <w:rPr>
                <w:rFonts w:hint="default" w:ascii="Times New Roman" w:hAnsi="Times New Roman" w:eastAsia="宋体" w:cs="Times New Roman"/>
                <w:b/>
                <w:bCs/>
                <w:color w:val="000000"/>
                <w:kern w:val="2"/>
                <w:sz w:val="21"/>
                <w:szCs w:val="21"/>
                <w:highlight w:val="none"/>
                <w:lang w:val="en-US" w:eastAsia="zh-CN" w:bidi="ar-SA"/>
              </w:rPr>
            </w:pPr>
          </w:p>
          <w:p w14:paraId="3D43E94D">
            <w:pPr>
              <w:jc w:val="both"/>
              <w:rPr>
                <w:rFonts w:hint="default" w:ascii="Times New Roman" w:hAnsi="Times New Roman" w:eastAsia="宋体" w:cs="Times New Roman"/>
                <w:b/>
                <w:bCs/>
                <w:color w:val="000000"/>
                <w:kern w:val="2"/>
                <w:sz w:val="21"/>
                <w:szCs w:val="21"/>
                <w:highlight w:val="none"/>
                <w:lang w:val="en-US" w:eastAsia="zh-CN" w:bidi="ar-SA"/>
              </w:rPr>
            </w:pPr>
          </w:p>
          <w:p w14:paraId="1F19E9DF">
            <w:pPr>
              <w:jc w:val="both"/>
              <w:rPr>
                <w:rFonts w:hint="default" w:ascii="Times New Roman" w:hAnsi="Times New Roman" w:eastAsia="宋体" w:cs="Times New Roman"/>
                <w:b/>
                <w:bCs/>
                <w:color w:val="000000"/>
                <w:kern w:val="2"/>
                <w:sz w:val="21"/>
                <w:szCs w:val="21"/>
                <w:highlight w:val="none"/>
                <w:lang w:val="en-US" w:eastAsia="zh-CN" w:bidi="ar-SA"/>
              </w:rPr>
            </w:pPr>
          </w:p>
          <w:p w14:paraId="1A767953">
            <w:pPr>
              <w:jc w:val="both"/>
              <w:rPr>
                <w:rFonts w:hint="default" w:ascii="Times New Roman" w:hAnsi="Times New Roman" w:eastAsia="宋体" w:cs="Times New Roman"/>
                <w:b/>
                <w:bCs/>
                <w:color w:val="000000"/>
                <w:kern w:val="2"/>
                <w:sz w:val="21"/>
                <w:szCs w:val="21"/>
                <w:highlight w:val="none"/>
                <w:lang w:val="en-US" w:eastAsia="zh-CN" w:bidi="ar-SA"/>
              </w:rPr>
            </w:pPr>
          </w:p>
          <w:p w14:paraId="149B63A4">
            <w:pPr>
              <w:jc w:val="both"/>
              <w:rPr>
                <w:rFonts w:hint="default" w:ascii="Times New Roman" w:hAnsi="Times New Roman" w:eastAsia="宋体" w:cs="Times New Roman"/>
                <w:b/>
                <w:bCs/>
                <w:color w:val="000000"/>
                <w:kern w:val="2"/>
                <w:sz w:val="21"/>
                <w:szCs w:val="21"/>
                <w:highlight w:val="none"/>
                <w:lang w:val="en-US" w:eastAsia="zh-CN" w:bidi="ar-SA"/>
              </w:rPr>
            </w:pPr>
          </w:p>
          <w:p w14:paraId="7DB58299">
            <w:pPr>
              <w:jc w:val="both"/>
              <w:rPr>
                <w:rFonts w:hint="default" w:ascii="Times New Roman" w:hAnsi="Times New Roman" w:eastAsia="宋体" w:cs="Times New Roman"/>
                <w:b/>
                <w:bCs/>
                <w:color w:val="000000"/>
                <w:kern w:val="2"/>
                <w:sz w:val="21"/>
                <w:szCs w:val="21"/>
                <w:highlight w:val="none"/>
                <w:lang w:val="en-US" w:eastAsia="zh-CN" w:bidi="ar-SA"/>
              </w:rPr>
            </w:pPr>
          </w:p>
          <w:p w14:paraId="44167B56">
            <w:pPr>
              <w:jc w:val="both"/>
              <w:rPr>
                <w:rFonts w:hint="default" w:ascii="Times New Roman" w:hAnsi="Times New Roman" w:eastAsia="宋体" w:cs="Times New Roman"/>
                <w:b/>
                <w:bCs/>
                <w:color w:val="000000"/>
                <w:kern w:val="2"/>
                <w:sz w:val="21"/>
                <w:szCs w:val="21"/>
                <w:highlight w:val="none"/>
                <w:lang w:val="en-US" w:eastAsia="zh-CN" w:bidi="ar-SA"/>
              </w:rPr>
            </w:pPr>
          </w:p>
          <w:p w14:paraId="4DBD02E6">
            <w:pPr>
              <w:jc w:val="both"/>
              <w:rPr>
                <w:rFonts w:hint="default" w:ascii="Times New Roman" w:hAnsi="Times New Roman" w:eastAsia="宋体" w:cs="Times New Roman"/>
                <w:b/>
                <w:bCs/>
                <w:color w:val="000000"/>
                <w:kern w:val="2"/>
                <w:sz w:val="21"/>
                <w:szCs w:val="21"/>
                <w:highlight w:val="none"/>
                <w:lang w:val="en-US" w:eastAsia="zh-CN" w:bidi="ar-SA"/>
              </w:rPr>
            </w:pPr>
          </w:p>
        </w:tc>
      </w:tr>
    </w:tbl>
    <w:p w14:paraId="0BB6687E">
      <w:pPr>
        <w:rPr>
          <w:highlight w:val="none"/>
        </w:rPr>
        <w:sectPr>
          <w:footerReference r:id="rId6" w:type="default"/>
          <w:pgSz w:w="16840" w:h="11907" w:orient="landscape"/>
          <w:pgMar w:top="1134" w:right="1417" w:bottom="1134" w:left="1417" w:header="851" w:footer="907" w:gutter="0"/>
          <w:pgBorders>
            <w:top w:val="none" w:sz="0" w:space="0"/>
            <w:left w:val="none" w:sz="0" w:space="0"/>
            <w:bottom w:val="none" w:sz="0" w:space="0"/>
            <w:right w:val="none" w:sz="0" w:space="0"/>
          </w:pgBorders>
          <w:pgNumType w:fmt="decimal"/>
          <w:cols w:space="720" w:num="1"/>
          <w:docGrid w:linePitch="312" w:charSpace="0"/>
        </w:sectPr>
      </w:pPr>
    </w:p>
    <w:tbl>
      <w:tblPr>
        <w:tblStyle w:val="22"/>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420750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49" w:hRule="atLeast"/>
          <w:jc w:val="center"/>
        </w:trPr>
        <w:tc>
          <w:tcPr>
            <w:tcW w:w="746" w:type="dxa"/>
            <w:noWrap w:val="0"/>
            <w:tcMar>
              <w:left w:w="28" w:type="dxa"/>
              <w:right w:w="28" w:type="dxa"/>
            </w:tcMar>
            <w:vAlign w:val="center"/>
          </w:tcPr>
          <w:p w14:paraId="04DC5A84">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运营</w:t>
            </w:r>
          </w:p>
          <w:p w14:paraId="24BAA152">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期环</w:t>
            </w:r>
          </w:p>
          <w:p w14:paraId="5220BF83">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境影</w:t>
            </w:r>
          </w:p>
          <w:p w14:paraId="5D163C33">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响和</w:t>
            </w:r>
          </w:p>
          <w:p w14:paraId="22C167BB">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保护</w:t>
            </w:r>
          </w:p>
          <w:p w14:paraId="0511C173">
            <w:pPr>
              <w:adjustRightInd w:val="0"/>
              <w:snapToGrid w:val="0"/>
              <w:jc w:val="center"/>
              <w:rPr>
                <w:rFonts w:ascii="宋体" w:hAnsi="宋体" w:cs="宋体"/>
                <w:bCs/>
                <w:szCs w:val="21"/>
                <w:highlight w:val="none"/>
              </w:rPr>
            </w:pPr>
            <w:r>
              <w:rPr>
                <w:rFonts w:hint="eastAsia" w:ascii="宋体" w:hAnsi="宋体" w:cs="宋体"/>
                <w:bCs/>
                <w:szCs w:val="21"/>
                <w:highlight w:val="none"/>
              </w:rPr>
              <w:t>措施</w:t>
            </w:r>
          </w:p>
        </w:tc>
        <w:tc>
          <w:tcPr>
            <w:tcW w:w="8162" w:type="dxa"/>
            <w:noWrap w:val="0"/>
            <w:vAlign w:val="center"/>
          </w:tcPr>
          <w:p w14:paraId="00C759C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1.2 污染源源强核算过程及达标情况分析</w:t>
            </w:r>
          </w:p>
          <w:p w14:paraId="5B7774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根据产污环节分析，本项目运营期废气主要</w:t>
            </w:r>
            <w:r>
              <w:rPr>
                <w:rFonts w:hint="eastAsia" w:ascii="Times New Roman" w:hAnsi="Times New Roman" w:eastAsia="宋体" w:cs="Times New Roman"/>
                <w:sz w:val="24"/>
                <w:szCs w:val="24"/>
                <w:highlight w:val="none"/>
                <w:lang w:val="en-US" w:eastAsia="zh-CN"/>
              </w:rPr>
              <w:t>为</w:t>
            </w:r>
            <w:r>
              <w:rPr>
                <w:rFonts w:hint="default" w:ascii="Times New Roman" w:hAnsi="Times New Roman" w:eastAsia="宋体" w:cs="Times New Roman"/>
                <w:sz w:val="24"/>
                <w:szCs w:val="24"/>
                <w:highlight w:val="none"/>
                <w:lang w:val="en-US" w:eastAsia="zh-CN"/>
              </w:rPr>
              <w:t>除锈废气</w:t>
            </w:r>
            <w:r>
              <w:rPr>
                <w:rFonts w:hint="eastAsia" w:ascii="Times New Roman" w:hAnsi="Times New Roman" w:eastAsia="宋体" w:cs="Times New Roman"/>
                <w:sz w:val="24"/>
                <w:szCs w:val="24"/>
                <w:highlight w:val="none"/>
                <w:lang w:val="en-US" w:eastAsia="zh-CN"/>
              </w:rPr>
              <w:t>、烧</w:t>
            </w:r>
            <w:r>
              <w:rPr>
                <w:rFonts w:hint="eastAsia" w:ascii="Times New Roman" w:hAnsi="Times New Roman" w:eastAsia="宋体" w:cs="Times New Roman"/>
                <w:color w:val="auto"/>
                <w:kern w:val="2"/>
                <w:sz w:val="24"/>
                <w:szCs w:val="24"/>
                <w:highlight w:val="none"/>
                <w:lang w:val="en-US" w:eastAsia="zh-CN" w:bidi="ar-SA"/>
              </w:rPr>
              <w:t>结抽真空废气、等静压</w:t>
            </w:r>
            <w:r>
              <w:rPr>
                <w:rFonts w:hint="eastAsia" w:cs="Times New Roman"/>
                <w:color w:val="auto"/>
                <w:kern w:val="2"/>
                <w:sz w:val="24"/>
                <w:szCs w:val="24"/>
                <w:highlight w:val="none"/>
                <w:lang w:val="en-US" w:eastAsia="zh-CN" w:bidi="ar-SA"/>
              </w:rPr>
              <w:t>成型</w:t>
            </w:r>
            <w:r>
              <w:rPr>
                <w:rFonts w:hint="eastAsia" w:ascii="Times New Roman" w:hAnsi="Times New Roman" w:eastAsia="宋体" w:cs="Times New Roman"/>
                <w:color w:val="auto"/>
                <w:kern w:val="2"/>
                <w:sz w:val="24"/>
                <w:szCs w:val="24"/>
                <w:highlight w:val="none"/>
                <w:lang w:val="en-US" w:eastAsia="zh-CN" w:bidi="ar-SA"/>
              </w:rPr>
              <w:t>废气、氢碎炉含尘废气。</w:t>
            </w:r>
            <w:r>
              <w:rPr>
                <w:rFonts w:hint="default" w:ascii="Times New Roman" w:hAnsi="Times New Roman" w:eastAsia="宋体" w:cs="Times New Roman"/>
                <w:color w:val="auto"/>
                <w:kern w:val="2"/>
                <w:sz w:val="24"/>
                <w:szCs w:val="24"/>
                <w:highlight w:val="none"/>
                <w:lang w:val="en-US" w:eastAsia="zh-CN" w:bidi="ar-SA"/>
              </w:rPr>
              <w:t>具体产排情况分析如下：</w:t>
            </w:r>
          </w:p>
          <w:p w14:paraId="0484BD6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zh-CN" w:eastAsia="zh-CN" w:bidi="ar-SA"/>
              </w:rPr>
              <w:t>①</w:t>
            </w:r>
            <w:r>
              <w:rPr>
                <w:rFonts w:hint="default" w:ascii="Times New Roman" w:hAnsi="Times New Roman" w:eastAsia="宋体" w:cs="Times New Roman"/>
                <w:b/>
                <w:bCs/>
                <w:color w:val="auto"/>
                <w:kern w:val="2"/>
                <w:sz w:val="24"/>
                <w:szCs w:val="24"/>
                <w:highlight w:val="none"/>
                <w:lang w:val="en-US" w:eastAsia="zh-CN" w:bidi="ar-SA"/>
              </w:rPr>
              <w:t>除锈废气</w:t>
            </w:r>
          </w:p>
          <w:p w14:paraId="768CA60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bidi="ar-SA"/>
              </w:rPr>
              <w:t>本项目在原料处理</w:t>
            </w:r>
            <w:r>
              <w:rPr>
                <w:rFonts w:hint="eastAsia" w:cs="Times New Roman"/>
                <w:b w:val="0"/>
                <w:bCs w:val="0"/>
                <w:color w:val="auto"/>
                <w:kern w:val="2"/>
                <w:sz w:val="24"/>
                <w:szCs w:val="24"/>
                <w:highlight w:val="none"/>
                <w:lang w:val="en-US" w:eastAsia="zh-CN" w:bidi="ar-SA"/>
              </w:rPr>
              <w:t>工序</w:t>
            </w:r>
            <w:r>
              <w:rPr>
                <w:rFonts w:hint="default" w:ascii="Times New Roman" w:hAnsi="Times New Roman" w:eastAsia="宋体" w:cs="Times New Roman"/>
                <w:b w:val="0"/>
                <w:bCs w:val="0"/>
                <w:color w:val="auto"/>
                <w:kern w:val="2"/>
                <w:sz w:val="24"/>
                <w:szCs w:val="24"/>
                <w:highlight w:val="none"/>
                <w:lang w:val="en-US" w:eastAsia="zh-CN" w:bidi="ar-SA"/>
              </w:rPr>
              <w:t>中对</w:t>
            </w:r>
            <w:r>
              <w:rPr>
                <w:rFonts w:hint="eastAsia" w:cs="Times New Roman"/>
                <w:b w:val="0"/>
                <w:bCs w:val="0"/>
                <w:color w:val="auto"/>
                <w:kern w:val="2"/>
                <w:sz w:val="24"/>
                <w:szCs w:val="24"/>
                <w:highlight w:val="none"/>
                <w:lang w:val="en-US" w:eastAsia="zh-CN" w:bidi="ar-SA"/>
              </w:rPr>
              <w:t>纯铁</w:t>
            </w:r>
            <w:r>
              <w:rPr>
                <w:rFonts w:hint="default" w:ascii="Times New Roman" w:hAnsi="Times New Roman" w:eastAsia="宋体" w:cs="Times New Roman"/>
                <w:b w:val="0"/>
                <w:bCs w:val="0"/>
                <w:color w:val="auto"/>
                <w:kern w:val="2"/>
                <w:sz w:val="24"/>
                <w:szCs w:val="24"/>
                <w:highlight w:val="none"/>
                <w:lang w:val="en-US" w:eastAsia="zh-CN" w:bidi="ar-SA"/>
              </w:rPr>
              <w:t>进行除锈，</w:t>
            </w:r>
            <w:r>
              <w:rPr>
                <w:rFonts w:hint="default" w:ascii="Times New Roman" w:hAnsi="Times New Roman" w:eastAsia="宋体" w:cs="Times New Roman"/>
                <w:sz w:val="24"/>
                <w:szCs w:val="24"/>
                <w:highlight w:val="none"/>
                <w:lang w:val="en-US" w:eastAsia="zh-CN"/>
              </w:rPr>
              <w:t>经除锈后的</w:t>
            </w:r>
            <w:r>
              <w:rPr>
                <w:rFonts w:hint="eastAsia" w:cs="Times New Roman"/>
                <w:b w:val="0"/>
                <w:bCs w:val="0"/>
                <w:color w:val="auto"/>
                <w:kern w:val="2"/>
                <w:sz w:val="24"/>
                <w:szCs w:val="24"/>
                <w:highlight w:val="none"/>
                <w:lang w:val="en-US" w:eastAsia="zh-CN" w:bidi="ar-SA"/>
              </w:rPr>
              <w:t>纯铁</w:t>
            </w:r>
            <w:r>
              <w:rPr>
                <w:rFonts w:hint="default" w:ascii="Times New Roman" w:hAnsi="Times New Roman" w:eastAsia="宋体" w:cs="Times New Roman"/>
                <w:sz w:val="24"/>
                <w:szCs w:val="24"/>
                <w:highlight w:val="none"/>
                <w:lang w:val="en-US" w:eastAsia="zh-CN"/>
              </w:rPr>
              <w:t>与硼铁、金属钕等按产品的要求进行称重配料后，采用铸片炉进行浇铸。在除锈过程中会产生粉尘</w:t>
            </w:r>
            <w:r>
              <w:rPr>
                <w:rFonts w:hint="eastAsia" w:cs="Times New Roman"/>
                <w:sz w:val="24"/>
                <w:szCs w:val="24"/>
                <w:highlight w:val="none"/>
                <w:lang w:val="en-US" w:eastAsia="zh-CN"/>
              </w:rPr>
              <w:t>，除锈工序年运行时间2400h</w:t>
            </w:r>
            <w:r>
              <w:rPr>
                <w:rFonts w:hint="default" w:ascii="Times New Roman" w:hAnsi="Times New Roman" w:eastAsia="宋体" w:cs="Times New Roman"/>
                <w:sz w:val="24"/>
                <w:szCs w:val="24"/>
                <w:highlight w:val="none"/>
                <w:lang w:val="en-US" w:eastAsia="zh-CN"/>
              </w:rPr>
              <w:t>。</w:t>
            </w:r>
          </w:p>
          <w:p w14:paraId="08515F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根据《38-40 电子电气行业系数手册》，除锈工段，</w:t>
            </w:r>
            <w:r>
              <w:rPr>
                <w:rFonts w:hint="eastAsia" w:cs="Times New Roman"/>
                <w:color w:val="auto"/>
                <w:kern w:val="2"/>
                <w:sz w:val="24"/>
                <w:szCs w:val="24"/>
                <w:highlight w:val="none"/>
                <w:lang w:val="en-US" w:eastAsia="zh-CN" w:bidi="ar-SA"/>
              </w:rPr>
              <w:t>抛丸除锈工艺</w:t>
            </w:r>
            <w:r>
              <w:rPr>
                <w:rFonts w:hint="eastAsia" w:ascii="Times New Roman" w:hAnsi="Times New Roman" w:eastAsia="宋体" w:cs="Times New Roman"/>
                <w:color w:val="auto"/>
                <w:kern w:val="2"/>
                <w:sz w:val="24"/>
                <w:szCs w:val="24"/>
                <w:highlight w:val="none"/>
                <w:lang w:val="en-US" w:eastAsia="zh-CN" w:bidi="ar-SA"/>
              </w:rPr>
              <w:t>颗粒物产污系数为4.87g/kg金属材料，</w:t>
            </w:r>
            <w:r>
              <w:rPr>
                <w:rFonts w:hint="eastAsia" w:cs="Times New Roman"/>
                <w:color w:val="auto"/>
                <w:kern w:val="2"/>
                <w:sz w:val="24"/>
                <w:szCs w:val="24"/>
                <w:highlight w:val="none"/>
                <w:lang w:val="en-US" w:eastAsia="zh-CN" w:bidi="ar-SA"/>
              </w:rPr>
              <w:t>工业废气量为7.124×10</w:t>
            </w:r>
            <w:r>
              <w:rPr>
                <w:rFonts w:hint="eastAsia" w:ascii="Times New Roman" w:hAnsi="Times New Roman" w:eastAsia="宋体" w:cs="Times New Roman"/>
                <w:color w:val="auto"/>
                <w:kern w:val="2"/>
                <w:sz w:val="24"/>
                <w:szCs w:val="24"/>
                <w:highlight w:val="none"/>
                <w:lang w:val="en-US" w:eastAsia="zh-CN" w:bidi="ar-SA"/>
              </w:rPr>
              <w:t>本项目纯铁使用量为700t/a，则本项目除锈工序产生的粉尘量为3.4</w:t>
            </w:r>
            <w:r>
              <w:rPr>
                <w:rFonts w:hint="eastAsia" w:cs="Times New Roman"/>
                <w:color w:val="auto"/>
                <w:kern w:val="2"/>
                <w:sz w:val="24"/>
                <w:szCs w:val="24"/>
                <w:highlight w:val="none"/>
                <w:lang w:val="en-US" w:eastAsia="zh-CN" w:bidi="ar-SA"/>
              </w:rPr>
              <w:t>1</w:t>
            </w:r>
            <w:r>
              <w:rPr>
                <w:rFonts w:hint="eastAsia" w:ascii="Times New Roman" w:hAnsi="Times New Roman" w:eastAsia="宋体" w:cs="Times New Roman"/>
                <w:color w:val="auto"/>
                <w:kern w:val="2"/>
                <w:sz w:val="24"/>
                <w:szCs w:val="24"/>
                <w:highlight w:val="none"/>
                <w:lang w:val="en-US" w:eastAsia="zh-CN" w:bidi="ar-SA"/>
              </w:rPr>
              <w:t>t/a。</w:t>
            </w:r>
            <w:r>
              <w:rPr>
                <w:rFonts w:hint="eastAsia" w:ascii="Times New Roman" w:hAnsi="Times New Roman" w:eastAsia="宋体" w:cs="Times New Roman"/>
                <w:b w:val="0"/>
                <w:bCs w:val="0"/>
                <w:color w:val="auto"/>
                <w:kern w:val="2"/>
                <w:sz w:val="24"/>
                <w:szCs w:val="24"/>
                <w:highlight w:val="none"/>
                <w:lang w:val="en-US" w:eastAsia="zh-CN" w:bidi="ar-SA"/>
              </w:rPr>
              <w:t>除锈工序抛丸机除尘口延伸出的风管与袋式除尘器连接，废气经袋式除尘器处理后由15m排气筒（DA001）排放。</w:t>
            </w:r>
            <w:r>
              <w:rPr>
                <w:rFonts w:hint="eastAsia" w:cs="Times New Roman"/>
                <w:b w:val="0"/>
                <w:bCs w:val="0"/>
                <w:color w:val="auto"/>
                <w:kern w:val="2"/>
                <w:sz w:val="24"/>
                <w:szCs w:val="24"/>
                <w:highlight w:val="none"/>
                <w:lang w:val="en-US" w:eastAsia="zh-CN" w:bidi="ar-SA"/>
              </w:rPr>
              <w:t>除尘器</w:t>
            </w:r>
            <w:r>
              <w:rPr>
                <w:rFonts w:hint="eastAsia" w:ascii="Times New Roman" w:hAnsi="Times New Roman" w:eastAsia="宋体" w:cs="Times New Roman"/>
                <w:b w:val="0"/>
                <w:bCs w:val="0"/>
                <w:color w:val="auto"/>
                <w:kern w:val="2"/>
                <w:sz w:val="24"/>
                <w:szCs w:val="24"/>
                <w:highlight w:val="none"/>
                <w:lang w:val="en-US" w:eastAsia="zh-CN" w:bidi="ar-SA"/>
              </w:rPr>
              <w:t>风机风量为5500</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/h</w:t>
            </w:r>
            <w:r>
              <w:rPr>
                <w:rFonts w:hint="eastAsia" w:ascii="Times New Roman" w:hAnsi="Times New Roman" w:eastAsia="宋体" w:cs="Times New Roman"/>
                <w:b w:val="0"/>
                <w:bCs w:val="0"/>
                <w:color w:val="auto"/>
                <w:kern w:val="2"/>
                <w:sz w:val="24"/>
                <w:szCs w:val="24"/>
                <w:highlight w:val="none"/>
                <w:lang w:val="en-US" w:eastAsia="zh-CN" w:bidi="ar-SA"/>
              </w:rPr>
              <w:t>。布袋过滤风速0.6m/min，过滤面积153m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2</w:t>
            </w:r>
            <w:r>
              <w:rPr>
                <w:rFonts w:hint="eastAsia" w:ascii="Times New Roman" w:hAnsi="Times New Roman" w:eastAsia="宋体" w:cs="Times New Roman"/>
                <w:b w:val="0"/>
                <w:bCs w:val="0"/>
                <w:color w:val="auto"/>
                <w:kern w:val="2"/>
                <w:sz w:val="24"/>
                <w:szCs w:val="24"/>
                <w:highlight w:val="none"/>
                <w:lang w:val="en-US" w:eastAsia="zh-CN" w:bidi="ar-SA"/>
              </w:rPr>
              <w:t>。</w:t>
            </w:r>
          </w:p>
          <w:p w14:paraId="05E1C4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4"/>
                <w:szCs w:val="24"/>
                <w:highlight w:val="none"/>
                <w:lang w:val="en-US" w:eastAsia="zh-CN" w:bidi="ar-SA"/>
              </w:rPr>
              <w:t>经布袋除尘器处理后，</w:t>
            </w:r>
            <w:r>
              <w:rPr>
                <w:rFonts w:hint="eastAsia" w:ascii="Times New Roman" w:hAnsi="Times New Roman" w:eastAsia="宋体" w:cs="Times New Roman"/>
                <w:color w:val="auto"/>
                <w:kern w:val="2"/>
                <w:sz w:val="24"/>
                <w:szCs w:val="24"/>
                <w:highlight w:val="none"/>
                <w:lang w:val="en-US" w:eastAsia="zh-CN" w:bidi="ar-SA"/>
              </w:rPr>
              <w:t>项目除锈工序粉尘排放浓度</w:t>
            </w:r>
            <w:r>
              <w:rPr>
                <w:rFonts w:hint="eastAsia" w:cs="Times New Roman"/>
                <w:color w:val="auto"/>
                <w:kern w:val="2"/>
                <w:sz w:val="24"/>
                <w:szCs w:val="24"/>
                <w:highlight w:val="none"/>
                <w:lang w:val="en-US" w:eastAsia="zh-CN" w:bidi="ar-SA"/>
              </w:rPr>
              <w:t>可达到</w:t>
            </w:r>
            <w:r>
              <w:rPr>
                <w:rFonts w:hint="eastAsia" w:ascii="Times New Roman" w:hAnsi="Times New Roman" w:eastAsia="宋体" w:cs="Times New Roman"/>
                <w:color w:val="auto"/>
                <w:kern w:val="2"/>
                <w:sz w:val="24"/>
                <w:szCs w:val="24"/>
                <w:highlight w:val="none"/>
                <w:lang w:val="en-US" w:eastAsia="zh-CN" w:bidi="ar-SA"/>
              </w:rPr>
              <w:t>10</w:t>
            </w:r>
            <w:r>
              <w:rPr>
                <w:rFonts w:hint="default" w:ascii="Times New Roman" w:hAnsi="Times New Roman" w:eastAsia="宋体" w:cs="Times New Roman"/>
                <w:color w:val="auto"/>
                <w:kern w:val="2"/>
                <w:sz w:val="24"/>
                <w:szCs w:val="24"/>
                <w:highlight w:val="none"/>
                <w:lang w:val="en-US" w:eastAsia="zh-CN" w:bidi="ar-SA"/>
              </w:rPr>
              <w:t>mg/m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除尘器处理效率为95.92%；</w:t>
            </w:r>
            <w:r>
              <w:rPr>
                <w:rFonts w:hint="eastAsia" w:ascii="Times New Roman" w:hAnsi="Times New Roman" w:eastAsia="宋体" w:cs="Times New Roman"/>
                <w:color w:val="auto"/>
                <w:kern w:val="2"/>
                <w:sz w:val="24"/>
                <w:szCs w:val="24"/>
                <w:highlight w:val="none"/>
                <w:lang w:val="en-US" w:eastAsia="zh-CN" w:bidi="ar-SA"/>
              </w:rPr>
              <w:t>排放速率为0.</w:t>
            </w:r>
            <w:r>
              <w:rPr>
                <w:rFonts w:hint="eastAsia" w:cs="Times New Roman"/>
                <w:color w:val="auto"/>
                <w:kern w:val="2"/>
                <w:sz w:val="24"/>
                <w:szCs w:val="24"/>
                <w:highlight w:val="none"/>
                <w:lang w:val="en-US" w:eastAsia="zh-CN" w:bidi="ar-SA"/>
              </w:rPr>
              <w:t>0</w:t>
            </w:r>
            <w:r>
              <w:rPr>
                <w:rFonts w:hint="eastAsia" w:ascii="Times New Roman" w:hAnsi="Times New Roman" w:eastAsia="宋体" w:cs="Times New Roman"/>
                <w:color w:val="auto"/>
                <w:kern w:val="2"/>
                <w:sz w:val="24"/>
                <w:szCs w:val="24"/>
                <w:highlight w:val="none"/>
                <w:lang w:val="en-US" w:eastAsia="zh-CN" w:bidi="ar-SA"/>
              </w:rPr>
              <w:t>55</w:t>
            </w:r>
            <w:r>
              <w:rPr>
                <w:rFonts w:hint="default" w:ascii="Times New Roman" w:hAnsi="Times New Roman" w:eastAsia="宋体" w:cs="Times New Roman"/>
                <w:color w:val="auto"/>
                <w:kern w:val="2"/>
                <w:sz w:val="24"/>
                <w:szCs w:val="24"/>
                <w:highlight w:val="none"/>
                <w:lang w:val="en-US" w:eastAsia="zh-CN" w:bidi="ar-SA"/>
              </w:rPr>
              <w:t>kg/h</w:t>
            </w:r>
            <w:r>
              <w:rPr>
                <w:rFonts w:hint="eastAsia" w:ascii="Times New Roman" w:hAnsi="Times New Roman" w:eastAsia="宋体" w:cs="Times New Roman"/>
                <w:color w:val="auto"/>
                <w:kern w:val="2"/>
                <w:sz w:val="24"/>
                <w:szCs w:val="24"/>
                <w:highlight w:val="none"/>
                <w:lang w:val="en-US" w:eastAsia="zh-CN" w:bidi="ar-SA"/>
              </w:rPr>
              <w:t>，有组织排放量为</w:t>
            </w:r>
            <w:r>
              <w:rPr>
                <w:rFonts w:hint="eastAsia" w:cs="Times New Roman"/>
                <w:color w:val="auto"/>
                <w:kern w:val="2"/>
                <w:sz w:val="24"/>
                <w:szCs w:val="24"/>
                <w:highlight w:val="none"/>
                <w:lang w:val="en-US" w:eastAsia="zh-CN" w:bidi="ar-SA"/>
              </w:rPr>
              <w:t>0.132</w:t>
            </w:r>
            <w:r>
              <w:rPr>
                <w:rFonts w:hint="default" w:ascii="Times New Roman" w:hAnsi="Times New Roman" w:eastAsia="宋体" w:cs="Times New Roman"/>
                <w:color w:val="auto"/>
                <w:kern w:val="2"/>
                <w:sz w:val="24"/>
                <w:szCs w:val="24"/>
                <w:highlight w:val="none"/>
                <w:lang w:val="en-US" w:eastAsia="zh-CN" w:bidi="ar-SA"/>
              </w:rPr>
              <w:t>t/a</w:t>
            </w:r>
            <w:r>
              <w:rPr>
                <w:rFonts w:hint="eastAsia" w:ascii="Times New Roman" w:hAnsi="Times New Roman" w:eastAsia="宋体" w:cs="Times New Roman"/>
                <w:color w:val="auto"/>
                <w:kern w:val="2"/>
                <w:sz w:val="24"/>
                <w:szCs w:val="24"/>
                <w:highlight w:val="none"/>
                <w:lang w:val="en-US" w:eastAsia="zh-CN" w:bidi="ar-SA"/>
              </w:rPr>
              <w:t>；无组织排放量为0.</w:t>
            </w:r>
            <w:r>
              <w:rPr>
                <w:rFonts w:hint="eastAsia" w:cs="Times New Roman"/>
                <w:color w:val="auto"/>
                <w:kern w:val="2"/>
                <w:sz w:val="24"/>
                <w:szCs w:val="24"/>
                <w:highlight w:val="none"/>
                <w:lang w:val="en-US" w:eastAsia="zh-CN" w:bidi="ar-SA"/>
              </w:rPr>
              <w:t>17</w:t>
            </w:r>
            <w:r>
              <w:rPr>
                <w:rFonts w:hint="default" w:ascii="Times New Roman" w:hAnsi="Times New Roman" w:eastAsia="宋体" w:cs="Times New Roman"/>
                <w:color w:val="auto"/>
                <w:kern w:val="2"/>
                <w:sz w:val="24"/>
                <w:szCs w:val="24"/>
                <w:highlight w:val="none"/>
                <w:lang w:val="en-US" w:eastAsia="zh-CN" w:bidi="ar-SA"/>
              </w:rPr>
              <w:t>t/a</w:t>
            </w:r>
            <w:r>
              <w:rPr>
                <w:rFonts w:hint="eastAsia" w:ascii="Times New Roman" w:hAnsi="Times New Roman" w:eastAsia="宋体" w:cs="Times New Roman"/>
                <w:color w:val="auto"/>
                <w:kern w:val="2"/>
                <w:sz w:val="24"/>
                <w:szCs w:val="24"/>
                <w:highlight w:val="none"/>
                <w:lang w:val="en-US" w:eastAsia="zh-CN" w:bidi="ar-SA"/>
              </w:rPr>
              <w:t>。</w:t>
            </w:r>
          </w:p>
          <w:p w14:paraId="273EA89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②</w:t>
            </w:r>
            <w:r>
              <w:rPr>
                <w:rFonts w:hint="eastAsia" w:ascii="Times New Roman" w:hAnsi="Times New Roman" w:eastAsia="宋体" w:cs="Times New Roman"/>
                <w:b/>
                <w:bCs/>
                <w:color w:val="auto"/>
                <w:kern w:val="2"/>
                <w:sz w:val="24"/>
                <w:szCs w:val="24"/>
                <w:highlight w:val="none"/>
                <w:lang w:val="en-US" w:eastAsia="zh-CN" w:bidi="ar-SA"/>
              </w:rPr>
              <w:t>氢碎炉</w:t>
            </w:r>
            <w:r>
              <w:rPr>
                <w:rFonts w:hint="default" w:ascii="Times New Roman" w:hAnsi="Times New Roman" w:eastAsia="宋体" w:cs="Times New Roman"/>
                <w:b/>
                <w:bCs/>
                <w:color w:val="auto"/>
                <w:kern w:val="2"/>
                <w:sz w:val="24"/>
                <w:szCs w:val="24"/>
                <w:highlight w:val="none"/>
                <w:lang w:val="en-US" w:eastAsia="zh-CN" w:bidi="ar-SA"/>
              </w:rPr>
              <w:t>含尘废气</w:t>
            </w:r>
          </w:p>
          <w:p w14:paraId="1A3D54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设有2台氢碎炉用于钕铁硼合金的破碎。氢碎工序主要是利用合金在吸氢和放氢过程中本身所产生的沿晶断裂和穿晶断裂导致合金粉化，从而得到一定粒度的合金粉末。氢碎时吸氢主要为氢气进入合金中，合金吸氢后体积膨胀，合金开裂，将物料破碎。破碎后的合金需将吸收的氢气脱出，脱出的氢气利用氮气将其从氢碎炉内置换出来</w:t>
            </w:r>
            <w:r>
              <w:rPr>
                <w:rFonts w:hint="eastAsia" w:cs="Times New Roman"/>
                <w:color w:val="auto"/>
                <w:kern w:val="2"/>
                <w:sz w:val="24"/>
                <w:szCs w:val="24"/>
                <w:highlight w:val="none"/>
                <w:lang w:val="en-US" w:eastAsia="zh-CN" w:bidi="ar-SA"/>
              </w:rPr>
              <w:t>，置换过程大约为5min/次</w:t>
            </w:r>
            <w:r>
              <w:rPr>
                <w:rFonts w:hint="default" w:ascii="Times New Roman" w:hAnsi="Times New Roman" w:eastAsia="宋体" w:cs="Times New Roman"/>
                <w:color w:val="auto"/>
                <w:kern w:val="2"/>
                <w:sz w:val="24"/>
                <w:szCs w:val="24"/>
                <w:highlight w:val="none"/>
                <w:lang w:val="en-US" w:eastAsia="zh-CN" w:bidi="ar-SA"/>
              </w:rPr>
              <w:t>。生产时氢碎炉加工量约为500t/a-台，氢气用量为70m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/t-原料、35000m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/a-炉。本次环评以氢气全部脱出计，则脱氢氢气废气量为</w:t>
            </w:r>
            <w:r>
              <w:rPr>
                <w:rFonts w:hint="eastAsia" w:ascii="Times New Roman" w:hAnsi="Times New Roman" w:eastAsia="宋体" w:cs="Times New Roman"/>
                <w:color w:val="auto"/>
                <w:kern w:val="2"/>
                <w:sz w:val="24"/>
                <w:szCs w:val="24"/>
                <w:highlight w:val="none"/>
                <w:lang w:val="en-US" w:eastAsia="zh-CN" w:bidi="ar-SA"/>
              </w:rPr>
              <w:t>35</w:t>
            </w:r>
            <w:r>
              <w:rPr>
                <w:rFonts w:hint="default" w:ascii="Times New Roman" w:hAnsi="Times New Roman" w:eastAsia="宋体" w:cs="Times New Roman"/>
                <w:color w:val="auto"/>
                <w:kern w:val="2"/>
                <w:sz w:val="24"/>
                <w:szCs w:val="24"/>
                <w:highlight w:val="none"/>
                <w:lang w:val="en-US" w:eastAsia="zh-CN" w:bidi="ar-SA"/>
              </w:rPr>
              <w:t>000m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/a-炉</w:t>
            </w:r>
            <w:r>
              <w:rPr>
                <w:rFonts w:hint="eastAsia" w:cs="Times New Roman"/>
                <w:color w:val="auto"/>
                <w:kern w:val="2"/>
                <w:sz w:val="24"/>
                <w:szCs w:val="24"/>
                <w:highlight w:val="none"/>
                <w:lang w:val="en-US" w:eastAsia="zh-CN" w:bidi="ar-SA"/>
              </w:rPr>
              <w:t>，项目氢碎炉每天1炉，年工作300天，则置换过程年运行时间为25h，则风机所需风量为1400m</w:t>
            </w:r>
            <w:r>
              <w:rPr>
                <w:rFonts w:hint="eastAsia" w:cs="Times New Roman"/>
                <w:color w:val="auto"/>
                <w:kern w:val="2"/>
                <w:sz w:val="24"/>
                <w:szCs w:val="24"/>
                <w:highlight w:val="none"/>
                <w:vertAlign w:val="superscript"/>
                <w:lang w:val="en-US" w:eastAsia="zh-CN" w:bidi="ar-SA"/>
              </w:rPr>
              <w:t>3</w:t>
            </w:r>
            <w:r>
              <w:rPr>
                <w:rFonts w:hint="eastAsia" w:cs="Times New Roman"/>
                <w:color w:val="auto"/>
                <w:kern w:val="2"/>
                <w:sz w:val="24"/>
                <w:szCs w:val="24"/>
                <w:highlight w:val="none"/>
                <w:vertAlign w:val="baseline"/>
                <w:lang w:val="en-US" w:eastAsia="zh-CN" w:bidi="ar-SA"/>
              </w:rPr>
              <w:t>/h</w:t>
            </w:r>
            <w:r>
              <w:rPr>
                <w:rFonts w:hint="default" w:ascii="Times New Roman" w:hAnsi="Times New Roman" w:eastAsia="宋体" w:cs="Times New Roman"/>
                <w:color w:val="auto"/>
                <w:kern w:val="2"/>
                <w:sz w:val="24"/>
                <w:szCs w:val="24"/>
                <w:highlight w:val="none"/>
                <w:lang w:val="en-US" w:eastAsia="zh-CN" w:bidi="ar-SA"/>
              </w:rPr>
              <w:t>。在脱氢过程中会有少量的细粉随着外排废气（氢气、氮气）排出，经氢碎后的物料颗粒比重较大，随脱氢废气排放的物料较少，</w:t>
            </w:r>
            <w:r>
              <w:rPr>
                <w:rFonts w:hint="eastAsia" w:ascii="Times New Roman" w:hAnsi="Times New Roman" w:eastAsia="宋体" w:cs="Times New Roman"/>
                <w:color w:val="auto"/>
                <w:kern w:val="2"/>
                <w:sz w:val="24"/>
                <w:szCs w:val="24"/>
                <w:highlight w:val="none"/>
                <w:lang w:val="en-US" w:eastAsia="zh-CN" w:bidi="ar-SA"/>
              </w:rPr>
              <w:t>根据《38-40 电子电气行业系数手册》，机械加工工段粉碎工序，颗粒物产污系数为3.675×10</w:t>
            </w:r>
            <w:r>
              <w:rPr>
                <w:rFonts w:hint="eastAsia" w:ascii="Times New Roman" w:hAnsi="Times New Roman" w:eastAsia="宋体" w:cs="Times New Roman"/>
                <w:color w:val="auto"/>
                <w:kern w:val="2"/>
                <w:sz w:val="24"/>
                <w:szCs w:val="24"/>
                <w:highlight w:val="none"/>
                <w:vertAlign w:val="superscript"/>
                <w:lang w:val="en-US" w:eastAsia="zh-CN" w:bidi="ar-SA"/>
              </w:rPr>
              <w:t>-2</w:t>
            </w:r>
            <w:r>
              <w:rPr>
                <w:rFonts w:hint="eastAsia" w:ascii="Times New Roman" w:hAnsi="Times New Roman" w:eastAsia="宋体" w:cs="Times New Roman"/>
                <w:color w:val="auto"/>
                <w:kern w:val="2"/>
                <w:sz w:val="24"/>
                <w:szCs w:val="24"/>
                <w:highlight w:val="none"/>
                <w:lang w:val="en-US" w:eastAsia="zh-CN" w:bidi="ar-SA"/>
              </w:rPr>
              <w:t>g/kg金属材料，</w:t>
            </w:r>
            <w:r>
              <w:rPr>
                <w:rFonts w:hint="eastAsia" w:cs="Times New Roman"/>
                <w:color w:val="auto"/>
                <w:kern w:val="2"/>
                <w:sz w:val="24"/>
                <w:szCs w:val="24"/>
                <w:highlight w:val="none"/>
                <w:lang w:val="en-US" w:eastAsia="zh-CN" w:bidi="ar-SA"/>
              </w:rPr>
              <w:t>废气量系数为1.201×10</w:t>
            </w:r>
            <w:r>
              <w:rPr>
                <w:rFonts w:hint="eastAsia" w:cs="Times New Roman"/>
                <w:color w:val="auto"/>
                <w:kern w:val="2"/>
                <w:sz w:val="24"/>
                <w:szCs w:val="24"/>
                <w:highlight w:val="none"/>
                <w:vertAlign w:val="superscript"/>
                <w:lang w:val="en-US" w:eastAsia="zh-CN" w:bidi="ar-SA"/>
              </w:rPr>
              <w:t>2</w:t>
            </w:r>
            <w:r>
              <w:rPr>
                <w:rFonts w:hint="eastAsia" w:cs="Times New Roman"/>
                <w:color w:val="auto"/>
                <w:kern w:val="2"/>
                <w:sz w:val="24"/>
                <w:szCs w:val="24"/>
                <w:highlight w:val="none"/>
                <w:lang w:val="en-US" w:eastAsia="zh-CN" w:bidi="ar-SA"/>
              </w:rPr>
              <w:t>标立方米/吨-产品，</w:t>
            </w:r>
            <w:r>
              <w:rPr>
                <w:rFonts w:hint="eastAsia" w:ascii="Times New Roman" w:hAnsi="Times New Roman" w:eastAsia="宋体" w:cs="Times New Roman"/>
                <w:color w:val="auto"/>
                <w:kern w:val="2"/>
                <w:sz w:val="24"/>
                <w:szCs w:val="24"/>
                <w:highlight w:val="none"/>
                <w:lang w:val="en-US" w:eastAsia="zh-CN" w:bidi="ar-SA"/>
              </w:rPr>
              <w:t>则每台氢碎炉</w:t>
            </w:r>
            <w:r>
              <w:rPr>
                <w:rFonts w:hint="eastAsia" w:cs="Times New Roman"/>
                <w:color w:val="auto"/>
                <w:kern w:val="2"/>
                <w:sz w:val="24"/>
                <w:szCs w:val="24"/>
                <w:highlight w:val="none"/>
                <w:lang w:val="en-US" w:eastAsia="zh-CN" w:bidi="ar-SA"/>
              </w:rPr>
              <w:t>置换工序</w:t>
            </w:r>
            <w:r>
              <w:rPr>
                <w:rFonts w:hint="eastAsia" w:ascii="Times New Roman" w:hAnsi="Times New Roman" w:eastAsia="宋体" w:cs="Times New Roman"/>
                <w:color w:val="auto"/>
                <w:kern w:val="2"/>
                <w:sz w:val="24"/>
                <w:szCs w:val="24"/>
                <w:highlight w:val="none"/>
                <w:lang w:val="en-US" w:eastAsia="zh-CN" w:bidi="ar-SA"/>
              </w:rPr>
              <w:t>产生的粉尘量为0.018</w:t>
            </w:r>
            <w:r>
              <w:rPr>
                <w:rFonts w:hint="eastAsia" w:cs="Times New Roman"/>
                <w:color w:val="auto"/>
                <w:kern w:val="2"/>
                <w:sz w:val="24"/>
                <w:szCs w:val="24"/>
                <w:highlight w:val="none"/>
                <w:lang w:val="en-US" w:eastAsia="zh-CN" w:bidi="ar-SA"/>
              </w:rPr>
              <w:t>4</w:t>
            </w:r>
            <w:r>
              <w:rPr>
                <w:rFonts w:hint="eastAsia" w:ascii="Times New Roman" w:hAnsi="Times New Roman" w:eastAsia="宋体" w:cs="Times New Roman"/>
                <w:color w:val="auto"/>
                <w:kern w:val="2"/>
                <w:sz w:val="24"/>
                <w:szCs w:val="24"/>
                <w:highlight w:val="none"/>
                <w:lang w:val="en-US" w:eastAsia="zh-CN" w:bidi="ar-SA"/>
              </w:rPr>
              <w:t>t/a，</w:t>
            </w:r>
            <w:r>
              <w:rPr>
                <w:rFonts w:hint="eastAsia" w:cs="Times New Roman"/>
                <w:color w:val="auto"/>
                <w:kern w:val="2"/>
                <w:sz w:val="24"/>
                <w:szCs w:val="24"/>
                <w:highlight w:val="none"/>
                <w:lang w:val="en-US" w:eastAsia="zh-CN" w:bidi="ar-SA"/>
              </w:rPr>
              <w:t>废气量为</w:t>
            </w:r>
            <w:r>
              <w:rPr>
                <w:rFonts w:hint="eastAsia" w:ascii="Times New Roman" w:hAnsi="Times New Roman" w:eastAsia="宋体" w:cs="Times New Roman"/>
                <w:color w:val="auto"/>
                <w:kern w:val="2"/>
                <w:sz w:val="24"/>
                <w:szCs w:val="24"/>
                <w:highlight w:val="none"/>
                <w:lang w:val="en-US" w:eastAsia="zh-CN" w:bidi="ar-SA"/>
              </w:rPr>
              <w:t>产生浓度为5</w:t>
            </w:r>
            <w:r>
              <w:rPr>
                <w:rFonts w:hint="eastAsia" w:cs="Times New Roman"/>
                <w:color w:val="auto"/>
                <w:kern w:val="2"/>
                <w:sz w:val="24"/>
                <w:szCs w:val="24"/>
                <w:highlight w:val="none"/>
                <w:lang w:val="en-US" w:eastAsia="zh-CN" w:bidi="ar-SA"/>
              </w:rPr>
              <w:t>26</w:t>
            </w:r>
            <w:r>
              <w:rPr>
                <w:rFonts w:hint="eastAsia" w:ascii="Times New Roman" w:hAnsi="Times New Roman" w:eastAsia="宋体" w:cs="Times New Roman"/>
                <w:color w:val="auto"/>
                <w:kern w:val="2"/>
                <w:sz w:val="24"/>
                <w:szCs w:val="24"/>
                <w:highlight w:val="none"/>
                <w:lang w:val="en-US" w:eastAsia="zh-CN" w:bidi="ar-SA"/>
              </w:rPr>
              <w:t>mg/m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cs="Times New Roman"/>
                <w:color w:val="auto"/>
                <w:kern w:val="2"/>
                <w:sz w:val="24"/>
                <w:szCs w:val="24"/>
                <w:highlight w:val="none"/>
                <w:vertAlign w:val="baseline"/>
                <w:lang w:val="en-US" w:eastAsia="zh-CN" w:bidi="ar-SA"/>
              </w:rPr>
              <w:t>，两台氢碎炉置换氢气时产生的粉尘量共计为0.0368t/a</w:t>
            </w:r>
            <w:r>
              <w:rPr>
                <w:rFonts w:hint="eastAsia" w:ascii="Times New Roman" w:hAnsi="Times New Roman" w:eastAsia="宋体" w:cs="Times New Roman"/>
                <w:color w:val="auto"/>
                <w:kern w:val="2"/>
                <w:sz w:val="24"/>
                <w:szCs w:val="24"/>
                <w:highlight w:val="none"/>
                <w:lang w:val="en-US" w:eastAsia="zh-CN" w:bidi="ar-SA"/>
              </w:rPr>
              <w:t>。</w:t>
            </w:r>
          </w:p>
          <w:p w14:paraId="01F2E6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每台氢碎炉后均配备有超细粉过滤器，该过滤器筒体包括上筒体和下筒体，上筒体和下筒体通过法兰对接，进气口设置在下筒体侧壁上，而出气口则设置在上筒体的顶部；在上筒体和下筒体之间还设有一带过滤棒的孔板过滤器，在下筒体下部还连接有</w:t>
            </w:r>
            <w:r>
              <w:rPr>
                <w:rFonts w:hint="eastAsia" w:cs="Times New Roman"/>
                <w:color w:val="auto"/>
                <w:kern w:val="2"/>
                <w:sz w:val="24"/>
                <w:szCs w:val="24"/>
                <w:highlight w:val="none"/>
                <w:lang w:val="en-US" w:eastAsia="zh-CN" w:bidi="ar-SA"/>
              </w:rPr>
              <w:t>一个</w:t>
            </w:r>
            <w:r>
              <w:rPr>
                <w:rFonts w:hint="default" w:ascii="Times New Roman" w:hAnsi="Times New Roman" w:eastAsia="宋体" w:cs="Times New Roman"/>
                <w:color w:val="auto"/>
                <w:kern w:val="2"/>
                <w:sz w:val="24"/>
                <w:szCs w:val="24"/>
                <w:highlight w:val="none"/>
                <w:lang w:val="en-US" w:eastAsia="zh-CN" w:bidi="ar-SA"/>
              </w:rPr>
              <w:t>底部带出料口的下料斗。</w:t>
            </w:r>
            <w:r>
              <w:rPr>
                <w:rFonts w:hint="eastAsia" w:cs="Times New Roman"/>
                <w:color w:val="auto"/>
                <w:kern w:val="2"/>
                <w:sz w:val="24"/>
                <w:szCs w:val="24"/>
                <w:highlight w:val="none"/>
                <w:lang w:val="en-US" w:eastAsia="zh-CN" w:bidi="ar-SA"/>
              </w:rPr>
              <w:t>含尘废气</w:t>
            </w:r>
            <w:r>
              <w:rPr>
                <w:rFonts w:hint="default" w:ascii="Times New Roman" w:hAnsi="Times New Roman" w:eastAsia="宋体" w:cs="Times New Roman"/>
                <w:color w:val="auto"/>
                <w:kern w:val="2"/>
                <w:sz w:val="24"/>
                <w:szCs w:val="24"/>
                <w:highlight w:val="none"/>
                <w:lang w:val="en-US" w:eastAsia="zh-CN" w:bidi="ar-SA"/>
              </w:rPr>
              <w:t>经</w:t>
            </w:r>
            <w:r>
              <w:rPr>
                <w:rFonts w:hint="eastAsia" w:cs="Times New Roman"/>
                <w:color w:val="auto"/>
                <w:kern w:val="2"/>
                <w:sz w:val="24"/>
                <w:szCs w:val="24"/>
                <w:highlight w:val="none"/>
                <w:lang w:val="en-US" w:eastAsia="zh-CN" w:bidi="ar-SA"/>
              </w:rPr>
              <w:t>超细粉过滤器</w:t>
            </w:r>
            <w:r>
              <w:rPr>
                <w:rFonts w:hint="default" w:ascii="Times New Roman" w:hAnsi="Times New Roman" w:eastAsia="宋体" w:cs="Times New Roman"/>
                <w:color w:val="auto"/>
                <w:kern w:val="2"/>
                <w:sz w:val="24"/>
                <w:szCs w:val="24"/>
                <w:highlight w:val="none"/>
                <w:lang w:val="en-US" w:eastAsia="zh-CN" w:bidi="ar-SA"/>
              </w:rPr>
              <w:t>净化后</w:t>
            </w:r>
            <w:r>
              <w:rPr>
                <w:rFonts w:hint="eastAsia" w:cs="Times New Roman"/>
                <w:color w:val="auto"/>
                <w:kern w:val="2"/>
                <w:sz w:val="24"/>
                <w:szCs w:val="24"/>
                <w:highlight w:val="none"/>
                <w:lang w:val="en-US" w:eastAsia="zh-CN" w:bidi="ar-SA"/>
              </w:rPr>
              <w:t>，排放浓度可达10mg/m</w:t>
            </w:r>
            <w:r>
              <w:rPr>
                <w:rFonts w:hint="eastAsia" w:cs="Times New Roman"/>
                <w:color w:val="auto"/>
                <w:kern w:val="2"/>
                <w:sz w:val="24"/>
                <w:szCs w:val="24"/>
                <w:highlight w:val="none"/>
                <w:vertAlign w:val="superscript"/>
                <w:lang w:val="en-US" w:eastAsia="zh-CN" w:bidi="ar-SA"/>
              </w:rPr>
              <w:t>3</w:t>
            </w:r>
            <w:r>
              <w:rPr>
                <w:rFonts w:hint="eastAsia" w:cs="Times New Roman"/>
                <w:color w:val="auto"/>
                <w:kern w:val="2"/>
                <w:sz w:val="24"/>
                <w:szCs w:val="24"/>
                <w:highlight w:val="none"/>
                <w:vertAlign w:val="baseline"/>
                <w:lang w:val="en-US" w:eastAsia="zh-CN" w:bidi="ar-SA"/>
              </w:rPr>
              <w:t>，再</w:t>
            </w:r>
            <w:r>
              <w:rPr>
                <w:rFonts w:hint="default" w:ascii="Times New Roman" w:hAnsi="Times New Roman" w:eastAsia="宋体" w:cs="Times New Roman"/>
                <w:color w:val="auto"/>
                <w:kern w:val="2"/>
                <w:sz w:val="24"/>
                <w:szCs w:val="24"/>
                <w:highlight w:val="none"/>
                <w:lang w:val="en-US" w:eastAsia="zh-CN" w:bidi="ar-SA"/>
              </w:rPr>
              <w:t>通过</w:t>
            </w:r>
            <w:r>
              <w:rPr>
                <w:rFonts w:hint="eastAsia" w:ascii="Times New Roman" w:hAnsi="Times New Roman" w:eastAsia="宋体" w:cs="Times New Roman"/>
                <w:color w:val="auto"/>
                <w:kern w:val="2"/>
                <w:sz w:val="24"/>
                <w:szCs w:val="24"/>
                <w:highlight w:val="none"/>
                <w:lang w:val="en-US" w:eastAsia="zh-CN" w:bidi="ar-SA"/>
              </w:rPr>
              <w:t>各自的</w:t>
            </w:r>
            <w:r>
              <w:rPr>
                <w:rFonts w:hint="default" w:ascii="Times New Roman" w:hAnsi="Times New Roman" w:eastAsia="宋体" w:cs="Times New Roman"/>
                <w:color w:val="auto"/>
                <w:kern w:val="2"/>
                <w:sz w:val="24"/>
                <w:szCs w:val="24"/>
                <w:highlight w:val="none"/>
                <w:lang w:val="en-US" w:eastAsia="zh-CN" w:bidi="ar-SA"/>
              </w:rPr>
              <w:t>15米排气筒排放，</w:t>
            </w:r>
            <w:r>
              <w:rPr>
                <w:rFonts w:hint="eastAsia" w:cs="Times New Roman"/>
                <w:color w:val="auto"/>
                <w:kern w:val="2"/>
                <w:sz w:val="24"/>
                <w:szCs w:val="24"/>
                <w:highlight w:val="none"/>
                <w:lang w:val="en-US" w:eastAsia="zh-CN" w:bidi="ar-SA"/>
              </w:rPr>
              <w:t>氢碎炉单台排放速率为0.014kg/h，</w:t>
            </w:r>
            <w:r>
              <w:rPr>
                <w:rFonts w:hint="default" w:ascii="Times New Roman" w:hAnsi="Times New Roman" w:eastAsia="宋体" w:cs="Times New Roman"/>
                <w:color w:val="auto"/>
                <w:kern w:val="2"/>
                <w:sz w:val="24"/>
                <w:szCs w:val="24"/>
                <w:highlight w:val="none"/>
                <w:lang w:val="en-US" w:eastAsia="zh-CN" w:bidi="ar-SA"/>
              </w:rPr>
              <w:t>排放量</w:t>
            </w:r>
            <w:r>
              <w:rPr>
                <w:rFonts w:hint="eastAsia" w:cs="Times New Roman"/>
                <w:color w:val="auto"/>
                <w:kern w:val="2"/>
                <w:sz w:val="24"/>
                <w:szCs w:val="24"/>
                <w:highlight w:val="none"/>
                <w:lang w:val="en-US" w:eastAsia="zh-CN" w:bidi="ar-SA"/>
              </w:rPr>
              <w:t>约</w:t>
            </w:r>
            <w:r>
              <w:rPr>
                <w:rFonts w:hint="default" w:ascii="Times New Roman" w:hAnsi="Times New Roman" w:eastAsia="宋体" w:cs="Times New Roman"/>
                <w:color w:val="auto"/>
                <w:kern w:val="2"/>
                <w:sz w:val="24"/>
                <w:szCs w:val="24"/>
                <w:highlight w:val="none"/>
                <w:lang w:val="en-US" w:eastAsia="zh-CN" w:bidi="ar-SA"/>
              </w:rPr>
              <w:t>为0.000</w:t>
            </w:r>
            <w:r>
              <w:rPr>
                <w:rFonts w:hint="eastAsia" w:cs="Times New Roman"/>
                <w:color w:val="auto"/>
                <w:kern w:val="2"/>
                <w:sz w:val="24"/>
                <w:szCs w:val="24"/>
                <w:highlight w:val="none"/>
                <w:lang w:val="en-US" w:eastAsia="zh-CN" w:bidi="ar-SA"/>
              </w:rPr>
              <w:t>4</w:t>
            </w:r>
            <w:r>
              <w:rPr>
                <w:rFonts w:hint="default" w:ascii="Times New Roman" w:hAnsi="Times New Roman" w:eastAsia="宋体" w:cs="Times New Roman"/>
                <w:color w:val="auto"/>
                <w:kern w:val="2"/>
                <w:sz w:val="24"/>
                <w:szCs w:val="24"/>
                <w:highlight w:val="none"/>
                <w:lang w:val="en-US" w:eastAsia="zh-CN" w:bidi="ar-SA"/>
              </w:rPr>
              <w:t>t/a</w:t>
            </w:r>
            <w:r>
              <w:rPr>
                <w:rFonts w:hint="eastAsia" w:cs="Times New Roman"/>
                <w:color w:val="auto"/>
                <w:kern w:val="2"/>
                <w:sz w:val="24"/>
                <w:szCs w:val="24"/>
                <w:highlight w:val="none"/>
                <w:lang w:val="en-US" w:eastAsia="zh-CN" w:bidi="ar-SA"/>
              </w:rPr>
              <w:t>，超细粉过滤器处理效率为98.1%，排放浓度</w:t>
            </w:r>
            <w:r>
              <w:rPr>
                <w:rFonts w:hint="eastAsia" w:ascii="Times New Roman" w:hAnsi="Times New Roman" w:eastAsia="宋体" w:cs="Times New Roman"/>
                <w:color w:val="auto"/>
                <w:kern w:val="2"/>
                <w:sz w:val="24"/>
                <w:szCs w:val="24"/>
                <w:highlight w:val="none"/>
                <w:lang w:val="en-US" w:eastAsia="zh-CN" w:bidi="ar-SA"/>
              </w:rPr>
              <w:t>能够满足《长治市工业企业无组织排放治理实施方案》（长气防办</w:t>
            </w:r>
            <w:r>
              <w:rPr>
                <w:rFonts w:hint="eastAsia" w:ascii="宋体" w:hAnsi="宋体" w:eastAsia="宋体" w:cs="宋体"/>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2019</w:t>
            </w:r>
            <w:r>
              <w:rPr>
                <w:rFonts w:hint="eastAsia" w:ascii="宋体" w:hAnsi="宋体" w:eastAsia="宋体" w:cs="宋体"/>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9号）（10</w:t>
            </w:r>
            <w:r>
              <w:rPr>
                <w:rFonts w:hint="eastAsia"/>
                <w:sz w:val="24"/>
                <w:szCs w:val="24"/>
                <w:highlight w:val="none"/>
                <w:lang w:val="en-US" w:eastAsia="zh-CN"/>
              </w:rPr>
              <w:t>mg/m</w:t>
            </w:r>
            <w:r>
              <w:rPr>
                <w:rFonts w:hint="eastAsia"/>
                <w:sz w:val="24"/>
                <w:szCs w:val="24"/>
                <w:highlight w:val="none"/>
                <w:vertAlign w:val="superscript"/>
                <w:lang w:val="en-US" w:eastAsia="zh-CN"/>
              </w:rPr>
              <w:t>3</w:t>
            </w:r>
            <w:r>
              <w:rPr>
                <w:rFonts w:hint="eastAsia" w:ascii="Times New Roman" w:hAnsi="Times New Roman" w:eastAsia="宋体" w:cs="Times New Roman"/>
                <w:color w:val="auto"/>
                <w:kern w:val="2"/>
                <w:sz w:val="24"/>
                <w:szCs w:val="24"/>
                <w:highlight w:val="none"/>
                <w:lang w:val="en-US" w:eastAsia="zh-CN" w:bidi="ar-SA"/>
              </w:rPr>
              <w:t>）的控制要求。</w:t>
            </w:r>
          </w:p>
          <w:p w14:paraId="27AC512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③等静压</w:t>
            </w:r>
            <w:r>
              <w:rPr>
                <w:rFonts w:hint="eastAsia" w:cs="Times New Roman"/>
                <w:b/>
                <w:bCs/>
                <w:color w:val="auto"/>
                <w:kern w:val="2"/>
                <w:sz w:val="24"/>
                <w:szCs w:val="24"/>
                <w:highlight w:val="none"/>
                <w:lang w:val="en-US" w:eastAsia="zh-CN" w:bidi="ar-SA"/>
              </w:rPr>
              <w:t>成型工序</w:t>
            </w:r>
            <w:r>
              <w:rPr>
                <w:rFonts w:hint="default" w:ascii="Times New Roman" w:hAnsi="Times New Roman" w:eastAsia="宋体" w:cs="Times New Roman"/>
                <w:b/>
                <w:bCs/>
                <w:color w:val="auto"/>
                <w:kern w:val="2"/>
                <w:sz w:val="24"/>
                <w:szCs w:val="24"/>
                <w:highlight w:val="none"/>
                <w:lang w:val="en-US" w:eastAsia="zh-CN" w:bidi="ar-SA"/>
              </w:rPr>
              <w:t>废气</w:t>
            </w:r>
          </w:p>
          <w:p w14:paraId="3E32646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本项目设置1台</w:t>
            </w:r>
            <w:r>
              <w:rPr>
                <w:rFonts w:hint="default" w:ascii="Times New Roman" w:hAnsi="Times New Roman" w:eastAsia="宋体" w:cs="Times New Roman"/>
                <w:kern w:val="0"/>
                <w:sz w:val="24"/>
                <w:szCs w:val="24"/>
                <w:highlight w:val="none"/>
              </w:rPr>
              <w:t>钢丝缠绕等静压机</w:t>
            </w:r>
            <w:r>
              <w:rPr>
                <w:rFonts w:hint="default" w:ascii="Times New Roman" w:hAnsi="Times New Roman" w:eastAsia="宋体"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val="en-US" w:eastAsia="zh-CN"/>
              </w:rPr>
              <w:t>成型工序对粉料进行</w:t>
            </w:r>
            <w:r>
              <w:rPr>
                <w:rFonts w:hint="default" w:ascii="Times New Roman" w:hAnsi="Times New Roman" w:eastAsia="宋体" w:cs="Times New Roman"/>
                <w:kern w:val="0"/>
                <w:sz w:val="24"/>
                <w:szCs w:val="24"/>
                <w:highlight w:val="none"/>
                <w:lang w:eastAsia="zh-CN"/>
              </w:rPr>
              <w:t>磁场定向成型，</w:t>
            </w:r>
            <w:r>
              <w:rPr>
                <w:rFonts w:hint="default" w:ascii="Times New Roman" w:hAnsi="Times New Roman" w:eastAsia="宋体" w:cs="Times New Roman"/>
                <w:kern w:val="0"/>
                <w:sz w:val="24"/>
                <w:szCs w:val="24"/>
                <w:highlight w:val="none"/>
                <w:lang w:val="en-US" w:eastAsia="zh-CN"/>
              </w:rPr>
              <w:t>该</w:t>
            </w:r>
            <w:r>
              <w:rPr>
                <w:rFonts w:hint="default" w:ascii="Times New Roman" w:hAnsi="Times New Roman" w:eastAsia="宋体" w:cs="Times New Roman"/>
                <w:kern w:val="0"/>
                <w:sz w:val="24"/>
                <w:szCs w:val="24"/>
                <w:highlight w:val="none"/>
                <w:lang w:eastAsia="zh-CN"/>
              </w:rPr>
              <w:t>环节压制的生坯密度大约为3.2</w:t>
            </w:r>
            <w:r>
              <w:rPr>
                <w:rFonts w:hint="eastAsia" w:cs="Times New Roman"/>
                <w:kern w:val="0"/>
                <w:sz w:val="24"/>
                <w:szCs w:val="24"/>
                <w:highlight w:val="none"/>
                <w:lang w:eastAsia="zh-CN"/>
              </w:rPr>
              <w:t>—</w:t>
            </w:r>
            <w:r>
              <w:rPr>
                <w:rFonts w:hint="default" w:ascii="Times New Roman" w:hAnsi="Times New Roman" w:eastAsia="宋体" w:cs="Times New Roman"/>
                <w:kern w:val="0"/>
                <w:sz w:val="24"/>
                <w:szCs w:val="24"/>
                <w:highlight w:val="none"/>
                <w:lang w:eastAsia="zh-CN"/>
              </w:rPr>
              <w:t>3.8g/cm</w:t>
            </w:r>
            <w:r>
              <w:rPr>
                <w:rFonts w:hint="default" w:ascii="Times New Roman" w:hAnsi="Times New Roman" w:eastAsia="宋体" w:cs="Times New Roman"/>
                <w:kern w:val="0"/>
                <w:sz w:val="24"/>
                <w:szCs w:val="24"/>
                <w:highlight w:val="none"/>
                <w:vertAlign w:val="superscript"/>
                <w:lang w:val="en-US" w:eastAsia="zh-CN"/>
              </w:rPr>
              <w:t>3</w:t>
            </w:r>
            <w:r>
              <w:rPr>
                <w:rFonts w:hint="default" w:ascii="Times New Roman" w:hAnsi="Times New Roman" w:eastAsia="宋体" w:cs="Times New Roman"/>
                <w:kern w:val="0"/>
                <w:sz w:val="24"/>
                <w:szCs w:val="24"/>
                <w:highlight w:val="none"/>
                <w:lang w:eastAsia="zh-CN"/>
              </w:rPr>
              <w:t>，而钕铁硼磁铁烧结后的理想密度应为7.5g/cm</w:t>
            </w:r>
            <w:r>
              <w:rPr>
                <w:rFonts w:hint="default" w:ascii="Times New Roman" w:hAnsi="Times New Roman" w:eastAsia="宋体" w:cs="Times New Roman"/>
                <w:kern w:val="0"/>
                <w:sz w:val="24"/>
                <w:szCs w:val="24"/>
                <w:highlight w:val="none"/>
                <w:vertAlign w:val="superscript"/>
                <w:lang w:val="en-US" w:eastAsia="zh-CN"/>
              </w:rPr>
              <w:t>3</w:t>
            </w:r>
            <w:r>
              <w:rPr>
                <w:rFonts w:hint="default" w:ascii="Times New Roman" w:hAnsi="Times New Roman" w:eastAsia="宋体" w:cs="Times New Roman"/>
                <w:kern w:val="0"/>
                <w:sz w:val="24"/>
                <w:szCs w:val="24"/>
                <w:highlight w:val="none"/>
                <w:lang w:eastAsia="zh-CN"/>
              </w:rPr>
              <w:t>左右，所以还需放入等静压机通过等静压来提高生坯的密度，经过等静压后生坯的密度为4.5g/cm</w:t>
            </w:r>
            <w:r>
              <w:rPr>
                <w:rFonts w:hint="default" w:ascii="Times New Roman" w:hAnsi="Times New Roman" w:eastAsia="宋体" w:cs="Times New Roman"/>
                <w:kern w:val="0"/>
                <w:sz w:val="24"/>
                <w:szCs w:val="24"/>
                <w:highlight w:val="none"/>
                <w:vertAlign w:val="superscript"/>
                <w:lang w:val="en-US" w:eastAsia="zh-CN"/>
              </w:rPr>
              <w:t>3</w:t>
            </w:r>
            <w:r>
              <w:rPr>
                <w:rFonts w:hint="default" w:ascii="Times New Roman" w:hAnsi="Times New Roman" w:eastAsia="宋体" w:cs="Times New Roman"/>
                <w:color w:val="auto"/>
                <w:kern w:val="2"/>
                <w:sz w:val="24"/>
                <w:szCs w:val="24"/>
                <w:highlight w:val="none"/>
                <w:lang w:val="en-US" w:eastAsia="zh-CN" w:bidi="ar-SA"/>
              </w:rPr>
              <w:t>。本项目</w:t>
            </w:r>
            <w:r>
              <w:rPr>
                <w:rFonts w:hint="eastAsia" w:ascii="Times New Roman" w:hAnsi="Times New Roman" w:eastAsia="宋体" w:cs="Times New Roman"/>
                <w:color w:val="auto"/>
                <w:kern w:val="2"/>
                <w:sz w:val="24"/>
                <w:szCs w:val="24"/>
                <w:highlight w:val="none"/>
                <w:lang w:val="en-US" w:eastAsia="zh-CN" w:bidi="ar-SA"/>
              </w:rPr>
              <w:t>等静压机液压</w:t>
            </w:r>
            <w:r>
              <w:rPr>
                <w:rFonts w:hint="default" w:ascii="Times New Roman" w:hAnsi="Times New Roman" w:eastAsia="宋体" w:cs="Times New Roman"/>
                <w:color w:val="auto"/>
                <w:kern w:val="2"/>
                <w:sz w:val="24"/>
                <w:szCs w:val="24"/>
                <w:highlight w:val="none"/>
                <w:lang w:val="en-US" w:eastAsia="zh-CN" w:bidi="ar-SA"/>
              </w:rPr>
              <w:t>油的年用量为</w:t>
            </w:r>
            <w:r>
              <w:rPr>
                <w:rFonts w:hint="eastAsia" w:ascii="Times New Roman" w:hAnsi="Times New Roman" w:eastAsia="宋体" w:cs="Times New Roman"/>
                <w:color w:val="auto"/>
                <w:kern w:val="2"/>
                <w:sz w:val="24"/>
                <w:szCs w:val="24"/>
                <w:highlight w:val="none"/>
                <w:lang w:val="en-US" w:eastAsia="zh-CN" w:bidi="ar-SA"/>
              </w:rPr>
              <w:t>9.4</w:t>
            </w:r>
            <w:r>
              <w:rPr>
                <w:rFonts w:hint="default" w:ascii="Times New Roman" w:hAnsi="Times New Roman" w:eastAsia="宋体" w:cs="Times New Roman"/>
                <w:color w:val="auto"/>
                <w:kern w:val="2"/>
                <w:sz w:val="24"/>
                <w:szCs w:val="24"/>
                <w:highlight w:val="none"/>
                <w:lang w:val="en-US" w:eastAsia="zh-CN" w:bidi="ar-SA"/>
              </w:rPr>
              <w:t>t</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a，</w:t>
            </w:r>
            <w:r>
              <w:rPr>
                <w:rFonts w:hint="eastAsia" w:ascii="Times New Roman" w:hAnsi="Times New Roman" w:eastAsia="宋体" w:cs="Times New Roman"/>
                <w:color w:val="auto"/>
                <w:kern w:val="2"/>
                <w:sz w:val="24"/>
                <w:szCs w:val="24"/>
                <w:highlight w:val="none"/>
                <w:lang w:val="en-US" w:eastAsia="zh-CN" w:bidi="ar-SA"/>
              </w:rPr>
              <w:t>根据企业提供的技术资料，在生产过程中约有</w:t>
            </w:r>
            <w:r>
              <w:rPr>
                <w:rFonts w:hint="default" w:ascii="Times New Roman" w:hAnsi="Times New Roman" w:eastAsia="宋体" w:cs="Times New Roman"/>
                <w:color w:val="auto"/>
                <w:kern w:val="2"/>
                <w:sz w:val="24"/>
                <w:szCs w:val="24"/>
                <w:highlight w:val="none"/>
                <w:lang w:val="en-US" w:eastAsia="zh-CN" w:bidi="ar-SA"/>
              </w:rPr>
              <w:t>5%的</w:t>
            </w:r>
            <w:r>
              <w:rPr>
                <w:rFonts w:hint="eastAsia" w:ascii="Times New Roman" w:hAnsi="Times New Roman" w:eastAsia="宋体" w:cs="Times New Roman"/>
                <w:color w:val="auto"/>
                <w:kern w:val="2"/>
                <w:sz w:val="24"/>
                <w:szCs w:val="24"/>
                <w:highlight w:val="none"/>
                <w:lang w:val="en-US" w:eastAsia="zh-CN" w:bidi="ar-SA"/>
              </w:rPr>
              <w:t>液压油会</w:t>
            </w:r>
            <w:r>
              <w:rPr>
                <w:rFonts w:hint="default" w:ascii="Times New Roman" w:hAnsi="Times New Roman" w:eastAsia="宋体" w:cs="Times New Roman"/>
                <w:color w:val="auto"/>
                <w:kern w:val="2"/>
                <w:sz w:val="24"/>
                <w:szCs w:val="24"/>
                <w:highlight w:val="none"/>
                <w:lang w:val="en-US" w:eastAsia="zh-CN" w:bidi="ar-SA"/>
              </w:rPr>
              <w:t>无组织排放，挥发</w:t>
            </w:r>
            <w:r>
              <w:rPr>
                <w:rFonts w:hint="eastAsia" w:ascii="Times New Roman" w:hAnsi="Times New Roman" w:eastAsia="宋体" w:cs="Times New Roman"/>
                <w:color w:val="auto"/>
                <w:kern w:val="2"/>
                <w:sz w:val="24"/>
                <w:szCs w:val="24"/>
                <w:highlight w:val="none"/>
                <w:lang w:val="en-US" w:eastAsia="zh-CN" w:bidi="ar-SA"/>
              </w:rPr>
              <w:t>液压油</w:t>
            </w:r>
            <w:r>
              <w:rPr>
                <w:rFonts w:hint="default" w:ascii="Times New Roman" w:hAnsi="Times New Roman" w:eastAsia="宋体" w:cs="Times New Roman"/>
                <w:color w:val="auto"/>
                <w:kern w:val="2"/>
                <w:sz w:val="24"/>
                <w:szCs w:val="24"/>
                <w:highlight w:val="none"/>
                <w:lang w:val="en-US" w:eastAsia="zh-CN" w:bidi="ar-SA"/>
              </w:rPr>
              <w:t>按非甲烷总烃计</w:t>
            </w:r>
            <w:r>
              <w:rPr>
                <w:rFonts w:hint="eastAsia" w:ascii="Times New Roman" w:hAnsi="Times New Roman" w:eastAsia="宋体" w:cs="Times New Roman"/>
                <w:color w:val="auto"/>
                <w:kern w:val="2"/>
                <w:sz w:val="24"/>
                <w:szCs w:val="24"/>
                <w:highlight w:val="none"/>
                <w:lang w:val="en-US" w:eastAsia="zh-CN" w:bidi="ar-SA"/>
              </w:rPr>
              <w:t>，该</w:t>
            </w:r>
            <w:r>
              <w:rPr>
                <w:rFonts w:hint="eastAsia" w:cs="Times New Roman"/>
                <w:color w:val="auto"/>
                <w:kern w:val="2"/>
                <w:sz w:val="24"/>
                <w:szCs w:val="24"/>
                <w:highlight w:val="none"/>
                <w:lang w:val="en-US" w:eastAsia="zh-CN" w:bidi="ar-SA"/>
              </w:rPr>
              <w:t>环节</w:t>
            </w:r>
            <w:r>
              <w:rPr>
                <w:rFonts w:hint="eastAsia" w:ascii="Times New Roman" w:hAnsi="Times New Roman" w:eastAsia="宋体" w:cs="Times New Roman"/>
                <w:color w:val="auto"/>
                <w:kern w:val="2"/>
                <w:sz w:val="24"/>
                <w:szCs w:val="24"/>
                <w:highlight w:val="none"/>
                <w:lang w:val="en-US" w:eastAsia="zh-CN" w:bidi="ar-SA"/>
              </w:rPr>
              <w:t>年运行时间</w:t>
            </w:r>
            <w:r>
              <w:rPr>
                <w:rFonts w:hint="default" w:ascii="Times New Roman" w:hAnsi="Times New Roman" w:eastAsia="宋体" w:cs="Times New Roman"/>
                <w:color w:val="auto"/>
                <w:kern w:val="2"/>
                <w:sz w:val="24"/>
                <w:szCs w:val="24"/>
                <w:highlight w:val="none"/>
                <w:lang w:val="en-US" w:eastAsia="zh-CN" w:bidi="ar-SA"/>
              </w:rPr>
              <w:t>为2400h，则非甲烷总烃废气</w:t>
            </w:r>
            <w:r>
              <w:rPr>
                <w:rFonts w:hint="eastAsia" w:ascii="Times New Roman" w:hAnsi="Times New Roman" w:eastAsia="宋体" w:cs="Times New Roman"/>
                <w:color w:val="auto"/>
                <w:kern w:val="2"/>
                <w:sz w:val="24"/>
                <w:szCs w:val="24"/>
                <w:highlight w:val="none"/>
                <w:lang w:val="en-US" w:eastAsia="zh-CN" w:bidi="ar-SA"/>
              </w:rPr>
              <w:t>产生</w:t>
            </w:r>
            <w:r>
              <w:rPr>
                <w:rFonts w:hint="default" w:ascii="Times New Roman" w:hAnsi="Times New Roman" w:eastAsia="宋体" w:cs="Times New Roman"/>
                <w:color w:val="auto"/>
                <w:kern w:val="2"/>
                <w:sz w:val="24"/>
                <w:szCs w:val="24"/>
                <w:highlight w:val="none"/>
                <w:lang w:val="en-US" w:eastAsia="zh-CN" w:bidi="ar-SA"/>
              </w:rPr>
              <w:t>量为</w:t>
            </w:r>
            <w:r>
              <w:rPr>
                <w:rFonts w:hint="eastAsia" w:ascii="Times New Roman" w:hAnsi="Times New Roman" w:eastAsia="宋体" w:cs="Times New Roman"/>
                <w:color w:val="auto"/>
                <w:kern w:val="2"/>
                <w:sz w:val="24"/>
                <w:szCs w:val="24"/>
                <w:highlight w:val="none"/>
                <w:lang w:val="en-US" w:eastAsia="zh-CN" w:bidi="ar-SA"/>
              </w:rPr>
              <w:t>0.47t/a。项目等静压区全封闭，配套</w:t>
            </w:r>
            <w:r>
              <w:rPr>
                <w:rFonts w:hint="eastAsia" w:cs="Times New Roman"/>
                <w:color w:val="auto"/>
                <w:kern w:val="2"/>
                <w:sz w:val="24"/>
                <w:szCs w:val="24"/>
                <w:highlight w:val="none"/>
                <w:lang w:val="en-US" w:eastAsia="zh-CN" w:bidi="ar-SA"/>
              </w:rPr>
              <w:t>12</w:t>
            </w:r>
            <w:r>
              <w:rPr>
                <w:rFonts w:hint="eastAsia" w:ascii="Times New Roman" w:hAnsi="Times New Roman" w:eastAsia="宋体" w:cs="Times New Roman"/>
                <w:color w:val="auto"/>
                <w:kern w:val="2"/>
                <w:sz w:val="24"/>
                <w:szCs w:val="24"/>
                <w:highlight w:val="none"/>
                <w:lang w:val="en-US" w:eastAsia="zh-CN" w:bidi="ar-SA"/>
              </w:rPr>
              <w:t>00m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vertAlign w:val="baseline"/>
                <w:lang w:val="en-US" w:eastAsia="zh-CN" w:bidi="ar-SA"/>
              </w:rPr>
              <w:t>/h的风机将等静压区的废气收集后</w:t>
            </w:r>
            <w:r>
              <w:rPr>
                <w:rFonts w:hint="eastAsia" w:ascii="Times New Roman" w:hAnsi="Times New Roman" w:eastAsia="宋体" w:cs="Times New Roman"/>
                <w:color w:val="auto"/>
                <w:kern w:val="2"/>
                <w:sz w:val="24"/>
                <w:szCs w:val="24"/>
                <w:highlight w:val="none"/>
                <w:lang w:val="en-US" w:eastAsia="zh-CN" w:bidi="ar-SA"/>
              </w:rPr>
              <w:t>经1套二级</w:t>
            </w:r>
            <w:r>
              <w:rPr>
                <w:rFonts w:hint="eastAsia" w:ascii="Times New Roman" w:hAnsi="Times New Roman" w:eastAsia="宋体" w:cs="Times New Roman"/>
                <w:color w:val="auto"/>
                <w:kern w:val="2"/>
                <w:sz w:val="24"/>
                <w:szCs w:val="24"/>
                <w:highlight w:val="none"/>
                <w:lang w:val="zh-CN" w:eastAsia="zh-CN" w:bidi="ar-SA"/>
              </w:rPr>
              <w:t>活性炭吸附</w:t>
            </w:r>
            <w:r>
              <w:rPr>
                <w:rFonts w:hint="eastAsia" w:ascii="Times New Roman" w:hAnsi="Times New Roman" w:eastAsia="宋体" w:cs="Times New Roman"/>
                <w:color w:val="auto"/>
                <w:kern w:val="2"/>
                <w:sz w:val="24"/>
                <w:szCs w:val="24"/>
                <w:highlight w:val="none"/>
                <w:lang w:val="en-US" w:eastAsia="zh-CN" w:bidi="ar-SA"/>
              </w:rPr>
              <w:t>装置</w:t>
            </w:r>
            <w:r>
              <w:rPr>
                <w:rFonts w:hint="eastAsia" w:ascii="Times New Roman" w:hAnsi="Times New Roman" w:eastAsia="宋体" w:cs="Times New Roman"/>
                <w:color w:val="auto"/>
                <w:kern w:val="2"/>
                <w:sz w:val="24"/>
                <w:szCs w:val="24"/>
                <w:highlight w:val="none"/>
                <w:lang w:val="zh-CN" w:eastAsia="zh-CN" w:bidi="ar-SA"/>
              </w:rPr>
              <w:t>处理</w:t>
            </w:r>
            <w:r>
              <w:rPr>
                <w:rFonts w:hint="eastAsia" w:ascii="Times New Roman" w:hAnsi="Times New Roman" w:eastAsia="宋体" w:cs="Times New Roman"/>
                <w:color w:val="auto"/>
                <w:kern w:val="2"/>
                <w:sz w:val="24"/>
                <w:szCs w:val="24"/>
                <w:highlight w:val="none"/>
                <w:lang w:val="en-US" w:eastAsia="zh-CN" w:bidi="ar-SA"/>
              </w:rPr>
              <w:t>后经15m排气筒（DA004）排放。</w:t>
            </w:r>
            <w:r>
              <w:rPr>
                <w:rFonts w:hint="eastAsia" w:cs="Times New Roman"/>
                <w:color w:val="auto"/>
                <w:kern w:val="2"/>
                <w:sz w:val="24"/>
                <w:szCs w:val="24"/>
                <w:highlight w:val="none"/>
                <w:lang w:val="en-US" w:eastAsia="zh-CN" w:bidi="ar-SA"/>
              </w:rPr>
              <w:t>废气收集效率90%，非甲烷总烃产生浓度163.2mg/m</w:t>
            </w:r>
            <w:r>
              <w:rPr>
                <w:rFonts w:hint="eastAsia" w:cs="Times New Roman"/>
                <w:color w:val="auto"/>
                <w:kern w:val="2"/>
                <w:sz w:val="24"/>
                <w:szCs w:val="24"/>
                <w:highlight w:val="none"/>
                <w:vertAlign w:val="superscript"/>
                <w:lang w:val="en-US" w:eastAsia="zh-CN" w:bidi="ar-SA"/>
              </w:rPr>
              <w:t>3</w:t>
            </w:r>
            <w:r>
              <w:rPr>
                <w:rFonts w:hint="eastAsia" w:cs="Times New Roman"/>
                <w:color w:val="auto"/>
                <w:kern w:val="2"/>
                <w:sz w:val="24"/>
                <w:szCs w:val="24"/>
                <w:highlight w:val="none"/>
                <w:vertAlign w:val="baseline"/>
                <w:lang w:val="en-US" w:eastAsia="zh-CN" w:bidi="ar-SA"/>
              </w:rPr>
              <w:t>，经二级活性炭吸附装置处理后，</w:t>
            </w:r>
            <w:r>
              <w:rPr>
                <w:rFonts w:hint="eastAsia" w:ascii="Times New Roman" w:hAnsi="Times New Roman" w:eastAsia="宋体" w:cs="Times New Roman"/>
                <w:color w:val="auto"/>
                <w:kern w:val="2"/>
                <w:sz w:val="24"/>
                <w:szCs w:val="24"/>
                <w:highlight w:val="none"/>
                <w:lang w:val="en-US" w:eastAsia="zh-CN" w:bidi="ar-SA"/>
              </w:rPr>
              <w:t>项目等静压工序非甲烷总烃排放浓度为</w:t>
            </w:r>
            <w:r>
              <w:rPr>
                <w:rFonts w:hint="eastAsia" w:cs="Times New Roman"/>
                <w:color w:val="auto"/>
                <w:kern w:val="2"/>
                <w:sz w:val="24"/>
                <w:szCs w:val="24"/>
                <w:highlight w:val="none"/>
                <w:lang w:val="en-US" w:eastAsia="zh-CN" w:bidi="ar-SA"/>
              </w:rPr>
              <w:t>15</w:t>
            </w:r>
            <w:r>
              <w:rPr>
                <w:rFonts w:hint="default" w:ascii="Times New Roman" w:hAnsi="Times New Roman" w:eastAsia="宋体" w:cs="Times New Roman"/>
                <w:color w:val="auto"/>
                <w:kern w:val="2"/>
                <w:sz w:val="24"/>
                <w:szCs w:val="24"/>
                <w:highlight w:val="none"/>
                <w:lang w:val="en-US" w:eastAsia="zh-CN" w:bidi="ar-SA"/>
              </w:rPr>
              <w:t>mg/m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eastAsia" w:cs="Times New Roman"/>
                <w:color w:val="auto"/>
                <w:kern w:val="2"/>
                <w:sz w:val="24"/>
                <w:szCs w:val="24"/>
                <w:highlight w:val="none"/>
                <w:vertAlign w:val="baseline"/>
                <w:lang w:val="en-US" w:eastAsia="zh-CN" w:bidi="ar-SA"/>
              </w:rPr>
              <w:t>时</w:t>
            </w:r>
            <w:r>
              <w:rPr>
                <w:rFonts w:hint="eastAsia" w:ascii="Times New Roman" w:hAnsi="Times New Roman" w:eastAsia="宋体" w:cs="Times New Roman"/>
                <w:color w:val="auto"/>
                <w:kern w:val="2"/>
                <w:sz w:val="24"/>
                <w:szCs w:val="24"/>
                <w:highlight w:val="none"/>
                <w:lang w:val="en-US" w:eastAsia="zh-CN" w:bidi="ar-SA"/>
              </w:rPr>
              <w:t>，排放速率为0.0</w:t>
            </w:r>
            <w:r>
              <w:rPr>
                <w:rFonts w:hint="eastAsia" w:cs="Times New Roman"/>
                <w:color w:val="auto"/>
                <w:kern w:val="2"/>
                <w:sz w:val="24"/>
                <w:szCs w:val="24"/>
                <w:highlight w:val="none"/>
                <w:lang w:val="en-US" w:eastAsia="zh-CN" w:bidi="ar-SA"/>
              </w:rPr>
              <w:t>18</w:t>
            </w:r>
            <w:r>
              <w:rPr>
                <w:rFonts w:hint="default" w:ascii="Times New Roman" w:hAnsi="Times New Roman" w:eastAsia="宋体" w:cs="Times New Roman"/>
                <w:color w:val="auto"/>
                <w:kern w:val="2"/>
                <w:sz w:val="24"/>
                <w:szCs w:val="24"/>
                <w:highlight w:val="none"/>
                <w:lang w:val="en-US" w:eastAsia="zh-CN" w:bidi="ar-SA"/>
              </w:rPr>
              <w:t>kg/h</w:t>
            </w:r>
            <w:r>
              <w:rPr>
                <w:rFonts w:hint="eastAsia" w:ascii="Times New Roman" w:hAnsi="Times New Roman" w:eastAsia="宋体" w:cs="Times New Roman"/>
                <w:color w:val="auto"/>
                <w:kern w:val="2"/>
                <w:sz w:val="24"/>
                <w:szCs w:val="24"/>
                <w:highlight w:val="none"/>
                <w:lang w:val="en-US" w:eastAsia="zh-CN" w:bidi="ar-SA"/>
              </w:rPr>
              <w:t>，有组织排放量为</w:t>
            </w:r>
            <w:r>
              <w:rPr>
                <w:rFonts w:hint="eastAsia" w:cs="Times New Roman"/>
                <w:color w:val="auto"/>
                <w:kern w:val="2"/>
                <w:sz w:val="24"/>
                <w:szCs w:val="24"/>
                <w:highlight w:val="none"/>
                <w:lang w:val="en-US" w:eastAsia="zh-CN" w:bidi="ar-SA"/>
              </w:rPr>
              <w:t>0.043</w:t>
            </w:r>
            <w:r>
              <w:rPr>
                <w:rFonts w:hint="default" w:ascii="Times New Roman" w:hAnsi="Times New Roman" w:eastAsia="宋体" w:cs="Times New Roman"/>
                <w:color w:val="auto"/>
                <w:kern w:val="2"/>
                <w:sz w:val="24"/>
                <w:szCs w:val="24"/>
                <w:highlight w:val="none"/>
                <w:lang w:val="en-US" w:eastAsia="zh-CN" w:bidi="ar-SA"/>
              </w:rPr>
              <w:t>t/a</w:t>
            </w:r>
            <w:r>
              <w:rPr>
                <w:rFonts w:hint="eastAsia" w:ascii="Times New Roman" w:hAnsi="Times New Roman" w:eastAsia="宋体" w:cs="Times New Roman"/>
                <w:color w:val="auto"/>
                <w:kern w:val="2"/>
                <w:sz w:val="24"/>
                <w:szCs w:val="24"/>
                <w:highlight w:val="none"/>
                <w:lang w:val="en-US" w:eastAsia="zh-CN" w:bidi="ar-SA"/>
              </w:rPr>
              <w:t>，处理效率达到</w:t>
            </w:r>
            <w:r>
              <w:rPr>
                <w:rFonts w:hint="eastAsia" w:cs="Times New Roman"/>
                <w:color w:val="auto"/>
                <w:kern w:val="2"/>
                <w:sz w:val="24"/>
                <w:szCs w:val="24"/>
                <w:highlight w:val="none"/>
                <w:lang w:val="en-US" w:eastAsia="zh-CN" w:bidi="ar-SA"/>
              </w:rPr>
              <w:t>89.79</w:t>
            </w:r>
            <w:r>
              <w:rPr>
                <w:rFonts w:hint="eastAsia" w:ascii="Times New Roman" w:hAnsi="Times New Roman" w:eastAsia="宋体" w:cs="Times New Roman"/>
                <w:color w:val="auto"/>
                <w:kern w:val="2"/>
                <w:sz w:val="24"/>
                <w:szCs w:val="24"/>
                <w:highlight w:val="none"/>
                <w:lang w:val="en-US" w:eastAsia="zh-CN" w:bidi="ar-SA"/>
              </w:rPr>
              <w:t>%；无组织排放量为0.047</w:t>
            </w:r>
            <w:r>
              <w:rPr>
                <w:rFonts w:hint="default" w:ascii="Times New Roman" w:hAnsi="Times New Roman" w:eastAsia="宋体" w:cs="Times New Roman"/>
                <w:color w:val="auto"/>
                <w:kern w:val="2"/>
                <w:sz w:val="24"/>
                <w:szCs w:val="24"/>
                <w:highlight w:val="none"/>
                <w:lang w:val="en-US" w:eastAsia="zh-CN" w:bidi="ar-SA"/>
              </w:rPr>
              <w:t>t/a</w:t>
            </w:r>
            <w:r>
              <w:rPr>
                <w:rFonts w:hint="eastAsia" w:ascii="Times New Roman" w:hAnsi="Times New Roman" w:eastAsia="宋体" w:cs="Times New Roman"/>
                <w:color w:val="auto"/>
                <w:kern w:val="2"/>
                <w:sz w:val="24"/>
                <w:szCs w:val="24"/>
                <w:highlight w:val="none"/>
                <w:lang w:val="en-US" w:eastAsia="zh-CN" w:bidi="ar-SA"/>
              </w:rPr>
              <w:t>。</w:t>
            </w:r>
          </w:p>
          <w:p w14:paraId="75070A3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zh-CN" w:eastAsia="zh-CN" w:bidi="ar-SA"/>
              </w:rPr>
              <w:t>本项目等静压成型工序需要吸附的有机废气的量为</w:t>
            </w:r>
            <w:r>
              <w:rPr>
                <w:rFonts w:hint="eastAsia" w:ascii="Times New Roman" w:hAnsi="Times New Roman" w:eastAsia="宋体" w:cs="Times New Roman"/>
                <w:color w:val="auto"/>
                <w:kern w:val="2"/>
                <w:sz w:val="24"/>
                <w:szCs w:val="24"/>
                <w:highlight w:val="none"/>
                <w:lang w:val="en-US" w:eastAsia="zh-CN" w:bidi="ar-SA"/>
              </w:rPr>
              <w:t>0.3798</w:t>
            </w:r>
            <w:r>
              <w:rPr>
                <w:rFonts w:hint="default" w:ascii="Times New Roman" w:hAnsi="Times New Roman" w:eastAsia="宋体" w:cs="Times New Roman"/>
                <w:color w:val="auto"/>
                <w:kern w:val="2"/>
                <w:sz w:val="24"/>
                <w:szCs w:val="24"/>
                <w:highlight w:val="none"/>
                <w:lang w:val="zh-CN" w:eastAsia="zh-CN" w:bidi="ar-SA"/>
              </w:rPr>
              <w:t>t/a，根据《现代涂装手册》（化学工业出版社，2010年，陈治良主编），活性炭对有机废气的吸附量约为0.25g废气/g活性炭，则本项目等静压成型工序吸附废气理论所需的活性炭用量约为</w:t>
            </w:r>
            <w:r>
              <w:rPr>
                <w:rFonts w:hint="eastAsia" w:ascii="Times New Roman" w:hAnsi="Times New Roman" w:eastAsia="宋体" w:cs="Times New Roman"/>
                <w:color w:val="auto"/>
                <w:kern w:val="2"/>
                <w:sz w:val="24"/>
                <w:szCs w:val="24"/>
                <w:highlight w:val="none"/>
                <w:lang w:val="en-US" w:eastAsia="zh-CN" w:bidi="ar-SA"/>
              </w:rPr>
              <w:t>1.52</w:t>
            </w:r>
            <w:r>
              <w:rPr>
                <w:rFonts w:hint="default" w:ascii="Times New Roman" w:hAnsi="Times New Roman" w:eastAsia="宋体" w:cs="Times New Roman"/>
                <w:color w:val="auto"/>
                <w:kern w:val="2"/>
                <w:sz w:val="24"/>
                <w:szCs w:val="24"/>
                <w:highlight w:val="none"/>
                <w:lang w:val="zh-CN" w:eastAsia="zh-CN" w:bidi="ar-SA"/>
              </w:rPr>
              <w:t>t/a。为保证活性炭吸附器的吸附效率，防止活性炭被穿透，待活性炭吸附装置吸附率达到</w:t>
            </w:r>
            <w:r>
              <w:rPr>
                <w:rFonts w:hint="eastAsia" w:ascii="Times New Roman" w:hAnsi="Times New Roman" w:eastAsia="宋体" w:cs="Times New Roman"/>
                <w:color w:val="auto"/>
                <w:kern w:val="2"/>
                <w:sz w:val="24"/>
                <w:szCs w:val="24"/>
                <w:highlight w:val="none"/>
                <w:lang w:val="en-US" w:eastAsia="zh-CN" w:bidi="ar-SA"/>
              </w:rPr>
              <w:t>8</w:t>
            </w:r>
            <w:r>
              <w:rPr>
                <w:rFonts w:hint="default" w:ascii="Times New Roman" w:hAnsi="Times New Roman" w:eastAsia="宋体" w:cs="Times New Roman"/>
                <w:color w:val="auto"/>
                <w:kern w:val="2"/>
                <w:sz w:val="24"/>
                <w:szCs w:val="24"/>
                <w:highlight w:val="none"/>
                <w:lang w:val="zh-CN" w:eastAsia="zh-CN" w:bidi="ar-SA"/>
              </w:rPr>
              <w:t>0%则需更换，则本项目等静压成型工序有机废气治理使用活性炭量约</w:t>
            </w:r>
            <w:r>
              <w:rPr>
                <w:rFonts w:hint="eastAsia" w:ascii="Times New Roman" w:hAnsi="Times New Roman" w:eastAsia="宋体" w:cs="Times New Roman"/>
                <w:color w:val="auto"/>
                <w:kern w:val="2"/>
                <w:sz w:val="24"/>
                <w:szCs w:val="24"/>
                <w:highlight w:val="none"/>
                <w:lang w:val="en-US" w:eastAsia="zh-CN" w:bidi="ar-SA"/>
              </w:rPr>
              <w:t>1.9</w:t>
            </w:r>
            <w:r>
              <w:rPr>
                <w:rFonts w:hint="default" w:ascii="Times New Roman" w:hAnsi="Times New Roman" w:eastAsia="宋体" w:cs="Times New Roman"/>
                <w:color w:val="auto"/>
                <w:kern w:val="2"/>
                <w:sz w:val="24"/>
                <w:szCs w:val="24"/>
                <w:highlight w:val="none"/>
                <w:lang w:val="zh-CN" w:eastAsia="zh-CN" w:bidi="ar-SA"/>
              </w:rPr>
              <w:t>t/a，而本项目针对此有机废气设置的</w:t>
            </w:r>
            <w:r>
              <w:rPr>
                <w:rFonts w:hint="eastAsia" w:ascii="Times New Roman" w:hAnsi="Times New Roman" w:eastAsia="宋体" w:cs="Times New Roman"/>
                <w:color w:val="auto"/>
                <w:kern w:val="2"/>
                <w:sz w:val="24"/>
                <w:szCs w:val="24"/>
                <w:highlight w:val="none"/>
                <w:lang w:val="zh-CN" w:eastAsia="zh-CN" w:bidi="ar-SA"/>
              </w:rPr>
              <w:t>“两级活性炭”</w:t>
            </w:r>
            <w:r>
              <w:rPr>
                <w:rFonts w:hint="default" w:ascii="Times New Roman" w:hAnsi="Times New Roman" w:eastAsia="宋体" w:cs="Times New Roman"/>
                <w:color w:val="auto"/>
                <w:kern w:val="2"/>
                <w:sz w:val="24"/>
                <w:szCs w:val="24"/>
                <w:highlight w:val="none"/>
                <w:lang w:val="zh-CN" w:eastAsia="zh-CN" w:bidi="ar-SA"/>
              </w:rPr>
              <w:t>吸附装置每次蜂窝活性炭填充量为</w:t>
            </w:r>
            <w:r>
              <w:rPr>
                <w:rFonts w:hint="eastAsia" w:ascii="Times New Roman" w:hAnsi="Times New Roman" w:eastAsia="宋体" w:cs="Times New Roman"/>
                <w:color w:val="auto"/>
                <w:kern w:val="2"/>
                <w:sz w:val="24"/>
                <w:szCs w:val="24"/>
                <w:highlight w:val="none"/>
                <w:lang w:val="en-US" w:eastAsia="zh-CN" w:bidi="ar-SA"/>
              </w:rPr>
              <w:t>200</w:t>
            </w:r>
            <w:r>
              <w:rPr>
                <w:rFonts w:hint="default" w:ascii="Times New Roman" w:hAnsi="Times New Roman" w:eastAsia="宋体" w:cs="Times New Roman"/>
                <w:color w:val="auto"/>
                <w:kern w:val="2"/>
                <w:sz w:val="24"/>
                <w:szCs w:val="24"/>
                <w:highlight w:val="none"/>
                <w:lang w:val="zh-CN" w:eastAsia="zh-CN" w:bidi="ar-SA"/>
              </w:rPr>
              <w:t>kg，则，本次评价要求建设单位应</w:t>
            </w:r>
            <w:r>
              <w:rPr>
                <w:rFonts w:hint="eastAsia" w:ascii="Times New Roman" w:hAnsi="Times New Roman" w:eastAsia="宋体" w:cs="Times New Roman"/>
                <w:color w:val="auto"/>
                <w:kern w:val="2"/>
                <w:sz w:val="24"/>
                <w:szCs w:val="24"/>
                <w:highlight w:val="none"/>
                <w:lang w:val="en-US" w:eastAsia="zh-CN" w:bidi="ar-SA"/>
              </w:rPr>
              <w:t>每个月</w:t>
            </w:r>
            <w:r>
              <w:rPr>
                <w:rFonts w:hint="default" w:ascii="Times New Roman" w:hAnsi="Times New Roman" w:eastAsia="宋体" w:cs="Times New Roman"/>
                <w:color w:val="auto"/>
                <w:kern w:val="2"/>
                <w:sz w:val="24"/>
                <w:szCs w:val="24"/>
                <w:highlight w:val="none"/>
                <w:lang w:val="zh-CN" w:eastAsia="zh-CN" w:bidi="ar-SA"/>
              </w:rPr>
              <w:t>更换</w:t>
            </w:r>
            <w:r>
              <w:rPr>
                <w:rFonts w:hint="eastAsia" w:ascii="Times New Roman" w:hAnsi="Times New Roman" w:eastAsia="宋体" w:cs="Times New Roman"/>
                <w:color w:val="auto"/>
                <w:kern w:val="2"/>
                <w:sz w:val="24"/>
                <w:szCs w:val="24"/>
                <w:highlight w:val="none"/>
                <w:lang w:val="en-US" w:eastAsia="zh-CN" w:bidi="ar-SA"/>
              </w:rPr>
              <w:t>一</w:t>
            </w:r>
            <w:r>
              <w:rPr>
                <w:rFonts w:hint="default" w:ascii="Times New Roman" w:hAnsi="Times New Roman" w:eastAsia="宋体" w:cs="Times New Roman"/>
                <w:color w:val="auto"/>
                <w:kern w:val="2"/>
                <w:sz w:val="24"/>
                <w:szCs w:val="24"/>
                <w:highlight w:val="none"/>
                <w:lang w:val="zh-CN" w:eastAsia="zh-CN" w:bidi="ar-SA"/>
              </w:rPr>
              <w:t>次活性炭。</w:t>
            </w:r>
          </w:p>
          <w:p w14:paraId="7822734A">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④</w:t>
            </w:r>
            <w:r>
              <w:rPr>
                <w:rFonts w:hint="eastAsia" w:ascii="Times New Roman" w:hAnsi="Times New Roman" w:eastAsia="宋体" w:cs="Times New Roman"/>
                <w:b/>
                <w:bCs/>
                <w:color w:val="auto"/>
                <w:kern w:val="2"/>
                <w:sz w:val="24"/>
                <w:szCs w:val="24"/>
                <w:highlight w:val="none"/>
                <w:lang w:val="en-US" w:eastAsia="zh-CN" w:bidi="ar-SA"/>
              </w:rPr>
              <w:t>烧结抽真空废气</w:t>
            </w:r>
          </w:p>
          <w:p w14:paraId="701F13A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zh-CN" w:eastAsia="zh-CN" w:bidi="ar-SA"/>
              </w:rPr>
            </w:pPr>
            <w:r>
              <w:rPr>
                <w:rFonts w:hint="eastAsia" w:ascii="Times New Roman" w:hAnsi="Times New Roman" w:eastAsia="宋体" w:cs="Times New Roman"/>
                <w:color w:val="auto"/>
                <w:kern w:val="2"/>
                <w:sz w:val="24"/>
                <w:szCs w:val="24"/>
                <w:highlight w:val="none"/>
                <w:lang w:val="zh-CN" w:eastAsia="zh-CN" w:bidi="ar-SA"/>
              </w:rPr>
              <w:t>烧结炉放入原料后，进行抽真空，该过程会有通入的氮气排出，真空泵加入真空泵油，在真空泵工作过程中会产生含油废气（以非甲烷总烃计）。本项目烧结车间内共有</w:t>
            </w:r>
            <w:r>
              <w:rPr>
                <w:rFonts w:hint="eastAsia" w:ascii="Times New Roman" w:hAnsi="Times New Roman" w:eastAsia="宋体" w:cs="Times New Roman"/>
                <w:color w:val="auto"/>
                <w:kern w:val="2"/>
                <w:sz w:val="24"/>
                <w:szCs w:val="24"/>
                <w:highlight w:val="none"/>
                <w:lang w:val="en-US" w:eastAsia="zh-CN" w:bidi="ar-SA"/>
              </w:rPr>
              <w:t>8</w:t>
            </w:r>
            <w:r>
              <w:rPr>
                <w:rFonts w:hint="eastAsia" w:ascii="Times New Roman" w:hAnsi="Times New Roman" w:eastAsia="宋体" w:cs="Times New Roman"/>
                <w:color w:val="auto"/>
                <w:kern w:val="2"/>
                <w:sz w:val="24"/>
                <w:szCs w:val="24"/>
                <w:highlight w:val="none"/>
                <w:lang w:val="zh-CN" w:eastAsia="zh-CN" w:bidi="ar-SA"/>
              </w:rPr>
              <w:t>台烧结炉。</w:t>
            </w:r>
          </w:p>
          <w:p w14:paraId="4EFC706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zh-CN" w:eastAsia="zh-CN" w:bidi="ar-SA"/>
              </w:rPr>
            </w:pPr>
            <w:r>
              <w:rPr>
                <w:rFonts w:hint="eastAsia" w:ascii="Times New Roman" w:hAnsi="Times New Roman" w:eastAsia="宋体" w:cs="Times New Roman"/>
                <w:color w:val="auto"/>
                <w:kern w:val="2"/>
                <w:sz w:val="24"/>
                <w:szCs w:val="24"/>
                <w:highlight w:val="none"/>
                <w:lang w:val="zh-CN" w:eastAsia="zh-CN" w:bidi="ar-SA"/>
              </w:rPr>
              <w:t>本项目共有烧结炉</w:t>
            </w:r>
            <w:r>
              <w:rPr>
                <w:rFonts w:hint="eastAsia" w:ascii="Times New Roman" w:hAnsi="Times New Roman" w:eastAsia="宋体" w:cs="Times New Roman"/>
                <w:color w:val="auto"/>
                <w:kern w:val="2"/>
                <w:sz w:val="24"/>
                <w:szCs w:val="24"/>
                <w:highlight w:val="none"/>
                <w:lang w:val="en-US" w:eastAsia="zh-CN" w:bidi="ar-SA"/>
              </w:rPr>
              <w:t>8</w:t>
            </w:r>
            <w:r>
              <w:rPr>
                <w:rFonts w:hint="eastAsia" w:ascii="Times New Roman" w:hAnsi="Times New Roman" w:eastAsia="宋体" w:cs="Times New Roman"/>
                <w:color w:val="auto"/>
                <w:kern w:val="2"/>
                <w:sz w:val="24"/>
                <w:szCs w:val="24"/>
                <w:highlight w:val="none"/>
                <w:lang w:val="zh-CN" w:eastAsia="zh-CN" w:bidi="ar-SA"/>
              </w:rPr>
              <w:t>台，根据企业提供资料，每台烧结炉真空泵每年补加一次真空泵油，每次补加真空泵油的用量为33L，则年补加真空泵油的用量为</w:t>
            </w:r>
            <w:r>
              <w:rPr>
                <w:rFonts w:hint="eastAsia" w:ascii="Times New Roman" w:hAnsi="Times New Roman" w:eastAsia="宋体" w:cs="Times New Roman"/>
                <w:color w:val="auto"/>
                <w:kern w:val="2"/>
                <w:sz w:val="24"/>
                <w:szCs w:val="24"/>
                <w:highlight w:val="none"/>
                <w:lang w:val="en-US" w:eastAsia="zh-CN" w:bidi="ar-SA"/>
              </w:rPr>
              <w:t>264</w:t>
            </w:r>
            <w:r>
              <w:rPr>
                <w:rFonts w:hint="eastAsia" w:ascii="Times New Roman" w:hAnsi="Times New Roman" w:eastAsia="宋体" w:cs="Times New Roman"/>
                <w:color w:val="auto"/>
                <w:kern w:val="2"/>
                <w:sz w:val="24"/>
                <w:szCs w:val="24"/>
                <w:highlight w:val="none"/>
                <w:lang w:val="zh-CN" w:eastAsia="zh-CN" w:bidi="ar-SA"/>
              </w:rPr>
              <w:t>L，真空泵油的密度为0.88g</w:t>
            </w:r>
            <w:r>
              <w:rPr>
                <w:rFonts w:hint="eastAsia"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zh-CN" w:eastAsia="zh-CN" w:bidi="ar-SA"/>
              </w:rPr>
              <w:t>cm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zh-CN" w:eastAsia="zh-CN" w:bidi="ar-SA"/>
              </w:rPr>
              <w:t>，则每年补加真空泵油的重量为0.2</w:t>
            </w:r>
            <w:r>
              <w:rPr>
                <w:rFonts w:hint="eastAsia" w:ascii="Times New Roman" w:hAnsi="Times New Roman" w:eastAsia="宋体" w:cs="Times New Roman"/>
                <w:color w:val="auto"/>
                <w:kern w:val="2"/>
                <w:sz w:val="24"/>
                <w:szCs w:val="24"/>
                <w:highlight w:val="none"/>
                <w:lang w:val="en-US" w:eastAsia="zh-CN" w:bidi="ar-SA"/>
              </w:rPr>
              <w:t>3</w:t>
            </w:r>
            <w:r>
              <w:rPr>
                <w:rFonts w:hint="eastAsia" w:cs="Times New Roman"/>
                <w:color w:val="auto"/>
                <w:kern w:val="2"/>
                <w:sz w:val="24"/>
                <w:szCs w:val="24"/>
                <w:highlight w:val="none"/>
                <w:lang w:val="en-US" w:eastAsia="zh-CN" w:bidi="ar-SA"/>
              </w:rPr>
              <w:t>232</w:t>
            </w:r>
            <w:r>
              <w:rPr>
                <w:rFonts w:hint="eastAsia" w:ascii="Times New Roman" w:hAnsi="Times New Roman" w:eastAsia="宋体" w:cs="Times New Roman"/>
                <w:color w:val="auto"/>
                <w:kern w:val="2"/>
                <w:sz w:val="24"/>
                <w:szCs w:val="24"/>
                <w:highlight w:val="none"/>
                <w:lang w:val="en-US" w:eastAsia="zh-CN" w:bidi="ar-SA"/>
              </w:rPr>
              <w:t>t/</w:t>
            </w:r>
            <w:r>
              <w:rPr>
                <w:rFonts w:hint="eastAsia" w:ascii="Times New Roman" w:hAnsi="Times New Roman" w:eastAsia="宋体" w:cs="Times New Roman"/>
                <w:color w:val="auto"/>
                <w:kern w:val="2"/>
                <w:sz w:val="24"/>
                <w:szCs w:val="24"/>
                <w:highlight w:val="none"/>
                <w:lang w:val="zh-CN" w:eastAsia="zh-CN" w:bidi="ar-SA"/>
              </w:rPr>
              <w:t>a，</w:t>
            </w:r>
            <w:r>
              <w:rPr>
                <w:rFonts w:hint="eastAsia" w:ascii="Times New Roman" w:hAnsi="Times New Roman" w:eastAsia="宋体" w:cs="Times New Roman"/>
                <w:color w:val="auto"/>
                <w:kern w:val="2"/>
                <w:sz w:val="24"/>
                <w:szCs w:val="24"/>
                <w:highlight w:val="none"/>
                <w:lang w:val="en-US" w:eastAsia="zh-CN" w:bidi="ar-SA"/>
              </w:rPr>
              <w:t>根据企业提供的技术资料</w:t>
            </w:r>
            <w:r>
              <w:rPr>
                <w:rFonts w:hint="eastAsia" w:ascii="Times New Roman" w:hAnsi="Times New Roman" w:eastAsia="宋体" w:cs="Times New Roman"/>
                <w:color w:val="auto"/>
                <w:kern w:val="2"/>
                <w:sz w:val="24"/>
                <w:szCs w:val="24"/>
                <w:highlight w:val="none"/>
                <w:lang w:val="zh-CN" w:eastAsia="zh-CN" w:bidi="ar-SA"/>
              </w:rPr>
              <w:t>，该部分油量约有8%挥发，92%以废油形式存在，因此，则本项目真空泵运行过程中油雾（以非甲烷总烃计）的产生量为0.0</w:t>
            </w:r>
            <w:r>
              <w:rPr>
                <w:rFonts w:hint="eastAsia" w:ascii="Times New Roman" w:hAnsi="Times New Roman" w:eastAsia="宋体" w:cs="Times New Roman"/>
                <w:color w:val="auto"/>
                <w:kern w:val="2"/>
                <w:sz w:val="24"/>
                <w:szCs w:val="24"/>
                <w:highlight w:val="none"/>
                <w:lang w:val="en-US" w:eastAsia="zh-CN" w:bidi="ar-SA"/>
              </w:rPr>
              <w:t>18</w:t>
            </w:r>
            <w:r>
              <w:rPr>
                <w:rFonts w:hint="eastAsia" w:cs="Times New Roman"/>
                <w:color w:val="auto"/>
                <w:kern w:val="2"/>
                <w:sz w:val="24"/>
                <w:szCs w:val="24"/>
                <w:highlight w:val="none"/>
                <w:lang w:val="en-US" w:eastAsia="zh-CN" w:bidi="ar-SA"/>
              </w:rPr>
              <w:t>5856</w:t>
            </w:r>
            <w:r>
              <w:rPr>
                <w:rFonts w:hint="eastAsia" w:ascii="Times New Roman" w:hAnsi="Times New Roman" w:eastAsia="宋体" w:cs="Times New Roman"/>
                <w:color w:val="auto"/>
                <w:kern w:val="2"/>
                <w:sz w:val="24"/>
                <w:szCs w:val="24"/>
                <w:highlight w:val="none"/>
                <w:lang w:val="zh-CN" w:eastAsia="zh-CN" w:bidi="ar-SA"/>
              </w:rPr>
              <w:t>t/a。</w:t>
            </w:r>
          </w:p>
          <w:p w14:paraId="062421E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zh-CN" w:eastAsia="zh-CN" w:bidi="ar-SA"/>
              </w:rPr>
              <w:t>烧结炉生产周期为24h，每个周期抽真空的时长为6h，则抽真空的年工作时间为1800h，单台烧结炉配套真空泵的风机风量为</w:t>
            </w:r>
            <w:r>
              <w:rPr>
                <w:rFonts w:hint="eastAsia" w:ascii="Times New Roman" w:hAnsi="Times New Roman" w:eastAsia="宋体" w:cs="Times New Roman"/>
                <w:color w:val="auto"/>
                <w:kern w:val="2"/>
                <w:sz w:val="24"/>
                <w:szCs w:val="24"/>
                <w:highlight w:val="none"/>
                <w:lang w:val="en-US" w:eastAsia="zh-CN" w:bidi="ar-SA"/>
              </w:rPr>
              <w:t>1625</w:t>
            </w:r>
            <w:r>
              <w:rPr>
                <w:rFonts w:hint="eastAsia" w:ascii="Times New Roman" w:hAnsi="Times New Roman" w:eastAsia="宋体" w:cs="Times New Roman"/>
                <w:color w:val="auto"/>
                <w:kern w:val="2"/>
                <w:sz w:val="24"/>
                <w:szCs w:val="24"/>
                <w:highlight w:val="none"/>
                <w:lang w:val="zh-CN" w:eastAsia="zh-CN" w:bidi="ar-SA"/>
              </w:rPr>
              <w:t>m</w:t>
            </w:r>
            <w:r>
              <w:rPr>
                <w:rFonts w:hint="eastAsia" w:ascii="Times New Roman" w:hAnsi="Times New Roman" w:eastAsia="宋体" w:cs="Times New Roman"/>
                <w:color w:val="auto"/>
                <w:kern w:val="2"/>
                <w:sz w:val="24"/>
                <w:szCs w:val="24"/>
                <w:highlight w:val="none"/>
                <w:vertAlign w:val="superscript"/>
                <w:lang w:val="zh-CN" w:eastAsia="zh-CN" w:bidi="ar-SA"/>
              </w:rPr>
              <w:t>3</w:t>
            </w:r>
            <w:r>
              <w:rPr>
                <w:rFonts w:hint="eastAsia"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zh-CN" w:eastAsia="zh-CN" w:bidi="ar-SA"/>
              </w:rPr>
              <w:t>h，</w:t>
            </w:r>
            <w:r>
              <w:rPr>
                <w:rFonts w:hint="eastAsia" w:ascii="Times New Roman" w:hAnsi="Times New Roman" w:eastAsia="宋体" w:cs="Times New Roman"/>
                <w:color w:val="auto"/>
                <w:kern w:val="2"/>
                <w:sz w:val="24"/>
                <w:szCs w:val="24"/>
                <w:highlight w:val="none"/>
                <w:lang w:val="en-US" w:eastAsia="zh-CN" w:bidi="ar-SA"/>
              </w:rPr>
              <w:t>8台烧结炉总风量为13000m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vertAlign w:val="baseline"/>
                <w:lang w:val="en-US" w:eastAsia="zh-CN" w:bidi="ar-SA"/>
              </w:rPr>
              <w:t>/h，</w:t>
            </w:r>
            <w:r>
              <w:rPr>
                <w:rFonts w:hint="eastAsia" w:cs="Times New Roman"/>
                <w:color w:val="auto"/>
                <w:kern w:val="2"/>
                <w:sz w:val="24"/>
                <w:szCs w:val="24"/>
                <w:highlight w:val="none"/>
                <w:vertAlign w:val="baseline"/>
                <w:lang w:val="en-US" w:eastAsia="zh-CN" w:bidi="ar-SA"/>
              </w:rPr>
              <w:t>非甲烷总烃产生浓度为</w:t>
            </w:r>
            <w:r>
              <w:rPr>
                <w:rFonts w:hint="eastAsia" w:cs="Times New Roman"/>
                <w:color w:val="auto"/>
                <w:kern w:val="2"/>
                <w:sz w:val="24"/>
                <w:szCs w:val="24"/>
                <w:highlight w:val="none"/>
                <w:lang w:val="en-US" w:eastAsia="zh-CN" w:bidi="ar-SA"/>
              </w:rPr>
              <w:t>0.79mg/m</w:t>
            </w:r>
            <w:r>
              <w:rPr>
                <w:rFonts w:hint="eastAsia" w:cs="Times New Roman"/>
                <w:color w:val="auto"/>
                <w:kern w:val="2"/>
                <w:sz w:val="24"/>
                <w:szCs w:val="24"/>
                <w:highlight w:val="none"/>
                <w:vertAlign w:val="superscript"/>
                <w:lang w:val="en-US" w:eastAsia="zh-CN" w:bidi="ar-SA"/>
              </w:rPr>
              <w:t>3</w:t>
            </w:r>
            <w:r>
              <w:rPr>
                <w:rFonts w:hint="eastAsia" w:cs="Times New Roman"/>
                <w:color w:val="auto"/>
                <w:kern w:val="2"/>
                <w:sz w:val="24"/>
                <w:szCs w:val="24"/>
                <w:highlight w:val="none"/>
                <w:vertAlign w:val="baseline"/>
                <w:lang w:val="en-US" w:eastAsia="zh-CN" w:bidi="ar-SA"/>
              </w:rPr>
              <w:t>，废气收集效率95%，</w:t>
            </w:r>
            <w:r>
              <w:rPr>
                <w:rFonts w:hint="eastAsia" w:ascii="Times New Roman" w:hAnsi="Times New Roman" w:eastAsia="宋体" w:cs="Times New Roman"/>
                <w:color w:val="auto"/>
                <w:kern w:val="2"/>
                <w:sz w:val="24"/>
                <w:szCs w:val="24"/>
                <w:highlight w:val="none"/>
                <w:lang w:val="zh-CN" w:eastAsia="zh-CN" w:bidi="ar-SA"/>
              </w:rPr>
              <w:t>采用</w:t>
            </w:r>
            <w:r>
              <w:rPr>
                <w:rFonts w:hint="eastAsia" w:ascii="Times New Roman" w:hAnsi="Times New Roman" w:eastAsia="宋体" w:cs="Times New Roman"/>
                <w:color w:val="auto"/>
                <w:kern w:val="2"/>
                <w:sz w:val="24"/>
                <w:szCs w:val="24"/>
                <w:highlight w:val="none"/>
                <w:lang w:val="en-US" w:eastAsia="zh-CN" w:bidi="ar-SA"/>
              </w:rPr>
              <w:t>二级</w:t>
            </w:r>
            <w:r>
              <w:rPr>
                <w:rFonts w:hint="eastAsia" w:ascii="Times New Roman" w:hAnsi="Times New Roman" w:eastAsia="宋体" w:cs="Times New Roman"/>
                <w:color w:val="auto"/>
                <w:kern w:val="2"/>
                <w:sz w:val="24"/>
                <w:szCs w:val="24"/>
                <w:highlight w:val="none"/>
                <w:lang w:val="zh-CN" w:eastAsia="zh-CN" w:bidi="ar-SA"/>
              </w:rPr>
              <w:t>活性炭吸附</w:t>
            </w:r>
            <w:r>
              <w:rPr>
                <w:rFonts w:hint="eastAsia" w:ascii="Times New Roman" w:hAnsi="Times New Roman" w:eastAsia="宋体" w:cs="Times New Roman"/>
                <w:color w:val="auto"/>
                <w:kern w:val="2"/>
                <w:sz w:val="24"/>
                <w:szCs w:val="24"/>
                <w:highlight w:val="none"/>
                <w:lang w:val="en-US" w:eastAsia="zh-CN" w:bidi="ar-SA"/>
              </w:rPr>
              <w:t>装置</w:t>
            </w:r>
            <w:r>
              <w:rPr>
                <w:rFonts w:hint="eastAsia" w:ascii="Times New Roman" w:hAnsi="Times New Roman" w:eastAsia="宋体" w:cs="Times New Roman"/>
                <w:color w:val="auto"/>
                <w:kern w:val="2"/>
                <w:sz w:val="24"/>
                <w:szCs w:val="24"/>
                <w:highlight w:val="none"/>
                <w:lang w:val="zh-CN" w:eastAsia="zh-CN" w:bidi="ar-SA"/>
              </w:rPr>
              <w:t>的方法处理烧结炉抽真空尾气，每一排各烧结炉抽真空废气汇总至一根总管后，再经处理达标后通过</w:t>
            </w:r>
            <w:r>
              <w:rPr>
                <w:rFonts w:hint="eastAsia" w:cs="Times New Roman"/>
                <w:color w:val="auto"/>
                <w:kern w:val="2"/>
                <w:sz w:val="24"/>
                <w:szCs w:val="24"/>
                <w:highlight w:val="none"/>
                <w:lang w:val="en-US" w:eastAsia="zh-CN" w:bidi="ar-SA"/>
              </w:rPr>
              <w:t>1</w:t>
            </w:r>
            <w:r>
              <w:rPr>
                <w:rFonts w:hint="eastAsia" w:ascii="Times New Roman" w:hAnsi="Times New Roman" w:eastAsia="宋体" w:cs="Times New Roman"/>
                <w:color w:val="auto"/>
                <w:kern w:val="2"/>
                <w:sz w:val="24"/>
                <w:szCs w:val="24"/>
                <w:highlight w:val="none"/>
                <w:lang w:val="zh-CN" w:eastAsia="zh-CN" w:bidi="ar-SA"/>
              </w:rPr>
              <w:t>根不低于</w:t>
            </w:r>
            <w:r>
              <w:rPr>
                <w:rFonts w:hint="eastAsia" w:ascii="Times New Roman" w:hAnsi="Times New Roman" w:eastAsia="宋体" w:cs="Times New Roman"/>
                <w:color w:val="auto"/>
                <w:kern w:val="2"/>
                <w:sz w:val="24"/>
                <w:szCs w:val="24"/>
                <w:highlight w:val="none"/>
                <w:lang w:val="en-US" w:eastAsia="zh-CN" w:bidi="ar-SA"/>
              </w:rPr>
              <w:t>15</w:t>
            </w:r>
            <w:r>
              <w:rPr>
                <w:rFonts w:hint="eastAsia" w:ascii="Times New Roman" w:hAnsi="Times New Roman" w:eastAsia="宋体" w:cs="Times New Roman"/>
                <w:color w:val="auto"/>
                <w:kern w:val="2"/>
                <w:sz w:val="24"/>
                <w:szCs w:val="24"/>
                <w:highlight w:val="none"/>
                <w:lang w:val="zh-CN" w:eastAsia="zh-CN" w:bidi="ar-SA"/>
              </w:rPr>
              <w:t>m高排气筒（</w:t>
            </w:r>
            <w:r>
              <w:rPr>
                <w:rFonts w:hint="eastAsia" w:ascii="Times New Roman" w:hAnsi="Times New Roman" w:eastAsia="宋体" w:cs="Times New Roman"/>
                <w:color w:val="auto"/>
                <w:kern w:val="2"/>
                <w:sz w:val="24"/>
                <w:szCs w:val="24"/>
                <w:highlight w:val="none"/>
                <w:lang w:val="en-US" w:eastAsia="zh-CN" w:bidi="ar-SA"/>
              </w:rPr>
              <w:t>DA005</w:t>
            </w:r>
            <w:r>
              <w:rPr>
                <w:rFonts w:hint="eastAsia" w:ascii="Times New Roman" w:hAnsi="Times New Roman" w:eastAsia="宋体" w:cs="Times New Roman"/>
                <w:color w:val="auto"/>
                <w:kern w:val="2"/>
                <w:sz w:val="24"/>
                <w:szCs w:val="24"/>
                <w:highlight w:val="none"/>
                <w:lang w:val="zh-CN" w:eastAsia="zh-CN" w:bidi="ar-SA"/>
              </w:rPr>
              <w:t>）</w:t>
            </w:r>
            <w:r>
              <w:rPr>
                <w:rFonts w:hint="eastAsia" w:ascii="Times New Roman" w:hAnsi="Times New Roman" w:eastAsia="宋体" w:cs="Times New Roman"/>
                <w:color w:val="auto"/>
                <w:kern w:val="2"/>
                <w:sz w:val="24"/>
                <w:szCs w:val="24"/>
                <w:highlight w:val="none"/>
                <w:lang w:val="en-US" w:eastAsia="zh-CN" w:bidi="ar-SA"/>
              </w:rPr>
              <w:t>排放。</w:t>
            </w:r>
          </w:p>
          <w:p w14:paraId="0FCA88B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zh-CN" w:eastAsia="zh-CN" w:bidi="ar-SA"/>
              </w:rPr>
            </w:pPr>
            <w:r>
              <w:rPr>
                <w:rFonts w:hint="eastAsia" w:cs="Times New Roman"/>
                <w:color w:val="auto"/>
                <w:kern w:val="2"/>
                <w:sz w:val="24"/>
                <w:szCs w:val="24"/>
                <w:highlight w:val="none"/>
                <w:lang w:val="en-US" w:eastAsia="zh-CN" w:bidi="ar-SA"/>
              </w:rPr>
              <w:t>烧结抽真空废气中非甲烷总烃排放浓度达到0.3mg/m</w:t>
            </w:r>
            <w:r>
              <w:rPr>
                <w:rFonts w:hint="eastAsia" w:cs="Times New Roman"/>
                <w:color w:val="auto"/>
                <w:kern w:val="2"/>
                <w:sz w:val="24"/>
                <w:szCs w:val="24"/>
                <w:highlight w:val="none"/>
                <w:vertAlign w:val="superscript"/>
                <w:lang w:val="en-US" w:eastAsia="zh-CN" w:bidi="ar-SA"/>
              </w:rPr>
              <w:t>3</w:t>
            </w:r>
            <w:r>
              <w:rPr>
                <w:rFonts w:hint="eastAsia" w:cs="Times New Roman"/>
                <w:color w:val="auto"/>
                <w:kern w:val="2"/>
                <w:sz w:val="24"/>
                <w:szCs w:val="24"/>
                <w:highlight w:val="none"/>
                <w:vertAlign w:val="baseline"/>
                <w:lang w:val="en-US" w:eastAsia="zh-CN" w:bidi="ar-SA"/>
              </w:rPr>
              <w:t>时，</w:t>
            </w:r>
            <w:r>
              <w:rPr>
                <w:rFonts w:hint="eastAsia" w:ascii="Times New Roman" w:hAnsi="Times New Roman" w:eastAsia="宋体" w:cs="Times New Roman"/>
                <w:color w:val="auto"/>
                <w:kern w:val="2"/>
                <w:sz w:val="24"/>
                <w:szCs w:val="24"/>
                <w:highlight w:val="none"/>
                <w:lang w:val="zh-CN" w:eastAsia="zh-CN" w:bidi="ar-SA"/>
              </w:rPr>
              <w:t>非甲烷总烃的排放速率为0.00</w:t>
            </w:r>
            <w:r>
              <w:rPr>
                <w:rFonts w:hint="eastAsia" w:cs="Times New Roman"/>
                <w:color w:val="auto"/>
                <w:kern w:val="2"/>
                <w:sz w:val="24"/>
                <w:szCs w:val="24"/>
                <w:highlight w:val="none"/>
                <w:lang w:val="en-US" w:eastAsia="zh-CN" w:bidi="ar-SA"/>
              </w:rPr>
              <w:t>39</w:t>
            </w:r>
            <w:r>
              <w:rPr>
                <w:rFonts w:hint="eastAsia" w:ascii="Times New Roman" w:hAnsi="Times New Roman" w:eastAsia="宋体" w:cs="Times New Roman"/>
                <w:color w:val="auto"/>
                <w:kern w:val="2"/>
                <w:sz w:val="24"/>
                <w:szCs w:val="24"/>
                <w:highlight w:val="none"/>
                <w:lang w:val="zh-CN" w:eastAsia="zh-CN" w:bidi="ar-SA"/>
              </w:rPr>
              <w:t>kg</w:t>
            </w:r>
            <w:r>
              <w:rPr>
                <w:rFonts w:hint="eastAsia"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zh-CN" w:eastAsia="zh-CN" w:bidi="ar-SA"/>
              </w:rPr>
              <w:t>h，排放量为0.00</w:t>
            </w:r>
            <w:r>
              <w:rPr>
                <w:rFonts w:hint="eastAsia" w:ascii="Times New Roman" w:hAnsi="Times New Roman" w:eastAsia="宋体" w:cs="Times New Roman"/>
                <w:color w:val="auto"/>
                <w:kern w:val="2"/>
                <w:sz w:val="24"/>
                <w:szCs w:val="24"/>
                <w:highlight w:val="none"/>
                <w:lang w:val="en-US" w:eastAsia="zh-CN" w:bidi="ar-SA"/>
              </w:rPr>
              <w:t>7</w:t>
            </w:r>
            <w:r>
              <w:rPr>
                <w:rFonts w:hint="eastAsia" w:ascii="Times New Roman" w:hAnsi="Times New Roman" w:eastAsia="宋体" w:cs="Times New Roman"/>
                <w:color w:val="auto"/>
                <w:kern w:val="2"/>
                <w:sz w:val="24"/>
                <w:szCs w:val="24"/>
                <w:highlight w:val="none"/>
                <w:lang w:val="zh-CN" w:eastAsia="zh-CN" w:bidi="ar-SA"/>
              </w:rPr>
              <w:t>t</w:t>
            </w:r>
            <w:r>
              <w:rPr>
                <w:rFonts w:hint="eastAsia"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zh-CN" w:eastAsia="zh-CN" w:bidi="ar-SA"/>
              </w:rPr>
              <w:t>a。烧结废气的排放浓度满足《山西省重点行业挥发性有机物（VOCs）2017年专项治理方案》（晋气防办〔2017〕32号）（</w:t>
            </w:r>
            <w:r>
              <w:rPr>
                <w:rFonts w:hint="eastAsia" w:ascii="Times New Roman" w:hAnsi="Times New Roman" w:eastAsia="宋体" w:cs="Times New Roman"/>
                <w:color w:val="auto"/>
                <w:kern w:val="2"/>
                <w:sz w:val="24"/>
                <w:szCs w:val="24"/>
                <w:highlight w:val="none"/>
                <w:lang w:val="en-US" w:eastAsia="zh-CN" w:bidi="ar-SA"/>
              </w:rPr>
              <w:t>60</w:t>
            </w:r>
            <w:r>
              <w:rPr>
                <w:rFonts w:hint="eastAsia" w:ascii="Times New Roman" w:hAnsi="Times New Roman" w:eastAsia="宋体" w:cs="Times New Roman"/>
                <w:color w:val="auto"/>
                <w:kern w:val="2"/>
                <w:sz w:val="24"/>
                <w:szCs w:val="24"/>
                <w:highlight w:val="none"/>
                <w:lang w:val="zh-CN" w:eastAsia="zh-CN" w:bidi="ar-SA"/>
              </w:rPr>
              <w:t>mg/m</w:t>
            </w:r>
            <w:r>
              <w:rPr>
                <w:rFonts w:hint="eastAsia" w:ascii="Times New Roman" w:hAnsi="Times New Roman" w:eastAsia="宋体" w:cs="Times New Roman"/>
                <w:color w:val="auto"/>
                <w:kern w:val="2"/>
                <w:sz w:val="24"/>
                <w:szCs w:val="24"/>
                <w:highlight w:val="none"/>
                <w:vertAlign w:val="superscript"/>
                <w:lang w:val="zh-CN" w:eastAsia="zh-CN" w:bidi="ar-SA"/>
              </w:rPr>
              <w:t>3</w:t>
            </w:r>
            <w:r>
              <w:rPr>
                <w:rFonts w:hint="eastAsia" w:ascii="Times New Roman" w:hAnsi="Times New Roman" w:eastAsia="宋体" w:cs="Times New Roman"/>
                <w:color w:val="auto"/>
                <w:kern w:val="2"/>
                <w:sz w:val="24"/>
                <w:szCs w:val="24"/>
                <w:highlight w:val="none"/>
                <w:lang w:val="zh-CN" w:eastAsia="zh-CN" w:bidi="ar-SA"/>
              </w:rPr>
              <w:t>）。</w:t>
            </w:r>
          </w:p>
          <w:p w14:paraId="49A759A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zh-CN" w:eastAsia="zh-CN" w:bidi="ar-SA"/>
              </w:rPr>
              <w:t>本项目烧结抽真空需要吸附的有机废气的量为</w:t>
            </w:r>
            <w:r>
              <w:rPr>
                <w:rFonts w:hint="eastAsia" w:ascii="Times New Roman" w:hAnsi="Times New Roman" w:eastAsia="宋体" w:cs="Times New Roman"/>
                <w:color w:val="auto"/>
                <w:kern w:val="2"/>
                <w:sz w:val="24"/>
                <w:szCs w:val="24"/>
                <w:highlight w:val="none"/>
                <w:lang w:val="en-US" w:eastAsia="zh-CN" w:bidi="ar-SA"/>
              </w:rPr>
              <w:t>11.5656kg</w:t>
            </w:r>
            <w:r>
              <w:rPr>
                <w:rFonts w:hint="default" w:ascii="Times New Roman" w:hAnsi="Times New Roman" w:eastAsia="宋体" w:cs="Times New Roman"/>
                <w:color w:val="auto"/>
                <w:kern w:val="2"/>
                <w:sz w:val="24"/>
                <w:szCs w:val="24"/>
                <w:highlight w:val="none"/>
                <w:lang w:val="zh-CN" w:eastAsia="zh-CN" w:bidi="ar-SA"/>
              </w:rPr>
              <w:t>/a，根据《现代涂装手册》（化学工业出版社，2010年，陈治良主编），活性炭对有机废气的吸附量约为0.25g废气/g活性炭，则本项目烧结抽真空过程中吸附废气理论所需的活性炭用量约为</w:t>
            </w:r>
            <w:r>
              <w:rPr>
                <w:rFonts w:hint="eastAsia" w:ascii="Times New Roman" w:hAnsi="Times New Roman" w:eastAsia="宋体" w:cs="Times New Roman"/>
                <w:color w:val="auto"/>
                <w:kern w:val="2"/>
                <w:sz w:val="24"/>
                <w:szCs w:val="24"/>
                <w:highlight w:val="none"/>
                <w:lang w:val="en-US" w:eastAsia="zh-CN" w:bidi="ar-SA"/>
              </w:rPr>
              <w:t>46.26kg</w:t>
            </w:r>
            <w:r>
              <w:rPr>
                <w:rFonts w:hint="default" w:ascii="Times New Roman" w:hAnsi="Times New Roman" w:eastAsia="宋体" w:cs="Times New Roman"/>
                <w:color w:val="auto"/>
                <w:kern w:val="2"/>
                <w:sz w:val="24"/>
                <w:szCs w:val="24"/>
                <w:highlight w:val="none"/>
                <w:lang w:val="zh-CN" w:eastAsia="zh-CN" w:bidi="ar-SA"/>
              </w:rPr>
              <w:t>/a。为保证活性炭吸附器的吸附效率，防止活性炭被穿透，待活性炭吸附装置吸附率达到</w:t>
            </w:r>
            <w:r>
              <w:rPr>
                <w:rFonts w:hint="eastAsia" w:ascii="Times New Roman" w:hAnsi="Times New Roman" w:eastAsia="宋体" w:cs="Times New Roman"/>
                <w:color w:val="auto"/>
                <w:kern w:val="2"/>
                <w:sz w:val="24"/>
                <w:szCs w:val="24"/>
                <w:highlight w:val="none"/>
                <w:lang w:val="en-US" w:eastAsia="zh-CN" w:bidi="ar-SA"/>
              </w:rPr>
              <w:t>8</w:t>
            </w:r>
            <w:r>
              <w:rPr>
                <w:rFonts w:hint="default" w:ascii="Times New Roman" w:hAnsi="Times New Roman" w:eastAsia="宋体" w:cs="Times New Roman"/>
                <w:color w:val="auto"/>
                <w:kern w:val="2"/>
                <w:sz w:val="24"/>
                <w:szCs w:val="24"/>
                <w:highlight w:val="none"/>
                <w:lang w:val="zh-CN" w:eastAsia="zh-CN" w:bidi="ar-SA"/>
              </w:rPr>
              <w:t>0%则需更换，则本项目烧结抽真空过程中有机废气治理使用活性炭量约</w:t>
            </w:r>
            <w:r>
              <w:rPr>
                <w:rFonts w:hint="eastAsia" w:ascii="Times New Roman" w:hAnsi="Times New Roman" w:eastAsia="宋体" w:cs="Times New Roman"/>
                <w:color w:val="auto"/>
                <w:kern w:val="2"/>
                <w:sz w:val="24"/>
                <w:szCs w:val="24"/>
                <w:highlight w:val="none"/>
                <w:lang w:val="en-US" w:eastAsia="zh-CN" w:bidi="ar-SA"/>
              </w:rPr>
              <w:t>57.83kg</w:t>
            </w:r>
            <w:r>
              <w:rPr>
                <w:rFonts w:hint="default" w:ascii="Times New Roman" w:hAnsi="Times New Roman" w:eastAsia="宋体" w:cs="Times New Roman"/>
                <w:color w:val="auto"/>
                <w:kern w:val="2"/>
                <w:sz w:val="24"/>
                <w:szCs w:val="24"/>
                <w:highlight w:val="none"/>
                <w:lang w:val="zh-CN" w:eastAsia="zh-CN" w:bidi="ar-SA"/>
              </w:rPr>
              <w:t>/a，而本项目针对此有机废气设置的</w:t>
            </w:r>
            <w:r>
              <w:rPr>
                <w:rFonts w:hint="eastAsia" w:ascii="Times New Roman" w:hAnsi="Times New Roman" w:eastAsia="宋体" w:cs="Times New Roman"/>
                <w:color w:val="auto"/>
                <w:kern w:val="2"/>
                <w:sz w:val="24"/>
                <w:szCs w:val="24"/>
                <w:highlight w:val="none"/>
                <w:lang w:val="zh-CN" w:eastAsia="zh-CN" w:bidi="ar-SA"/>
              </w:rPr>
              <w:t>“两级活性炭”</w:t>
            </w:r>
            <w:r>
              <w:rPr>
                <w:rFonts w:hint="default" w:ascii="Times New Roman" w:hAnsi="Times New Roman" w:eastAsia="宋体" w:cs="Times New Roman"/>
                <w:color w:val="auto"/>
                <w:kern w:val="2"/>
                <w:sz w:val="24"/>
                <w:szCs w:val="24"/>
                <w:highlight w:val="none"/>
                <w:lang w:val="zh-CN" w:eastAsia="zh-CN" w:bidi="ar-SA"/>
              </w:rPr>
              <w:t>吸附装置每次蜂窝活性炭填充量为</w:t>
            </w:r>
            <w:r>
              <w:rPr>
                <w:rFonts w:hint="eastAsia" w:ascii="Times New Roman" w:hAnsi="Times New Roman" w:eastAsia="宋体" w:cs="Times New Roman"/>
                <w:color w:val="auto"/>
                <w:kern w:val="2"/>
                <w:sz w:val="24"/>
                <w:szCs w:val="24"/>
                <w:highlight w:val="none"/>
                <w:lang w:val="en-US" w:eastAsia="zh-CN" w:bidi="ar-SA"/>
              </w:rPr>
              <w:t>60</w:t>
            </w:r>
            <w:r>
              <w:rPr>
                <w:rFonts w:hint="default" w:ascii="Times New Roman" w:hAnsi="Times New Roman" w:eastAsia="宋体" w:cs="Times New Roman"/>
                <w:color w:val="auto"/>
                <w:kern w:val="2"/>
                <w:sz w:val="24"/>
                <w:szCs w:val="24"/>
                <w:highlight w:val="none"/>
                <w:lang w:val="zh-CN" w:eastAsia="zh-CN" w:bidi="ar-SA"/>
              </w:rPr>
              <w:t>kg，则本次评价要求建设单位应</w:t>
            </w:r>
            <w:r>
              <w:rPr>
                <w:rFonts w:hint="eastAsia" w:ascii="Times New Roman" w:hAnsi="Times New Roman" w:eastAsia="宋体" w:cs="Times New Roman"/>
                <w:color w:val="auto"/>
                <w:kern w:val="2"/>
                <w:sz w:val="24"/>
                <w:szCs w:val="24"/>
                <w:highlight w:val="none"/>
                <w:lang w:val="en-US" w:eastAsia="zh-CN" w:bidi="ar-SA"/>
              </w:rPr>
              <w:t>每年</w:t>
            </w:r>
            <w:r>
              <w:rPr>
                <w:rFonts w:hint="default" w:ascii="Times New Roman" w:hAnsi="Times New Roman" w:eastAsia="宋体" w:cs="Times New Roman"/>
                <w:color w:val="auto"/>
                <w:kern w:val="2"/>
                <w:sz w:val="24"/>
                <w:szCs w:val="24"/>
                <w:highlight w:val="none"/>
                <w:lang w:val="zh-CN" w:eastAsia="zh-CN" w:bidi="ar-SA"/>
              </w:rPr>
              <w:t>更换一次活性炭。</w:t>
            </w:r>
          </w:p>
          <w:p w14:paraId="647919D8">
            <w:pPr>
              <w:keepNext w:val="0"/>
              <w:keepLines w:val="0"/>
              <w:pageBreakBefore w:val="0"/>
              <w:widowControl w:val="0"/>
              <w:suppressLineNumbers w:val="0"/>
              <w:kinsoku/>
              <w:wordWrap/>
              <w:overflowPunct/>
              <w:topLinePunct w:val="0"/>
              <w:autoSpaceDE/>
              <w:autoSpaceDN/>
              <w:bidi w:val="0"/>
              <w:adjustRightInd/>
              <w:snapToGrid/>
              <w:spacing w:before="63" w:beforeLines="20" w:after="63" w:afterLines="20" w:line="240" w:lineRule="auto"/>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w:t>
            </w:r>
            <w:r>
              <w:rPr>
                <w:rFonts w:hint="eastAsia" w:cs="Times New Roman"/>
                <w:b/>
                <w:bCs/>
                <w:color w:val="000000"/>
                <w:kern w:val="2"/>
                <w:sz w:val="21"/>
                <w:szCs w:val="21"/>
                <w:highlight w:val="none"/>
                <w:lang w:val="en-US" w:eastAsia="zh-CN" w:bidi="ar-SA"/>
              </w:rPr>
              <w:t>4</w:t>
            </w:r>
            <w:r>
              <w:rPr>
                <w:rFonts w:hint="eastAsia" w:ascii="Times New Roman" w:hAnsi="Times New Roman" w:eastAsia="宋体" w:cs="Times New Roman"/>
                <w:b/>
                <w:bCs/>
                <w:color w:val="000000"/>
                <w:kern w:val="2"/>
                <w:sz w:val="21"/>
                <w:szCs w:val="21"/>
                <w:highlight w:val="none"/>
                <w:lang w:val="en-US" w:eastAsia="zh-CN" w:bidi="ar-SA"/>
              </w:rPr>
              <w:t xml:space="preserve">  项目大气污染物产生、排放情况一览表</w:t>
            </w:r>
          </w:p>
          <w:tbl>
            <w:tblPr>
              <w:tblStyle w:val="2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18"/>
              <w:gridCol w:w="567"/>
              <w:gridCol w:w="844"/>
              <w:gridCol w:w="1087"/>
              <w:gridCol w:w="928"/>
              <w:gridCol w:w="890"/>
              <w:gridCol w:w="884"/>
              <w:gridCol w:w="850"/>
              <w:gridCol w:w="1178"/>
            </w:tblGrid>
            <w:tr w14:paraId="4D7947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718" w:type="dxa"/>
                  <w:tcBorders>
                    <w:tl2br w:val="nil"/>
                    <w:tr2bl w:val="nil"/>
                  </w:tcBorders>
                  <w:vAlign w:val="center"/>
                </w:tcPr>
                <w:p w14:paraId="34AA81D3">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污染源</w:t>
                  </w:r>
                </w:p>
              </w:tc>
              <w:tc>
                <w:tcPr>
                  <w:tcW w:w="567" w:type="dxa"/>
                  <w:tcBorders>
                    <w:tl2br w:val="nil"/>
                    <w:tr2bl w:val="nil"/>
                  </w:tcBorders>
                  <w:vAlign w:val="center"/>
                </w:tcPr>
                <w:p w14:paraId="12B2513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污染物</w:t>
                  </w:r>
                </w:p>
              </w:tc>
              <w:tc>
                <w:tcPr>
                  <w:tcW w:w="844" w:type="dxa"/>
                  <w:tcBorders>
                    <w:tl2br w:val="nil"/>
                    <w:tr2bl w:val="nil"/>
                  </w:tcBorders>
                  <w:vAlign w:val="center"/>
                </w:tcPr>
                <w:p w14:paraId="5313D484">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产生量</w:t>
                  </w:r>
                </w:p>
              </w:tc>
              <w:tc>
                <w:tcPr>
                  <w:tcW w:w="1087" w:type="dxa"/>
                  <w:tcBorders>
                    <w:tl2br w:val="nil"/>
                    <w:tr2bl w:val="nil"/>
                  </w:tcBorders>
                  <w:vAlign w:val="center"/>
                </w:tcPr>
                <w:p w14:paraId="58FC7011">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产生浓度</w:t>
                  </w:r>
                </w:p>
              </w:tc>
              <w:tc>
                <w:tcPr>
                  <w:tcW w:w="928" w:type="dxa"/>
                  <w:tcBorders>
                    <w:tl2br w:val="nil"/>
                    <w:tr2bl w:val="nil"/>
                  </w:tcBorders>
                  <w:vAlign w:val="center"/>
                </w:tcPr>
                <w:p w14:paraId="4EC985E6">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治理措施</w:t>
                  </w:r>
                </w:p>
              </w:tc>
              <w:tc>
                <w:tcPr>
                  <w:tcW w:w="890" w:type="dxa"/>
                  <w:tcBorders>
                    <w:tl2br w:val="nil"/>
                    <w:tr2bl w:val="nil"/>
                  </w:tcBorders>
                  <w:vAlign w:val="center"/>
                </w:tcPr>
                <w:p w14:paraId="40961C8C">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排放量</w:t>
                  </w:r>
                </w:p>
              </w:tc>
              <w:tc>
                <w:tcPr>
                  <w:tcW w:w="884" w:type="dxa"/>
                  <w:tcBorders>
                    <w:tl2br w:val="nil"/>
                    <w:tr2bl w:val="nil"/>
                  </w:tcBorders>
                  <w:vAlign w:val="center"/>
                </w:tcPr>
                <w:p w14:paraId="229753C0">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排放浓度</w:t>
                  </w:r>
                </w:p>
              </w:tc>
              <w:tc>
                <w:tcPr>
                  <w:tcW w:w="850" w:type="dxa"/>
                  <w:tcBorders>
                    <w:tl2br w:val="nil"/>
                    <w:tr2bl w:val="nil"/>
                  </w:tcBorders>
                  <w:vAlign w:val="center"/>
                </w:tcPr>
                <w:p w14:paraId="5C7A2CCC">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排放标准</w:t>
                  </w:r>
                </w:p>
              </w:tc>
              <w:tc>
                <w:tcPr>
                  <w:tcW w:w="1178" w:type="dxa"/>
                  <w:tcBorders>
                    <w:tl2br w:val="nil"/>
                    <w:tr2bl w:val="nil"/>
                  </w:tcBorders>
                  <w:vAlign w:val="center"/>
                </w:tcPr>
                <w:p w14:paraId="5274CB07">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排气筒参数</w:t>
                  </w:r>
                </w:p>
              </w:tc>
            </w:tr>
            <w:tr w14:paraId="7CD205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718" w:type="dxa"/>
                  <w:tcBorders>
                    <w:tl2br w:val="nil"/>
                    <w:tr2bl w:val="nil"/>
                  </w:tcBorders>
                  <w:vAlign w:val="center"/>
                </w:tcPr>
                <w:p w14:paraId="2CDC41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抛丸机</w:t>
                  </w:r>
                </w:p>
              </w:tc>
              <w:tc>
                <w:tcPr>
                  <w:tcW w:w="567" w:type="dxa"/>
                  <w:tcBorders>
                    <w:tl2br w:val="nil"/>
                    <w:tr2bl w:val="nil"/>
                  </w:tcBorders>
                  <w:shd w:val="clear" w:color="auto" w:fill="auto"/>
                  <w:vAlign w:val="center"/>
                </w:tcPr>
                <w:p w14:paraId="48C2C1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844" w:type="dxa"/>
                  <w:tcBorders>
                    <w:tl2br w:val="nil"/>
                    <w:tr2bl w:val="nil"/>
                  </w:tcBorders>
                  <w:vAlign w:val="center"/>
                </w:tcPr>
                <w:p w14:paraId="30D32A32">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3.41t/a</w:t>
                  </w:r>
                </w:p>
              </w:tc>
              <w:tc>
                <w:tcPr>
                  <w:tcW w:w="1087" w:type="dxa"/>
                  <w:tcBorders>
                    <w:tl2br w:val="nil"/>
                    <w:tr2bl w:val="nil"/>
                  </w:tcBorders>
                  <w:vAlign w:val="center"/>
                </w:tcPr>
                <w:p w14:paraId="11C2812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245mg/m</w:t>
                  </w:r>
                  <w:r>
                    <w:rPr>
                      <w:rFonts w:hint="eastAsia"/>
                      <w:sz w:val="21"/>
                      <w:szCs w:val="21"/>
                      <w:highlight w:val="none"/>
                      <w:vertAlign w:val="superscript"/>
                      <w:lang w:val="en-US" w:eastAsia="zh-CN"/>
                    </w:rPr>
                    <w:t>3</w:t>
                  </w:r>
                </w:p>
              </w:tc>
              <w:tc>
                <w:tcPr>
                  <w:tcW w:w="928" w:type="dxa"/>
                  <w:tcBorders>
                    <w:tl2br w:val="nil"/>
                    <w:tr2bl w:val="nil"/>
                  </w:tcBorders>
                  <w:vAlign w:val="center"/>
                </w:tcPr>
                <w:p w14:paraId="4A14EE50">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集气罩+袋式除尘器</w:t>
                  </w:r>
                </w:p>
              </w:tc>
              <w:tc>
                <w:tcPr>
                  <w:tcW w:w="890" w:type="dxa"/>
                  <w:tcBorders>
                    <w:tl2br w:val="nil"/>
                    <w:tr2bl w:val="nil"/>
                  </w:tcBorders>
                  <w:vAlign w:val="center"/>
                </w:tcPr>
                <w:p w14:paraId="1E05153E">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0.132t/a</w:t>
                  </w:r>
                </w:p>
              </w:tc>
              <w:tc>
                <w:tcPr>
                  <w:tcW w:w="884" w:type="dxa"/>
                  <w:tcBorders>
                    <w:tl2br w:val="nil"/>
                    <w:tr2bl w:val="nil"/>
                  </w:tcBorders>
                  <w:vAlign w:val="center"/>
                </w:tcPr>
                <w:p w14:paraId="69996D93">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10mg/m</w:t>
                  </w:r>
                  <w:r>
                    <w:rPr>
                      <w:rFonts w:hint="eastAsia"/>
                      <w:sz w:val="21"/>
                      <w:szCs w:val="21"/>
                      <w:highlight w:val="none"/>
                      <w:vertAlign w:val="superscript"/>
                      <w:lang w:val="en-US" w:eastAsia="zh-CN"/>
                    </w:rPr>
                    <w:t>3</w:t>
                  </w:r>
                </w:p>
              </w:tc>
              <w:tc>
                <w:tcPr>
                  <w:tcW w:w="850" w:type="dxa"/>
                  <w:tcBorders>
                    <w:tl2br w:val="nil"/>
                    <w:tr2bl w:val="nil"/>
                  </w:tcBorders>
                  <w:vAlign w:val="center"/>
                </w:tcPr>
                <w:p w14:paraId="73F2AC32">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10mg/m</w:t>
                  </w:r>
                  <w:r>
                    <w:rPr>
                      <w:rFonts w:hint="eastAsia"/>
                      <w:sz w:val="21"/>
                      <w:szCs w:val="21"/>
                      <w:highlight w:val="none"/>
                      <w:vertAlign w:val="superscript"/>
                      <w:lang w:val="en-US" w:eastAsia="zh-CN"/>
                    </w:rPr>
                    <w:t>3</w:t>
                  </w:r>
                </w:p>
              </w:tc>
              <w:tc>
                <w:tcPr>
                  <w:tcW w:w="1178" w:type="dxa"/>
                  <w:tcBorders>
                    <w:tl2br w:val="nil"/>
                    <w:tr2bl w:val="nil"/>
                  </w:tcBorders>
                  <w:vAlign w:val="center"/>
                </w:tcPr>
                <w:p w14:paraId="716E9432">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Φ</w:t>
                  </w:r>
                  <w:r>
                    <w:rPr>
                      <w:rFonts w:hint="default" w:ascii="Times New Roman" w:hAnsi="Times New Roman" w:cs="Times New Roman"/>
                      <w:sz w:val="21"/>
                      <w:szCs w:val="21"/>
                      <w:highlight w:val="none"/>
                      <w:vertAlign w:val="baseline"/>
                      <w:lang w:val="en-US" w:eastAsia="zh-CN"/>
                    </w:rPr>
                    <w:t>=</w:t>
                  </w:r>
                  <w:r>
                    <w:rPr>
                      <w:rFonts w:hint="eastAsia" w:ascii="Times New Roman" w:hAnsi="Times New Roman" w:cs="Times New Roman"/>
                      <w:sz w:val="21"/>
                      <w:szCs w:val="21"/>
                      <w:highlight w:val="none"/>
                      <w:vertAlign w:val="baseline"/>
                      <w:lang w:val="en-US" w:eastAsia="zh-CN"/>
                    </w:rPr>
                    <w:t>0.</w:t>
                  </w:r>
                  <w:r>
                    <w:rPr>
                      <w:rFonts w:hint="eastAsia" w:cs="Times New Roman"/>
                      <w:sz w:val="21"/>
                      <w:szCs w:val="21"/>
                      <w:highlight w:val="none"/>
                      <w:vertAlign w:val="baseline"/>
                      <w:lang w:val="en-US" w:eastAsia="zh-CN"/>
                    </w:rPr>
                    <w:t>4</w:t>
                  </w:r>
                  <w:r>
                    <w:rPr>
                      <w:rFonts w:hint="eastAsia" w:ascii="Times New Roman" w:hAnsi="Times New Roman" w:cs="Times New Roman"/>
                      <w:sz w:val="21"/>
                      <w:szCs w:val="21"/>
                      <w:highlight w:val="none"/>
                      <w:vertAlign w:val="baseline"/>
                      <w:lang w:val="en-US" w:eastAsia="zh-CN"/>
                    </w:rPr>
                    <w:t>m；</w:t>
                  </w:r>
                  <w:r>
                    <w:rPr>
                      <w:rFonts w:hint="default" w:ascii="Times New Roman" w:hAnsi="Times New Roman" w:cs="Times New Roman"/>
                      <w:sz w:val="21"/>
                      <w:szCs w:val="21"/>
                      <w:highlight w:val="none"/>
                      <w:vertAlign w:val="baseline"/>
                      <w:lang w:val="en-US" w:eastAsia="zh-CN"/>
                    </w:rPr>
                    <w:t>h=</w:t>
                  </w:r>
                  <w:r>
                    <w:rPr>
                      <w:rFonts w:hint="eastAsia" w:ascii="Times New Roman" w:hAnsi="Times New Roman" w:cs="Times New Roman"/>
                      <w:sz w:val="21"/>
                      <w:szCs w:val="21"/>
                      <w:highlight w:val="none"/>
                      <w:vertAlign w:val="baseline"/>
                      <w:lang w:val="en-US" w:eastAsia="zh-CN"/>
                    </w:rPr>
                    <w:t>15m</w:t>
                  </w:r>
                </w:p>
              </w:tc>
            </w:tr>
            <w:tr w14:paraId="276F2B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718" w:type="dxa"/>
                  <w:tcBorders>
                    <w:tl2br w:val="nil"/>
                    <w:tr2bl w:val="nil"/>
                  </w:tcBorders>
                  <w:vAlign w:val="center"/>
                </w:tcPr>
                <w:p w14:paraId="70FFE1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cs="Times New Roman"/>
                      <w:b w:val="0"/>
                      <w:bCs w:val="0"/>
                      <w:color w:val="auto"/>
                      <w:kern w:val="2"/>
                      <w:sz w:val="21"/>
                      <w:szCs w:val="21"/>
                      <w:highlight w:val="none"/>
                      <w:vertAlign w:val="baseline"/>
                      <w:lang w:val="en-US" w:eastAsia="zh-CN" w:bidi="ar-SA"/>
                    </w:rPr>
                    <w:t>1#</w:t>
                  </w:r>
                  <w:r>
                    <w:rPr>
                      <w:rFonts w:hint="eastAsia" w:ascii="Times New Roman" w:hAnsi="Times New Roman" w:eastAsia="宋体" w:cs="Times New Roman"/>
                      <w:b w:val="0"/>
                      <w:bCs w:val="0"/>
                      <w:color w:val="auto"/>
                      <w:kern w:val="2"/>
                      <w:sz w:val="21"/>
                      <w:szCs w:val="21"/>
                      <w:highlight w:val="none"/>
                      <w:vertAlign w:val="baseline"/>
                      <w:lang w:val="en-US" w:eastAsia="zh-CN" w:bidi="ar-SA"/>
                    </w:rPr>
                    <w:t>氢碎</w:t>
                  </w:r>
                  <w:r>
                    <w:rPr>
                      <w:rFonts w:hint="eastAsia" w:cs="Times New Roman"/>
                      <w:b w:val="0"/>
                      <w:bCs w:val="0"/>
                      <w:color w:val="auto"/>
                      <w:kern w:val="2"/>
                      <w:sz w:val="21"/>
                      <w:szCs w:val="21"/>
                      <w:highlight w:val="none"/>
                      <w:vertAlign w:val="baseline"/>
                      <w:lang w:val="en-US" w:eastAsia="zh-CN" w:bidi="ar-SA"/>
                    </w:rPr>
                    <w:t>炉</w:t>
                  </w:r>
                </w:p>
              </w:tc>
              <w:tc>
                <w:tcPr>
                  <w:tcW w:w="567" w:type="dxa"/>
                  <w:tcBorders>
                    <w:tl2br w:val="nil"/>
                    <w:tr2bl w:val="nil"/>
                  </w:tcBorders>
                  <w:shd w:val="clear" w:color="auto" w:fill="auto"/>
                  <w:vAlign w:val="center"/>
                </w:tcPr>
                <w:p w14:paraId="7BAEFC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844" w:type="dxa"/>
                  <w:tcBorders>
                    <w:tl2br w:val="nil"/>
                    <w:tr2bl w:val="nil"/>
                  </w:tcBorders>
                  <w:vAlign w:val="center"/>
                </w:tcPr>
                <w:p w14:paraId="18805E15">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color w:val="auto"/>
                      <w:kern w:val="2"/>
                      <w:sz w:val="21"/>
                      <w:szCs w:val="21"/>
                      <w:highlight w:val="none"/>
                      <w:lang w:val="en-US" w:eastAsia="zh-CN" w:bidi="ar-SA"/>
                    </w:rPr>
                    <w:t>0.018</w:t>
                  </w:r>
                  <w:r>
                    <w:rPr>
                      <w:rFonts w:hint="eastAsia" w:cs="Times New Roman"/>
                      <w:color w:val="auto"/>
                      <w:kern w:val="2"/>
                      <w:sz w:val="21"/>
                      <w:szCs w:val="21"/>
                      <w:highlight w:val="none"/>
                      <w:lang w:val="en-US" w:eastAsia="zh-CN" w:bidi="ar-SA"/>
                    </w:rPr>
                    <w:t>4</w:t>
                  </w:r>
                  <w:r>
                    <w:rPr>
                      <w:rFonts w:hint="eastAsia" w:ascii="Times New Roman" w:hAnsi="Times New Roman" w:eastAsia="宋体" w:cs="Times New Roman"/>
                      <w:color w:val="auto"/>
                      <w:kern w:val="2"/>
                      <w:sz w:val="21"/>
                      <w:szCs w:val="21"/>
                      <w:highlight w:val="none"/>
                      <w:lang w:val="en-US" w:eastAsia="zh-CN" w:bidi="ar-SA"/>
                    </w:rPr>
                    <w:t>t/a</w:t>
                  </w:r>
                </w:p>
              </w:tc>
              <w:tc>
                <w:tcPr>
                  <w:tcW w:w="1087" w:type="dxa"/>
                  <w:tcBorders>
                    <w:tl2br w:val="nil"/>
                    <w:tr2bl w:val="nil"/>
                  </w:tcBorders>
                  <w:vAlign w:val="center"/>
                </w:tcPr>
                <w:p w14:paraId="1259D9C1">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526mg/m</w:t>
                  </w:r>
                  <w:r>
                    <w:rPr>
                      <w:rFonts w:hint="eastAsia"/>
                      <w:sz w:val="21"/>
                      <w:szCs w:val="21"/>
                      <w:highlight w:val="none"/>
                      <w:vertAlign w:val="superscript"/>
                      <w:lang w:val="en-US" w:eastAsia="zh-CN"/>
                    </w:rPr>
                    <w:t>3</w:t>
                  </w:r>
                </w:p>
              </w:tc>
              <w:tc>
                <w:tcPr>
                  <w:tcW w:w="928" w:type="dxa"/>
                  <w:tcBorders>
                    <w:tl2br w:val="nil"/>
                    <w:tr2bl w:val="nil"/>
                  </w:tcBorders>
                  <w:vAlign w:val="center"/>
                </w:tcPr>
                <w:p w14:paraId="672DA79C">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default"/>
                      <w:sz w:val="21"/>
                      <w:szCs w:val="21"/>
                      <w:highlight w:val="none"/>
                      <w:vertAlign w:val="baseline"/>
                      <w:lang w:val="en-US" w:eastAsia="zh-CN"/>
                    </w:rPr>
                    <w:t>超细粉过滤器</w:t>
                  </w:r>
                  <w:r>
                    <w:rPr>
                      <w:rFonts w:hint="eastAsia"/>
                      <w:sz w:val="21"/>
                      <w:szCs w:val="21"/>
                      <w:highlight w:val="none"/>
                      <w:vertAlign w:val="baseline"/>
                      <w:lang w:val="en-US" w:eastAsia="zh-CN"/>
                    </w:rPr>
                    <w:t>过滤</w:t>
                  </w:r>
                </w:p>
              </w:tc>
              <w:tc>
                <w:tcPr>
                  <w:tcW w:w="890" w:type="dxa"/>
                  <w:tcBorders>
                    <w:tl2br w:val="nil"/>
                    <w:tr2bl w:val="nil"/>
                  </w:tcBorders>
                  <w:vAlign w:val="center"/>
                </w:tcPr>
                <w:p w14:paraId="7413ADA5">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0.0004t/a</w:t>
                  </w:r>
                </w:p>
              </w:tc>
              <w:tc>
                <w:tcPr>
                  <w:tcW w:w="884" w:type="dxa"/>
                  <w:tcBorders>
                    <w:tl2br w:val="nil"/>
                    <w:tr2bl w:val="nil"/>
                  </w:tcBorders>
                  <w:vAlign w:val="center"/>
                </w:tcPr>
                <w:p w14:paraId="1F3E049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10mg/m</w:t>
                  </w:r>
                  <w:r>
                    <w:rPr>
                      <w:rFonts w:hint="eastAsia"/>
                      <w:sz w:val="21"/>
                      <w:szCs w:val="21"/>
                      <w:highlight w:val="none"/>
                      <w:vertAlign w:val="superscript"/>
                      <w:lang w:val="en-US" w:eastAsia="zh-CN"/>
                    </w:rPr>
                    <w:t>3</w:t>
                  </w:r>
                </w:p>
              </w:tc>
              <w:tc>
                <w:tcPr>
                  <w:tcW w:w="850" w:type="dxa"/>
                  <w:tcBorders>
                    <w:tl2br w:val="nil"/>
                    <w:tr2bl w:val="nil"/>
                  </w:tcBorders>
                  <w:vAlign w:val="center"/>
                </w:tcPr>
                <w:p w14:paraId="61E36CA9">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10mg/m</w:t>
                  </w:r>
                  <w:r>
                    <w:rPr>
                      <w:rFonts w:hint="eastAsia"/>
                      <w:sz w:val="21"/>
                      <w:szCs w:val="21"/>
                      <w:highlight w:val="none"/>
                      <w:vertAlign w:val="superscript"/>
                      <w:lang w:val="en-US" w:eastAsia="zh-CN"/>
                    </w:rPr>
                    <w:t>3</w:t>
                  </w:r>
                </w:p>
              </w:tc>
              <w:tc>
                <w:tcPr>
                  <w:tcW w:w="1178" w:type="dxa"/>
                  <w:tcBorders>
                    <w:tl2br w:val="nil"/>
                    <w:tr2bl w:val="nil"/>
                  </w:tcBorders>
                  <w:vAlign w:val="center"/>
                </w:tcPr>
                <w:p w14:paraId="584FE7C4">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Φ</w:t>
                  </w:r>
                  <w:r>
                    <w:rPr>
                      <w:rFonts w:hint="default" w:ascii="Times New Roman" w:hAnsi="Times New Roman" w:cs="Times New Roman"/>
                      <w:sz w:val="21"/>
                      <w:szCs w:val="21"/>
                      <w:highlight w:val="none"/>
                      <w:vertAlign w:val="baseline"/>
                      <w:lang w:val="en-US" w:eastAsia="zh-CN"/>
                    </w:rPr>
                    <w:t>=</w:t>
                  </w:r>
                  <w:r>
                    <w:rPr>
                      <w:rFonts w:hint="eastAsia" w:ascii="Times New Roman" w:hAnsi="Times New Roman" w:cs="Times New Roman"/>
                      <w:sz w:val="21"/>
                      <w:szCs w:val="21"/>
                      <w:highlight w:val="none"/>
                      <w:vertAlign w:val="baseline"/>
                      <w:lang w:val="en-US" w:eastAsia="zh-CN"/>
                    </w:rPr>
                    <w:t>0.</w:t>
                  </w:r>
                  <w:r>
                    <w:rPr>
                      <w:rFonts w:hint="eastAsia" w:cs="Times New Roman"/>
                      <w:sz w:val="21"/>
                      <w:szCs w:val="21"/>
                      <w:highlight w:val="none"/>
                      <w:vertAlign w:val="baseline"/>
                      <w:lang w:val="en-US" w:eastAsia="zh-CN"/>
                    </w:rPr>
                    <w:t>2</w:t>
                  </w:r>
                  <w:r>
                    <w:rPr>
                      <w:rFonts w:hint="eastAsia" w:ascii="Times New Roman" w:hAnsi="Times New Roman" w:cs="Times New Roman"/>
                      <w:sz w:val="21"/>
                      <w:szCs w:val="21"/>
                      <w:highlight w:val="none"/>
                      <w:vertAlign w:val="baseline"/>
                      <w:lang w:val="en-US" w:eastAsia="zh-CN"/>
                    </w:rPr>
                    <w:t>m；</w:t>
                  </w:r>
                  <w:r>
                    <w:rPr>
                      <w:rFonts w:hint="default" w:ascii="Times New Roman" w:hAnsi="Times New Roman" w:cs="Times New Roman"/>
                      <w:sz w:val="21"/>
                      <w:szCs w:val="21"/>
                      <w:highlight w:val="none"/>
                      <w:vertAlign w:val="baseline"/>
                      <w:lang w:val="en-US" w:eastAsia="zh-CN"/>
                    </w:rPr>
                    <w:t>h=</w:t>
                  </w:r>
                  <w:r>
                    <w:rPr>
                      <w:rFonts w:hint="eastAsia" w:ascii="Times New Roman" w:hAnsi="Times New Roman" w:cs="Times New Roman"/>
                      <w:sz w:val="21"/>
                      <w:szCs w:val="21"/>
                      <w:highlight w:val="none"/>
                      <w:vertAlign w:val="baseline"/>
                      <w:lang w:val="en-US" w:eastAsia="zh-CN"/>
                    </w:rPr>
                    <w:t>15m</w:t>
                  </w:r>
                </w:p>
              </w:tc>
            </w:tr>
            <w:tr w14:paraId="32485C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718" w:type="dxa"/>
                  <w:tcBorders>
                    <w:tl2br w:val="nil"/>
                    <w:tr2bl w:val="nil"/>
                  </w:tcBorders>
                  <w:vAlign w:val="center"/>
                </w:tcPr>
                <w:p w14:paraId="4586C3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cs="Times New Roman"/>
                      <w:b w:val="0"/>
                      <w:bCs w:val="0"/>
                      <w:color w:val="auto"/>
                      <w:kern w:val="2"/>
                      <w:sz w:val="21"/>
                      <w:szCs w:val="21"/>
                      <w:highlight w:val="none"/>
                      <w:vertAlign w:val="baseline"/>
                      <w:lang w:val="en-US" w:eastAsia="zh-CN" w:bidi="ar-SA"/>
                    </w:rPr>
                    <w:t>2#</w:t>
                  </w:r>
                  <w:r>
                    <w:rPr>
                      <w:rFonts w:hint="eastAsia" w:ascii="Times New Roman" w:hAnsi="Times New Roman" w:eastAsia="宋体" w:cs="Times New Roman"/>
                      <w:b w:val="0"/>
                      <w:bCs w:val="0"/>
                      <w:color w:val="auto"/>
                      <w:kern w:val="2"/>
                      <w:sz w:val="21"/>
                      <w:szCs w:val="21"/>
                      <w:highlight w:val="none"/>
                      <w:vertAlign w:val="baseline"/>
                      <w:lang w:val="en-US" w:eastAsia="zh-CN" w:bidi="ar-SA"/>
                    </w:rPr>
                    <w:t>氢碎</w:t>
                  </w:r>
                  <w:r>
                    <w:rPr>
                      <w:rFonts w:hint="eastAsia" w:cs="Times New Roman"/>
                      <w:b w:val="0"/>
                      <w:bCs w:val="0"/>
                      <w:color w:val="auto"/>
                      <w:kern w:val="2"/>
                      <w:sz w:val="21"/>
                      <w:szCs w:val="21"/>
                      <w:highlight w:val="none"/>
                      <w:vertAlign w:val="baseline"/>
                      <w:lang w:val="en-US" w:eastAsia="zh-CN" w:bidi="ar-SA"/>
                    </w:rPr>
                    <w:t>炉</w:t>
                  </w:r>
                </w:p>
              </w:tc>
              <w:tc>
                <w:tcPr>
                  <w:tcW w:w="567" w:type="dxa"/>
                  <w:tcBorders>
                    <w:tl2br w:val="nil"/>
                    <w:tr2bl w:val="nil"/>
                  </w:tcBorders>
                  <w:shd w:val="clear" w:color="auto" w:fill="auto"/>
                  <w:vAlign w:val="center"/>
                </w:tcPr>
                <w:p w14:paraId="40879A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844" w:type="dxa"/>
                  <w:tcBorders>
                    <w:tl2br w:val="nil"/>
                    <w:tr2bl w:val="nil"/>
                  </w:tcBorders>
                  <w:vAlign w:val="center"/>
                </w:tcPr>
                <w:p w14:paraId="21C09FD3">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color w:val="auto"/>
                      <w:kern w:val="2"/>
                      <w:sz w:val="21"/>
                      <w:szCs w:val="21"/>
                      <w:highlight w:val="none"/>
                      <w:lang w:val="en-US" w:eastAsia="zh-CN" w:bidi="ar-SA"/>
                    </w:rPr>
                    <w:t>0.018</w:t>
                  </w:r>
                  <w:r>
                    <w:rPr>
                      <w:rFonts w:hint="eastAsia" w:cs="Times New Roman"/>
                      <w:color w:val="auto"/>
                      <w:kern w:val="2"/>
                      <w:sz w:val="21"/>
                      <w:szCs w:val="21"/>
                      <w:highlight w:val="none"/>
                      <w:lang w:val="en-US" w:eastAsia="zh-CN" w:bidi="ar-SA"/>
                    </w:rPr>
                    <w:t>4</w:t>
                  </w:r>
                  <w:r>
                    <w:rPr>
                      <w:rFonts w:hint="eastAsia" w:ascii="Times New Roman" w:hAnsi="Times New Roman" w:eastAsia="宋体" w:cs="Times New Roman"/>
                      <w:color w:val="auto"/>
                      <w:kern w:val="2"/>
                      <w:sz w:val="21"/>
                      <w:szCs w:val="21"/>
                      <w:highlight w:val="none"/>
                      <w:lang w:val="en-US" w:eastAsia="zh-CN" w:bidi="ar-SA"/>
                    </w:rPr>
                    <w:t>t/a</w:t>
                  </w:r>
                </w:p>
              </w:tc>
              <w:tc>
                <w:tcPr>
                  <w:tcW w:w="1087" w:type="dxa"/>
                  <w:tcBorders>
                    <w:tl2br w:val="nil"/>
                    <w:tr2bl w:val="nil"/>
                  </w:tcBorders>
                  <w:shd w:val="clear" w:color="auto" w:fill="auto"/>
                  <w:vAlign w:val="center"/>
                </w:tcPr>
                <w:p w14:paraId="439BB95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526mg/m</w:t>
                  </w:r>
                  <w:r>
                    <w:rPr>
                      <w:rFonts w:hint="eastAsia"/>
                      <w:sz w:val="21"/>
                      <w:szCs w:val="21"/>
                      <w:highlight w:val="none"/>
                      <w:vertAlign w:val="superscript"/>
                      <w:lang w:val="en-US" w:eastAsia="zh-CN"/>
                    </w:rPr>
                    <w:t>3</w:t>
                  </w:r>
                </w:p>
              </w:tc>
              <w:tc>
                <w:tcPr>
                  <w:tcW w:w="928" w:type="dxa"/>
                  <w:tcBorders>
                    <w:tl2br w:val="nil"/>
                    <w:tr2bl w:val="nil"/>
                  </w:tcBorders>
                  <w:shd w:val="clear" w:color="auto" w:fill="auto"/>
                  <w:vAlign w:val="center"/>
                </w:tcPr>
                <w:p w14:paraId="22D920F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sz w:val="21"/>
                      <w:szCs w:val="21"/>
                      <w:highlight w:val="none"/>
                      <w:vertAlign w:val="baseline"/>
                      <w:lang w:val="en-US" w:eastAsia="zh-CN"/>
                    </w:rPr>
                    <w:t>超细粉过滤器</w:t>
                  </w:r>
                  <w:r>
                    <w:rPr>
                      <w:rFonts w:hint="eastAsia"/>
                      <w:sz w:val="21"/>
                      <w:szCs w:val="21"/>
                      <w:highlight w:val="none"/>
                      <w:vertAlign w:val="baseline"/>
                      <w:lang w:val="en-US" w:eastAsia="zh-CN"/>
                    </w:rPr>
                    <w:t>过滤</w:t>
                  </w:r>
                </w:p>
              </w:tc>
              <w:tc>
                <w:tcPr>
                  <w:tcW w:w="890" w:type="dxa"/>
                  <w:tcBorders>
                    <w:tl2br w:val="nil"/>
                    <w:tr2bl w:val="nil"/>
                  </w:tcBorders>
                  <w:shd w:val="clear" w:color="auto" w:fill="auto"/>
                  <w:vAlign w:val="center"/>
                </w:tcPr>
                <w:p w14:paraId="5318AA6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0.0004t/a</w:t>
                  </w:r>
                </w:p>
              </w:tc>
              <w:tc>
                <w:tcPr>
                  <w:tcW w:w="884" w:type="dxa"/>
                  <w:tcBorders>
                    <w:tl2br w:val="nil"/>
                    <w:tr2bl w:val="nil"/>
                  </w:tcBorders>
                  <w:shd w:val="clear" w:color="auto" w:fill="auto"/>
                  <w:vAlign w:val="center"/>
                </w:tcPr>
                <w:p w14:paraId="2002A86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10mg/m</w:t>
                  </w:r>
                  <w:r>
                    <w:rPr>
                      <w:rFonts w:hint="eastAsia"/>
                      <w:sz w:val="21"/>
                      <w:szCs w:val="21"/>
                      <w:highlight w:val="none"/>
                      <w:vertAlign w:val="superscript"/>
                      <w:lang w:val="en-US" w:eastAsia="zh-CN"/>
                    </w:rPr>
                    <w:t>3</w:t>
                  </w:r>
                </w:p>
              </w:tc>
              <w:tc>
                <w:tcPr>
                  <w:tcW w:w="850" w:type="dxa"/>
                  <w:tcBorders>
                    <w:tl2br w:val="nil"/>
                    <w:tr2bl w:val="nil"/>
                  </w:tcBorders>
                  <w:shd w:val="clear" w:color="auto" w:fill="auto"/>
                  <w:vAlign w:val="center"/>
                </w:tcPr>
                <w:p w14:paraId="3C7F14D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10mg/m</w:t>
                  </w:r>
                  <w:r>
                    <w:rPr>
                      <w:rFonts w:hint="eastAsia"/>
                      <w:sz w:val="21"/>
                      <w:szCs w:val="21"/>
                      <w:highlight w:val="none"/>
                      <w:vertAlign w:val="superscript"/>
                      <w:lang w:val="en-US" w:eastAsia="zh-CN"/>
                    </w:rPr>
                    <w:t>3</w:t>
                  </w:r>
                </w:p>
              </w:tc>
              <w:tc>
                <w:tcPr>
                  <w:tcW w:w="1178" w:type="dxa"/>
                  <w:tcBorders>
                    <w:tl2br w:val="nil"/>
                    <w:tr2bl w:val="nil"/>
                  </w:tcBorders>
                  <w:vAlign w:val="center"/>
                </w:tcPr>
                <w:p w14:paraId="5004742C">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Φ</w:t>
                  </w:r>
                  <w:r>
                    <w:rPr>
                      <w:rFonts w:hint="default" w:ascii="Times New Roman" w:hAnsi="Times New Roman" w:cs="Times New Roman"/>
                      <w:sz w:val="21"/>
                      <w:szCs w:val="21"/>
                      <w:highlight w:val="none"/>
                      <w:vertAlign w:val="baseline"/>
                      <w:lang w:val="en-US" w:eastAsia="zh-CN"/>
                    </w:rPr>
                    <w:t>=</w:t>
                  </w:r>
                  <w:r>
                    <w:rPr>
                      <w:rFonts w:hint="eastAsia" w:cs="Times New Roman"/>
                      <w:sz w:val="21"/>
                      <w:szCs w:val="21"/>
                      <w:highlight w:val="none"/>
                      <w:vertAlign w:val="baseline"/>
                      <w:lang w:val="en-US" w:eastAsia="zh-CN"/>
                    </w:rPr>
                    <w:t>0.2m，</w:t>
                  </w:r>
                  <w:r>
                    <w:rPr>
                      <w:rFonts w:hint="default" w:ascii="Times New Roman" w:hAnsi="Times New Roman" w:cs="Times New Roman"/>
                      <w:sz w:val="21"/>
                      <w:szCs w:val="21"/>
                      <w:highlight w:val="none"/>
                      <w:vertAlign w:val="baseline"/>
                      <w:lang w:val="en-US" w:eastAsia="zh-CN"/>
                    </w:rPr>
                    <w:t>h=</w:t>
                  </w:r>
                  <w:r>
                    <w:rPr>
                      <w:rFonts w:hint="eastAsia" w:ascii="Times New Roman" w:hAnsi="Times New Roman" w:cs="Times New Roman"/>
                      <w:sz w:val="21"/>
                      <w:szCs w:val="21"/>
                      <w:highlight w:val="none"/>
                      <w:vertAlign w:val="baseline"/>
                      <w:lang w:val="en-US" w:eastAsia="zh-CN"/>
                    </w:rPr>
                    <w:t>15m</w:t>
                  </w:r>
                </w:p>
              </w:tc>
            </w:tr>
            <w:tr w14:paraId="00B67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718" w:type="dxa"/>
                  <w:tcBorders>
                    <w:tl2br w:val="nil"/>
                    <w:tr2bl w:val="nil"/>
                  </w:tcBorders>
                  <w:vAlign w:val="center"/>
                </w:tcPr>
                <w:p w14:paraId="12A6AD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cs="Times New Roman"/>
                      <w:b w:val="0"/>
                      <w:bCs w:val="0"/>
                      <w:color w:val="auto"/>
                      <w:kern w:val="2"/>
                      <w:sz w:val="21"/>
                      <w:szCs w:val="21"/>
                      <w:highlight w:val="none"/>
                      <w:vertAlign w:val="baseline"/>
                      <w:lang w:val="en-US" w:eastAsia="zh-CN" w:bidi="ar-SA"/>
                    </w:rPr>
                    <w:t>成型工序</w:t>
                  </w:r>
                </w:p>
              </w:tc>
              <w:tc>
                <w:tcPr>
                  <w:tcW w:w="567" w:type="dxa"/>
                  <w:tcBorders>
                    <w:tl2br w:val="nil"/>
                    <w:tr2bl w:val="nil"/>
                  </w:tcBorders>
                  <w:shd w:val="clear" w:color="auto" w:fill="auto"/>
                  <w:vAlign w:val="center"/>
                </w:tcPr>
                <w:p w14:paraId="224BD0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844" w:type="dxa"/>
                  <w:tcBorders>
                    <w:tl2br w:val="nil"/>
                    <w:tr2bl w:val="nil"/>
                  </w:tcBorders>
                  <w:vAlign w:val="center"/>
                </w:tcPr>
                <w:p w14:paraId="38BF4118">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color w:val="auto"/>
                      <w:kern w:val="2"/>
                      <w:sz w:val="21"/>
                      <w:szCs w:val="21"/>
                      <w:highlight w:val="none"/>
                      <w:lang w:val="en-US" w:eastAsia="zh-CN" w:bidi="ar-SA"/>
                    </w:rPr>
                    <w:t>0.47t/a</w:t>
                  </w:r>
                </w:p>
              </w:tc>
              <w:tc>
                <w:tcPr>
                  <w:tcW w:w="1087" w:type="dxa"/>
                  <w:tcBorders>
                    <w:tl2br w:val="nil"/>
                    <w:tr2bl w:val="nil"/>
                  </w:tcBorders>
                  <w:vAlign w:val="center"/>
                </w:tcPr>
                <w:p w14:paraId="7E940AA3">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163.2mg/m</w:t>
                  </w:r>
                  <w:r>
                    <w:rPr>
                      <w:rFonts w:hint="eastAsia"/>
                      <w:sz w:val="21"/>
                      <w:szCs w:val="21"/>
                      <w:highlight w:val="none"/>
                      <w:vertAlign w:val="superscript"/>
                      <w:lang w:val="en-US" w:eastAsia="zh-CN"/>
                    </w:rPr>
                    <w:t>3</w:t>
                  </w:r>
                </w:p>
              </w:tc>
              <w:tc>
                <w:tcPr>
                  <w:tcW w:w="928" w:type="dxa"/>
                  <w:tcBorders>
                    <w:tl2br w:val="nil"/>
                    <w:tr2bl w:val="nil"/>
                  </w:tcBorders>
                  <w:vAlign w:val="center"/>
                </w:tcPr>
                <w:p w14:paraId="6BE6ADEE">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default"/>
                      <w:sz w:val="21"/>
                      <w:szCs w:val="21"/>
                      <w:highlight w:val="none"/>
                      <w:vertAlign w:val="baseline"/>
                      <w:lang w:val="en-US" w:eastAsia="zh-CN"/>
                    </w:rPr>
                    <w:t>二级活性炭吸附装置</w:t>
                  </w:r>
                </w:p>
              </w:tc>
              <w:tc>
                <w:tcPr>
                  <w:tcW w:w="890" w:type="dxa"/>
                  <w:tcBorders>
                    <w:tl2br w:val="nil"/>
                    <w:tr2bl w:val="nil"/>
                  </w:tcBorders>
                  <w:vAlign w:val="center"/>
                </w:tcPr>
                <w:p w14:paraId="55E783A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0.043t/a</w:t>
                  </w:r>
                </w:p>
              </w:tc>
              <w:tc>
                <w:tcPr>
                  <w:tcW w:w="884" w:type="dxa"/>
                  <w:tcBorders>
                    <w:tl2br w:val="nil"/>
                    <w:tr2bl w:val="nil"/>
                  </w:tcBorders>
                  <w:vAlign w:val="center"/>
                </w:tcPr>
                <w:p w14:paraId="07BA5775">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15mg/m</w:t>
                  </w:r>
                  <w:r>
                    <w:rPr>
                      <w:rFonts w:hint="eastAsia"/>
                      <w:sz w:val="21"/>
                      <w:szCs w:val="21"/>
                      <w:highlight w:val="none"/>
                      <w:vertAlign w:val="superscript"/>
                      <w:lang w:val="en-US" w:eastAsia="zh-CN"/>
                    </w:rPr>
                    <w:t>3</w:t>
                  </w:r>
                </w:p>
              </w:tc>
              <w:tc>
                <w:tcPr>
                  <w:tcW w:w="850" w:type="dxa"/>
                  <w:tcBorders>
                    <w:tl2br w:val="nil"/>
                    <w:tr2bl w:val="nil"/>
                  </w:tcBorders>
                  <w:vAlign w:val="center"/>
                </w:tcPr>
                <w:p w14:paraId="5F0DC0FB">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60mg/m</w:t>
                  </w:r>
                  <w:r>
                    <w:rPr>
                      <w:rFonts w:hint="eastAsia"/>
                      <w:sz w:val="21"/>
                      <w:szCs w:val="21"/>
                      <w:highlight w:val="none"/>
                      <w:vertAlign w:val="superscript"/>
                      <w:lang w:val="en-US" w:eastAsia="zh-CN"/>
                    </w:rPr>
                    <w:t>3</w:t>
                  </w:r>
                </w:p>
              </w:tc>
              <w:tc>
                <w:tcPr>
                  <w:tcW w:w="1178" w:type="dxa"/>
                  <w:tcBorders>
                    <w:tl2br w:val="nil"/>
                    <w:tr2bl w:val="nil"/>
                  </w:tcBorders>
                  <w:vAlign w:val="center"/>
                </w:tcPr>
                <w:p w14:paraId="24498141">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Φ</w:t>
                  </w:r>
                  <w:r>
                    <w:rPr>
                      <w:rFonts w:hint="default" w:ascii="Times New Roman" w:hAnsi="Times New Roman" w:cs="Times New Roman"/>
                      <w:sz w:val="21"/>
                      <w:szCs w:val="21"/>
                      <w:highlight w:val="none"/>
                      <w:vertAlign w:val="baseline"/>
                      <w:lang w:val="en-US" w:eastAsia="zh-CN"/>
                    </w:rPr>
                    <w:t>=</w:t>
                  </w:r>
                  <w:r>
                    <w:rPr>
                      <w:rFonts w:hint="eastAsia" w:cs="Times New Roman"/>
                      <w:sz w:val="21"/>
                      <w:szCs w:val="21"/>
                      <w:highlight w:val="none"/>
                      <w:vertAlign w:val="baseline"/>
                      <w:lang w:val="en-US" w:eastAsia="zh-CN"/>
                    </w:rPr>
                    <w:t>0.2m；</w:t>
                  </w:r>
                  <w:r>
                    <w:rPr>
                      <w:rFonts w:hint="default" w:ascii="Times New Roman" w:hAnsi="Times New Roman" w:cs="Times New Roman"/>
                      <w:sz w:val="21"/>
                      <w:szCs w:val="21"/>
                      <w:highlight w:val="none"/>
                      <w:vertAlign w:val="baseline"/>
                      <w:lang w:val="en-US" w:eastAsia="zh-CN"/>
                    </w:rPr>
                    <w:t>h=</w:t>
                  </w:r>
                  <w:r>
                    <w:rPr>
                      <w:rFonts w:hint="eastAsia" w:ascii="Times New Roman" w:hAnsi="Times New Roman" w:cs="Times New Roman"/>
                      <w:sz w:val="21"/>
                      <w:szCs w:val="21"/>
                      <w:highlight w:val="none"/>
                      <w:vertAlign w:val="baseline"/>
                      <w:lang w:val="en-US" w:eastAsia="zh-CN"/>
                    </w:rPr>
                    <w:t>15m</w:t>
                  </w:r>
                </w:p>
              </w:tc>
            </w:tr>
            <w:tr w14:paraId="3C346B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718" w:type="dxa"/>
                  <w:tcBorders>
                    <w:tl2br w:val="nil"/>
                    <w:tr2bl w:val="nil"/>
                  </w:tcBorders>
                  <w:vAlign w:val="center"/>
                </w:tcPr>
                <w:p w14:paraId="5A8A98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烧结抽真空工序</w:t>
                  </w:r>
                </w:p>
              </w:tc>
              <w:tc>
                <w:tcPr>
                  <w:tcW w:w="567" w:type="dxa"/>
                  <w:tcBorders>
                    <w:tl2br w:val="nil"/>
                    <w:tr2bl w:val="nil"/>
                  </w:tcBorders>
                  <w:shd w:val="clear" w:color="auto" w:fill="auto"/>
                  <w:vAlign w:val="center"/>
                </w:tcPr>
                <w:p w14:paraId="4576C8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844" w:type="dxa"/>
                  <w:tcBorders>
                    <w:tl2br w:val="nil"/>
                    <w:tr2bl w:val="nil"/>
                  </w:tcBorders>
                  <w:vAlign w:val="center"/>
                </w:tcPr>
                <w:p w14:paraId="26B2638E">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color w:val="auto"/>
                      <w:kern w:val="2"/>
                      <w:sz w:val="21"/>
                      <w:szCs w:val="21"/>
                      <w:highlight w:val="none"/>
                      <w:lang w:val="zh-CN" w:eastAsia="zh-CN" w:bidi="ar-SA"/>
                    </w:rPr>
                    <w:t>0.0</w:t>
                  </w:r>
                  <w:r>
                    <w:rPr>
                      <w:rFonts w:hint="eastAsia" w:ascii="Times New Roman" w:hAnsi="Times New Roman" w:eastAsia="宋体" w:cs="Times New Roman"/>
                      <w:color w:val="auto"/>
                      <w:kern w:val="2"/>
                      <w:sz w:val="21"/>
                      <w:szCs w:val="21"/>
                      <w:highlight w:val="none"/>
                      <w:lang w:val="en-US" w:eastAsia="zh-CN" w:bidi="ar-SA"/>
                    </w:rPr>
                    <w:t>18</w:t>
                  </w:r>
                  <w:r>
                    <w:rPr>
                      <w:rFonts w:hint="eastAsia" w:cs="Times New Roman"/>
                      <w:color w:val="auto"/>
                      <w:kern w:val="2"/>
                      <w:sz w:val="21"/>
                      <w:szCs w:val="21"/>
                      <w:highlight w:val="none"/>
                      <w:lang w:val="en-US" w:eastAsia="zh-CN" w:bidi="ar-SA"/>
                    </w:rPr>
                    <w:t>6</w:t>
                  </w:r>
                  <w:r>
                    <w:rPr>
                      <w:rFonts w:hint="eastAsia" w:ascii="Times New Roman" w:hAnsi="Times New Roman" w:eastAsia="宋体" w:cs="Times New Roman"/>
                      <w:color w:val="auto"/>
                      <w:kern w:val="2"/>
                      <w:sz w:val="21"/>
                      <w:szCs w:val="21"/>
                      <w:highlight w:val="none"/>
                      <w:lang w:val="zh-CN" w:eastAsia="zh-CN" w:bidi="ar-SA"/>
                    </w:rPr>
                    <w:t>t/a</w:t>
                  </w:r>
                </w:p>
              </w:tc>
              <w:tc>
                <w:tcPr>
                  <w:tcW w:w="1087" w:type="dxa"/>
                  <w:tcBorders>
                    <w:tl2br w:val="nil"/>
                    <w:tr2bl w:val="nil"/>
                  </w:tcBorders>
                  <w:vAlign w:val="center"/>
                </w:tcPr>
                <w:p w14:paraId="6FF641C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0.79mg/m</w:t>
                  </w:r>
                  <w:r>
                    <w:rPr>
                      <w:rFonts w:hint="eastAsia"/>
                      <w:sz w:val="21"/>
                      <w:szCs w:val="21"/>
                      <w:highlight w:val="none"/>
                      <w:vertAlign w:val="superscript"/>
                      <w:lang w:val="en-US" w:eastAsia="zh-CN"/>
                    </w:rPr>
                    <w:t>3</w:t>
                  </w:r>
                </w:p>
              </w:tc>
              <w:tc>
                <w:tcPr>
                  <w:tcW w:w="928" w:type="dxa"/>
                  <w:tcBorders>
                    <w:tl2br w:val="nil"/>
                    <w:tr2bl w:val="nil"/>
                  </w:tcBorders>
                  <w:vAlign w:val="center"/>
                </w:tcPr>
                <w:p w14:paraId="382C4AF5">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default"/>
                      <w:sz w:val="21"/>
                      <w:szCs w:val="21"/>
                      <w:highlight w:val="none"/>
                      <w:vertAlign w:val="baseline"/>
                      <w:lang w:val="en-US" w:eastAsia="zh-CN"/>
                    </w:rPr>
                    <w:t>二级活性炭吸附装置</w:t>
                  </w:r>
                </w:p>
              </w:tc>
              <w:tc>
                <w:tcPr>
                  <w:tcW w:w="890" w:type="dxa"/>
                  <w:tcBorders>
                    <w:tl2br w:val="nil"/>
                    <w:tr2bl w:val="nil"/>
                  </w:tcBorders>
                  <w:vAlign w:val="center"/>
                </w:tcPr>
                <w:p w14:paraId="198FA99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0.007t/a</w:t>
                  </w:r>
                </w:p>
              </w:tc>
              <w:tc>
                <w:tcPr>
                  <w:tcW w:w="884" w:type="dxa"/>
                  <w:tcBorders>
                    <w:tl2br w:val="nil"/>
                    <w:tr2bl w:val="nil"/>
                  </w:tcBorders>
                  <w:vAlign w:val="center"/>
                </w:tcPr>
                <w:p w14:paraId="3C37474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0.3mg/m</w:t>
                  </w:r>
                  <w:r>
                    <w:rPr>
                      <w:rFonts w:hint="eastAsia"/>
                      <w:sz w:val="21"/>
                      <w:szCs w:val="21"/>
                      <w:highlight w:val="none"/>
                      <w:vertAlign w:val="superscript"/>
                      <w:lang w:val="en-US" w:eastAsia="zh-CN"/>
                    </w:rPr>
                    <w:t>3</w:t>
                  </w:r>
                </w:p>
              </w:tc>
              <w:tc>
                <w:tcPr>
                  <w:tcW w:w="850" w:type="dxa"/>
                  <w:tcBorders>
                    <w:tl2br w:val="nil"/>
                    <w:tr2bl w:val="nil"/>
                  </w:tcBorders>
                  <w:vAlign w:val="center"/>
                </w:tcPr>
                <w:p w14:paraId="5D7B4A4A">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60mg/m</w:t>
                  </w:r>
                  <w:r>
                    <w:rPr>
                      <w:rFonts w:hint="eastAsia"/>
                      <w:sz w:val="21"/>
                      <w:szCs w:val="21"/>
                      <w:highlight w:val="none"/>
                      <w:vertAlign w:val="superscript"/>
                      <w:lang w:val="en-US" w:eastAsia="zh-CN"/>
                    </w:rPr>
                    <w:t>3</w:t>
                  </w:r>
                </w:p>
              </w:tc>
              <w:tc>
                <w:tcPr>
                  <w:tcW w:w="1178" w:type="dxa"/>
                  <w:tcBorders>
                    <w:tl2br w:val="nil"/>
                    <w:tr2bl w:val="nil"/>
                  </w:tcBorders>
                  <w:vAlign w:val="center"/>
                </w:tcPr>
                <w:p w14:paraId="28CEF172">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Φ</w:t>
                  </w:r>
                  <w:r>
                    <w:rPr>
                      <w:rFonts w:hint="default" w:ascii="Times New Roman" w:hAnsi="Times New Roman" w:cs="Times New Roman"/>
                      <w:sz w:val="21"/>
                      <w:szCs w:val="21"/>
                      <w:highlight w:val="none"/>
                      <w:vertAlign w:val="baseline"/>
                      <w:lang w:val="en-US" w:eastAsia="zh-CN"/>
                    </w:rPr>
                    <w:t>=</w:t>
                  </w:r>
                  <w:r>
                    <w:rPr>
                      <w:rFonts w:hint="eastAsia" w:cs="Times New Roman"/>
                      <w:sz w:val="21"/>
                      <w:szCs w:val="21"/>
                      <w:highlight w:val="none"/>
                      <w:vertAlign w:val="baseline"/>
                      <w:lang w:val="en-US" w:eastAsia="zh-CN"/>
                    </w:rPr>
                    <w:t>0.6m；</w:t>
                  </w:r>
                  <w:r>
                    <w:rPr>
                      <w:rFonts w:hint="default" w:ascii="Times New Roman" w:hAnsi="Times New Roman" w:cs="Times New Roman"/>
                      <w:sz w:val="21"/>
                      <w:szCs w:val="21"/>
                      <w:highlight w:val="none"/>
                      <w:vertAlign w:val="baseline"/>
                      <w:lang w:val="en-US" w:eastAsia="zh-CN"/>
                    </w:rPr>
                    <w:t>h=</w:t>
                  </w:r>
                  <w:r>
                    <w:rPr>
                      <w:rFonts w:hint="eastAsia" w:ascii="Times New Roman" w:hAnsi="Times New Roman" w:cs="Times New Roman"/>
                      <w:sz w:val="21"/>
                      <w:szCs w:val="21"/>
                      <w:highlight w:val="none"/>
                      <w:vertAlign w:val="baseline"/>
                      <w:lang w:val="en-US" w:eastAsia="zh-CN"/>
                    </w:rPr>
                    <w:t>15m</w:t>
                  </w:r>
                </w:p>
              </w:tc>
            </w:tr>
          </w:tbl>
          <w:p w14:paraId="75AB6F2B">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w:t>
            </w:r>
            <w:r>
              <w:rPr>
                <w:rFonts w:hint="eastAsia" w:cs="Times New Roman"/>
                <w:b/>
                <w:bCs/>
                <w:color w:val="000000"/>
                <w:kern w:val="2"/>
                <w:sz w:val="21"/>
                <w:szCs w:val="21"/>
                <w:highlight w:val="none"/>
                <w:lang w:val="en-US" w:eastAsia="zh-CN" w:bidi="ar-SA"/>
              </w:rPr>
              <w:t>5</w:t>
            </w:r>
            <w:r>
              <w:rPr>
                <w:rFonts w:hint="eastAsia" w:ascii="Times New Roman" w:hAnsi="Times New Roman" w:eastAsia="宋体" w:cs="Times New Roman"/>
                <w:b/>
                <w:bCs/>
                <w:color w:val="000000"/>
                <w:kern w:val="2"/>
                <w:sz w:val="21"/>
                <w:szCs w:val="21"/>
                <w:highlight w:val="none"/>
                <w:lang w:val="en-US" w:eastAsia="zh-CN" w:bidi="ar-SA"/>
              </w:rPr>
              <w:t xml:space="preserve">  大气污染物有组织排放量核算表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77"/>
              <w:gridCol w:w="1107"/>
              <w:gridCol w:w="1107"/>
              <w:gridCol w:w="1929"/>
              <w:gridCol w:w="1744"/>
              <w:gridCol w:w="1582"/>
            </w:tblGrid>
            <w:tr w14:paraId="1C3606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77" w:type="dxa"/>
                  <w:tcBorders>
                    <w:tl2br w:val="nil"/>
                    <w:tr2bl w:val="nil"/>
                  </w:tcBorders>
                  <w:vAlign w:val="center"/>
                </w:tcPr>
                <w:p w14:paraId="4453C2BE">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序号</w:t>
                  </w:r>
                </w:p>
              </w:tc>
              <w:tc>
                <w:tcPr>
                  <w:tcW w:w="1107" w:type="dxa"/>
                  <w:tcBorders>
                    <w:tl2br w:val="nil"/>
                    <w:tr2bl w:val="nil"/>
                  </w:tcBorders>
                  <w:vAlign w:val="center"/>
                </w:tcPr>
                <w:p w14:paraId="39A8A845">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排放口编号</w:t>
                  </w:r>
                </w:p>
              </w:tc>
              <w:tc>
                <w:tcPr>
                  <w:tcW w:w="1107" w:type="dxa"/>
                  <w:tcBorders>
                    <w:tl2br w:val="nil"/>
                    <w:tr2bl w:val="nil"/>
                  </w:tcBorders>
                  <w:vAlign w:val="center"/>
                </w:tcPr>
                <w:p w14:paraId="3A62C189">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污染物</w:t>
                  </w:r>
                </w:p>
              </w:tc>
              <w:tc>
                <w:tcPr>
                  <w:tcW w:w="1929" w:type="dxa"/>
                  <w:tcBorders>
                    <w:tl2br w:val="nil"/>
                    <w:tr2bl w:val="nil"/>
                  </w:tcBorders>
                  <w:vAlign w:val="center"/>
                </w:tcPr>
                <w:p w14:paraId="2FCD2B80">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核算排放浓度mg/m</w:t>
                  </w:r>
                  <w:r>
                    <w:rPr>
                      <w:rFonts w:hint="eastAsia"/>
                      <w:sz w:val="21"/>
                      <w:szCs w:val="21"/>
                      <w:highlight w:val="none"/>
                      <w:vertAlign w:val="superscript"/>
                      <w:lang w:val="en-US" w:eastAsia="zh-CN"/>
                    </w:rPr>
                    <w:t>3</w:t>
                  </w:r>
                </w:p>
              </w:tc>
              <w:tc>
                <w:tcPr>
                  <w:tcW w:w="1744" w:type="dxa"/>
                  <w:tcBorders>
                    <w:tl2br w:val="nil"/>
                    <w:tr2bl w:val="nil"/>
                  </w:tcBorders>
                  <w:vAlign w:val="center"/>
                </w:tcPr>
                <w:p w14:paraId="2C3B1748">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核算排放速率kg/h</w:t>
                  </w:r>
                </w:p>
              </w:tc>
              <w:tc>
                <w:tcPr>
                  <w:tcW w:w="1582" w:type="dxa"/>
                  <w:tcBorders>
                    <w:tl2br w:val="nil"/>
                    <w:tr2bl w:val="nil"/>
                  </w:tcBorders>
                  <w:vAlign w:val="center"/>
                </w:tcPr>
                <w:p w14:paraId="5FCF5716">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核算年排放量t/a</w:t>
                  </w:r>
                </w:p>
              </w:tc>
            </w:tr>
            <w:tr w14:paraId="0A482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77" w:type="dxa"/>
                  <w:tcBorders>
                    <w:tl2br w:val="nil"/>
                    <w:tr2bl w:val="nil"/>
                  </w:tcBorders>
                  <w:vAlign w:val="center"/>
                </w:tcPr>
                <w:p w14:paraId="6D3E0E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w:t>
                  </w:r>
                </w:p>
              </w:tc>
              <w:tc>
                <w:tcPr>
                  <w:tcW w:w="1107" w:type="dxa"/>
                  <w:tcBorders>
                    <w:tl2br w:val="nil"/>
                    <w:tr2bl w:val="nil"/>
                  </w:tcBorders>
                  <w:shd w:val="clear" w:color="auto" w:fill="auto"/>
                  <w:vAlign w:val="center"/>
                </w:tcPr>
                <w:p w14:paraId="2A36F1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DA001</w:t>
                  </w:r>
                </w:p>
              </w:tc>
              <w:tc>
                <w:tcPr>
                  <w:tcW w:w="1107" w:type="dxa"/>
                  <w:tcBorders>
                    <w:tl2br w:val="nil"/>
                    <w:tr2bl w:val="nil"/>
                  </w:tcBorders>
                  <w:shd w:val="clear" w:color="auto" w:fill="auto"/>
                  <w:vAlign w:val="center"/>
                </w:tcPr>
                <w:p w14:paraId="3C803E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1929" w:type="dxa"/>
                  <w:tcBorders>
                    <w:tl2br w:val="nil"/>
                    <w:tr2bl w:val="nil"/>
                  </w:tcBorders>
                  <w:vAlign w:val="center"/>
                </w:tcPr>
                <w:p w14:paraId="18EC5CE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10</w:t>
                  </w:r>
                </w:p>
              </w:tc>
              <w:tc>
                <w:tcPr>
                  <w:tcW w:w="1744" w:type="dxa"/>
                  <w:tcBorders>
                    <w:tl2br w:val="nil"/>
                    <w:tr2bl w:val="nil"/>
                  </w:tcBorders>
                  <w:vAlign w:val="center"/>
                </w:tcPr>
                <w:p w14:paraId="24C97BE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0.055</w:t>
                  </w:r>
                </w:p>
              </w:tc>
              <w:tc>
                <w:tcPr>
                  <w:tcW w:w="1582" w:type="dxa"/>
                  <w:tcBorders>
                    <w:tl2br w:val="nil"/>
                    <w:tr2bl w:val="nil"/>
                  </w:tcBorders>
                  <w:vAlign w:val="center"/>
                </w:tcPr>
                <w:p w14:paraId="6723E91B">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0.132</w:t>
                  </w:r>
                </w:p>
              </w:tc>
            </w:tr>
            <w:tr w14:paraId="582870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77" w:type="dxa"/>
                  <w:tcBorders>
                    <w:tl2br w:val="nil"/>
                    <w:tr2bl w:val="nil"/>
                  </w:tcBorders>
                  <w:vAlign w:val="center"/>
                </w:tcPr>
                <w:p w14:paraId="37EF98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w:t>
                  </w:r>
                </w:p>
              </w:tc>
              <w:tc>
                <w:tcPr>
                  <w:tcW w:w="1107" w:type="dxa"/>
                  <w:tcBorders>
                    <w:tl2br w:val="nil"/>
                    <w:tr2bl w:val="nil"/>
                  </w:tcBorders>
                  <w:shd w:val="clear" w:color="auto" w:fill="auto"/>
                  <w:vAlign w:val="center"/>
                </w:tcPr>
                <w:p w14:paraId="16B9E3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DA002</w:t>
                  </w:r>
                </w:p>
              </w:tc>
              <w:tc>
                <w:tcPr>
                  <w:tcW w:w="1107" w:type="dxa"/>
                  <w:tcBorders>
                    <w:tl2br w:val="nil"/>
                    <w:tr2bl w:val="nil"/>
                  </w:tcBorders>
                  <w:shd w:val="clear" w:color="auto" w:fill="auto"/>
                  <w:vAlign w:val="center"/>
                </w:tcPr>
                <w:p w14:paraId="4E5730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1929" w:type="dxa"/>
                  <w:tcBorders>
                    <w:tl2br w:val="nil"/>
                    <w:tr2bl w:val="nil"/>
                  </w:tcBorders>
                  <w:vAlign w:val="center"/>
                </w:tcPr>
                <w:p w14:paraId="2912B63E">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10</w:t>
                  </w:r>
                </w:p>
              </w:tc>
              <w:tc>
                <w:tcPr>
                  <w:tcW w:w="1744" w:type="dxa"/>
                  <w:tcBorders>
                    <w:tl2br w:val="nil"/>
                    <w:tr2bl w:val="nil"/>
                  </w:tcBorders>
                  <w:vAlign w:val="center"/>
                </w:tcPr>
                <w:p w14:paraId="4F126D1A">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0.014</w:t>
                  </w:r>
                </w:p>
              </w:tc>
              <w:tc>
                <w:tcPr>
                  <w:tcW w:w="1582" w:type="dxa"/>
                  <w:tcBorders>
                    <w:tl2br w:val="nil"/>
                    <w:tr2bl w:val="nil"/>
                  </w:tcBorders>
                  <w:vAlign w:val="center"/>
                </w:tcPr>
                <w:p w14:paraId="60380D4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0.0004</w:t>
                  </w:r>
                </w:p>
              </w:tc>
            </w:tr>
            <w:tr w14:paraId="1D3A62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77" w:type="dxa"/>
                  <w:tcBorders>
                    <w:tl2br w:val="nil"/>
                    <w:tr2bl w:val="nil"/>
                  </w:tcBorders>
                  <w:vAlign w:val="center"/>
                </w:tcPr>
                <w:p w14:paraId="42AEC3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w:t>
                  </w:r>
                </w:p>
              </w:tc>
              <w:tc>
                <w:tcPr>
                  <w:tcW w:w="1107" w:type="dxa"/>
                  <w:tcBorders>
                    <w:tl2br w:val="nil"/>
                    <w:tr2bl w:val="nil"/>
                  </w:tcBorders>
                  <w:shd w:val="clear" w:color="auto" w:fill="auto"/>
                  <w:vAlign w:val="center"/>
                </w:tcPr>
                <w:p w14:paraId="7C5219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DA003</w:t>
                  </w:r>
                </w:p>
              </w:tc>
              <w:tc>
                <w:tcPr>
                  <w:tcW w:w="1107" w:type="dxa"/>
                  <w:tcBorders>
                    <w:tl2br w:val="nil"/>
                    <w:tr2bl w:val="nil"/>
                  </w:tcBorders>
                  <w:shd w:val="clear" w:color="auto" w:fill="auto"/>
                  <w:vAlign w:val="center"/>
                </w:tcPr>
                <w:p w14:paraId="53F1D7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1929" w:type="dxa"/>
                  <w:tcBorders>
                    <w:tl2br w:val="nil"/>
                    <w:tr2bl w:val="nil"/>
                  </w:tcBorders>
                  <w:shd w:val="clear" w:color="auto" w:fill="auto"/>
                  <w:vAlign w:val="center"/>
                </w:tcPr>
                <w:p w14:paraId="21A0526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10</w:t>
                  </w:r>
                </w:p>
              </w:tc>
              <w:tc>
                <w:tcPr>
                  <w:tcW w:w="1744" w:type="dxa"/>
                  <w:tcBorders>
                    <w:tl2br w:val="nil"/>
                    <w:tr2bl w:val="nil"/>
                  </w:tcBorders>
                  <w:shd w:val="clear" w:color="auto" w:fill="auto"/>
                  <w:vAlign w:val="center"/>
                </w:tcPr>
                <w:p w14:paraId="708C567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0.014</w:t>
                  </w:r>
                </w:p>
              </w:tc>
              <w:tc>
                <w:tcPr>
                  <w:tcW w:w="1582" w:type="dxa"/>
                  <w:tcBorders>
                    <w:tl2br w:val="nil"/>
                    <w:tr2bl w:val="nil"/>
                  </w:tcBorders>
                  <w:shd w:val="clear" w:color="auto" w:fill="auto"/>
                  <w:vAlign w:val="center"/>
                </w:tcPr>
                <w:p w14:paraId="0F17153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kern w:val="2"/>
                      <w:sz w:val="21"/>
                      <w:szCs w:val="21"/>
                      <w:highlight w:val="none"/>
                      <w:vertAlign w:val="baseline"/>
                      <w:lang w:val="en-US" w:eastAsia="zh-CN" w:bidi="ar-SA"/>
                    </w:rPr>
                    <w:t>0.0004</w:t>
                  </w:r>
                </w:p>
              </w:tc>
            </w:tr>
            <w:tr w14:paraId="55FEBE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77" w:type="dxa"/>
                  <w:tcBorders>
                    <w:tl2br w:val="nil"/>
                    <w:tr2bl w:val="nil"/>
                  </w:tcBorders>
                  <w:vAlign w:val="center"/>
                </w:tcPr>
                <w:p w14:paraId="074C05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w:t>
                  </w:r>
                </w:p>
              </w:tc>
              <w:tc>
                <w:tcPr>
                  <w:tcW w:w="1107" w:type="dxa"/>
                  <w:tcBorders>
                    <w:tl2br w:val="nil"/>
                    <w:tr2bl w:val="nil"/>
                  </w:tcBorders>
                  <w:shd w:val="clear" w:color="auto" w:fill="auto"/>
                  <w:vAlign w:val="center"/>
                </w:tcPr>
                <w:p w14:paraId="1E6875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DA004</w:t>
                  </w:r>
                </w:p>
              </w:tc>
              <w:tc>
                <w:tcPr>
                  <w:tcW w:w="1107" w:type="dxa"/>
                  <w:tcBorders>
                    <w:tl2br w:val="nil"/>
                    <w:tr2bl w:val="nil"/>
                  </w:tcBorders>
                  <w:shd w:val="clear" w:color="auto" w:fill="auto"/>
                  <w:vAlign w:val="center"/>
                </w:tcPr>
                <w:p w14:paraId="2F9BFE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1929" w:type="dxa"/>
                  <w:tcBorders>
                    <w:tl2br w:val="nil"/>
                    <w:tr2bl w:val="nil"/>
                  </w:tcBorders>
                  <w:vAlign w:val="center"/>
                </w:tcPr>
                <w:p w14:paraId="7135B178">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6.6</w:t>
                  </w:r>
                </w:p>
              </w:tc>
              <w:tc>
                <w:tcPr>
                  <w:tcW w:w="1744" w:type="dxa"/>
                  <w:tcBorders>
                    <w:tl2br w:val="nil"/>
                    <w:tr2bl w:val="nil"/>
                  </w:tcBorders>
                  <w:vAlign w:val="center"/>
                </w:tcPr>
                <w:p w14:paraId="5C0B1E90">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0.018</w:t>
                  </w:r>
                </w:p>
              </w:tc>
              <w:tc>
                <w:tcPr>
                  <w:tcW w:w="1582" w:type="dxa"/>
                  <w:tcBorders>
                    <w:tl2br w:val="nil"/>
                    <w:tr2bl w:val="nil"/>
                  </w:tcBorders>
                  <w:vAlign w:val="center"/>
                </w:tcPr>
                <w:p w14:paraId="37434E38">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0.043</w:t>
                  </w:r>
                </w:p>
              </w:tc>
            </w:tr>
            <w:tr w14:paraId="0D0A2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77" w:type="dxa"/>
                  <w:tcBorders>
                    <w:tl2br w:val="nil"/>
                    <w:tr2bl w:val="nil"/>
                  </w:tcBorders>
                  <w:vAlign w:val="center"/>
                </w:tcPr>
                <w:p w14:paraId="556B1A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w:t>
                  </w:r>
                </w:p>
              </w:tc>
              <w:tc>
                <w:tcPr>
                  <w:tcW w:w="1107" w:type="dxa"/>
                  <w:tcBorders>
                    <w:tl2br w:val="nil"/>
                    <w:tr2bl w:val="nil"/>
                  </w:tcBorders>
                  <w:shd w:val="clear" w:color="auto" w:fill="auto"/>
                  <w:vAlign w:val="center"/>
                </w:tcPr>
                <w:p w14:paraId="209B91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DA005</w:t>
                  </w:r>
                </w:p>
              </w:tc>
              <w:tc>
                <w:tcPr>
                  <w:tcW w:w="1107" w:type="dxa"/>
                  <w:tcBorders>
                    <w:tl2br w:val="nil"/>
                    <w:tr2bl w:val="nil"/>
                  </w:tcBorders>
                  <w:shd w:val="clear" w:color="auto" w:fill="auto"/>
                  <w:vAlign w:val="center"/>
                </w:tcPr>
                <w:p w14:paraId="514B56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1929" w:type="dxa"/>
                  <w:tcBorders>
                    <w:tl2br w:val="nil"/>
                    <w:tr2bl w:val="nil"/>
                  </w:tcBorders>
                  <w:vAlign w:val="center"/>
                </w:tcPr>
                <w:p w14:paraId="3171E548">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0.3</w:t>
                  </w:r>
                </w:p>
              </w:tc>
              <w:tc>
                <w:tcPr>
                  <w:tcW w:w="1744" w:type="dxa"/>
                  <w:tcBorders>
                    <w:tl2br w:val="nil"/>
                    <w:tr2bl w:val="nil"/>
                  </w:tcBorders>
                  <w:vAlign w:val="center"/>
                </w:tcPr>
                <w:p w14:paraId="504BDC4A">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0.0039</w:t>
                  </w:r>
                </w:p>
              </w:tc>
              <w:tc>
                <w:tcPr>
                  <w:tcW w:w="1582" w:type="dxa"/>
                  <w:tcBorders>
                    <w:tl2br w:val="nil"/>
                    <w:tr2bl w:val="nil"/>
                  </w:tcBorders>
                  <w:vAlign w:val="center"/>
                </w:tcPr>
                <w:p w14:paraId="250B6536">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0.007</w:t>
                  </w:r>
                </w:p>
              </w:tc>
            </w:tr>
            <w:tr w14:paraId="0EB83D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584" w:type="dxa"/>
                  <w:gridSpan w:val="2"/>
                  <w:vMerge w:val="restart"/>
                  <w:tcBorders>
                    <w:tl2br w:val="nil"/>
                    <w:tr2bl w:val="nil"/>
                  </w:tcBorders>
                  <w:vAlign w:val="center"/>
                </w:tcPr>
                <w:p w14:paraId="0A815D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有组织排放总计</w:t>
                  </w:r>
                </w:p>
              </w:tc>
              <w:tc>
                <w:tcPr>
                  <w:tcW w:w="4780" w:type="dxa"/>
                  <w:gridSpan w:val="3"/>
                  <w:tcBorders>
                    <w:tl2br w:val="nil"/>
                    <w:tr2bl w:val="nil"/>
                  </w:tcBorders>
                  <w:shd w:val="clear" w:color="auto" w:fill="auto"/>
                  <w:vAlign w:val="center"/>
                </w:tcPr>
                <w:p w14:paraId="3EAC4720">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颗粒物</w:t>
                  </w:r>
                </w:p>
              </w:tc>
              <w:tc>
                <w:tcPr>
                  <w:tcW w:w="1582" w:type="dxa"/>
                  <w:tcBorders>
                    <w:tl2br w:val="nil"/>
                    <w:tr2bl w:val="nil"/>
                  </w:tcBorders>
                  <w:vAlign w:val="center"/>
                </w:tcPr>
                <w:p w14:paraId="257A22A3">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0.133</w:t>
                  </w:r>
                </w:p>
              </w:tc>
            </w:tr>
            <w:tr w14:paraId="2090FD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584" w:type="dxa"/>
                  <w:gridSpan w:val="2"/>
                  <w:vMerge w:val="continue"/>
                  <w:tcBorders>
                    <w:tl2br w:val="nil"/>
                    <w:tr2bl w:val="nil"/>
                  </w:tcBorders>
                  <w:vAlign w:val="center"/>
                </w:tcPr>
                <w:p w14:paraId="64841F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kern w:val="2"/>
                      <w:sz w:val="21"/>
                      <w:szCs w:val="21"/>
                      <w:highlight w:val="none"/>
                      <w:lang w:val="en-US" w:eastAsia="zh-CN" w:bidi="ar-SA"/>
                    </w:rPr>
                  </w:pPr>
                </w:p>
              </w:tc>
              <w:tc>
                <w:tcPr>
                  <w:tcW w:w="4780" w:type="dxa"/>
                  <w:gridSpan w:val="3"/>
                  <w:tcBorders>
                    <w:tl2br w:val="nil"/>
                    <w:tr2bl w:val="nil"/>
                  </w:tcBorders>
                  <w:shd w:val="clear" w:color="auto" w:fill="auto"/>
                  <w:vAlign w:val="center"/>
                </w:tcPr>
                <w:p w14:paraId="45DFA050">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非甲烷总烃</w:t>
                  </w:r>
                </w:p>
              </w:tc>
              <w:tc>
                <w:tcPr>
                  <w:tcW w:w="1582" w:type="dxa"/>
                  <w:tcBorders>
                    <w:tl2br w:val="nil"/>
                    <w:tr2bl w:val="nil"/>
                  </w:tcBorders>
                  <w:vAlign w:val="center"/>
                </w:tcPr>
                <w:p w14:paraId="4BBE402A">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0.050</w:t>
                  </w:r>
                </w:p>
              </w:tc>
            </w:tr>
          </w:tbl>
          <w:p w14:paraId="74DAE3CD">
            <w:pPr>
              <w:keepNext w:val="0"/>
              <w:keepLines w:val="0"/>
              <w:pageBreakBefore w:val="0"/>
              <w:widowControl w:val="0"/>
              <w:kinsoku/>
              <w:wordWrap/>
              <w:overflowPunct/>
              <w:topLinePunct w:val="0"/>
              <w:autoSpaceDE/>
              <w:autoSpaceDN/>
              <w:bidi w:val="0"/>
              <w:adjustRightInd/>
              <w:snapToGrid/>
              <w:spacing w:before="63" w:beforeLines="20" w:after="63" w:afterLines="20"/>
              <w:jc w:val="right"/>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 xml:space="preserve">表4-6  主要污染物排放量总量“三本账”           </w:t>
            </w:r>
            <w:r>
              <w:rPr>
                <w:rFonts w:hint="eastAsia" w:ascii="Times New Roman" w:hAnsi="Times New Roman" w:eastAsia="宋体" w:cs="Times New Roman"/>
                <w:b/>
                <w:bCs/>
                <w:color w:val="000000"/>
                <w:kern w:val="2"/>
                <w:sz w:val="15"/>
                <w:szCs w:val="15"/>
                <w:highlight w:val="none"/>
                <w:lang w:val="en-US" w:eastAsia="zh-CN" w:bidi="ar-SA"/>
              </w:rPr>
              <w:t xml:space="preserve"> 单位：</w:t>
            </w:r>
            <w:r>
              <w:rPr>
                <w:rFonts w:hint="eastAsia"/>
                <w:sz w:val="15"/>
                <w:szCs w:val="15"/>
                <w:highlight w:val="none"/>
                <w:vertAlign w:val="baseline"/>
                <w:lang w:val="en-US" w:eastAsia="zh-CN"/>
              </w:rPr>
              <w:t>t/a</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21"/>
              <w:gridCol w:w="703"/>
              <w:gridCol w:w="898"/>
              <w:gridCol w:w="704"/>
              <w:gridCol w:w="787"/>
              <w:gridCol w:w="776"/>
              <w:gridCol w:w="919"/>
              <w:gridCol w:w="1359"/>
              <w:gridCol w:w="879"/>
            </w:tblGrid>
            <w:tr w14:paraId="0ED56E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79" w:type="pct"/>
                  <w:vMerge w:val="restart"/>
                  <w:tcBorders>
                    <w:tl2br w:val="nil"/>
                    <w:tr2bl w:val="nil"/>
                  </w:tcBorders>
                  <w:vAlign w:val="center"/>
                </w:tcPr>
                <w:p w14:paraId="25D84BF0">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污染源</w:t>
                  </w:r>
                </w:p>
              </w:tc>
              <w:tc>
                <w:tcPr>
                  <w:tcW w:w="442" w:type="pct"/>
                  <w:vMerge w:val="restart"/>
                  <w:tcBorders>
                    <w:tl2br w:val="nil"/>
                    <w:tr2bl w:val="nil"/>
                  </w:tcBorders>
                  <w:vAlign w:val="center"/>
                </w:tcPr>
                <w:p w14:paraId="6FAFEB4E">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污染物</w:t>
                  </w:r>
                </w:p>
              </w:tc>
              <w:tc>
                <w:tcPr>
                  <w:tcW w:w="565" w:type="pct"/>
                  <w:vMerge w:val="restart"/>
                  <w:tcBorders>
                    <w:tl2br w:val="nil"/>
                    <w:tr2bl w:val="nil"/>
                  </w:tcBorders>
                  <w:vAlign w:val="center"/>
                </w:tcPr>
                <w:p w14:paraId="1B42C51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现有工程许可排放量</w:t>
                  </w:r>
                </w:p>
              </w:tc>
              <w:tc>
                <w:tcPr>
                  <w:tcW w:w="1426" w:type="pct"/>
                  <w:gridSpan w:val="3"/>
                  <w:tcBorders>
                    <w:tl2br w:val="nil"/>
                    <w:tr2bl w:val="nil"/>
                  </w:tcBorders>
                  <w:vAlign w:val="center"/>
                </w:tcPr>
                <w:p w14:paraId="3FB62E4C">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本工程</w:t>
                  </w:r>
                </w:p>
              </w:tc>
              <w:tc>
                <w:tcPr>
                  <w:tcW w:w="578" w:type="pct"/>
                  <w:vMerge w:val="restart"/>
                  <w:tcBorders>
                    <w:tl2br w:val="nil"/>
                    <w:tr2bl w:val="nil"/>
                  </w:tcBorders>
                  <w:vAlign w:val="center"/>
                </w:tcPr>
                <w:p w14:paraId="271CC4E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以新带老削减量</w:t>
                  </w:r>
                </w:p>
              </w:tc>
              <w:tc>
                <w:tcPr>
                  <w:tcW w:w="855" w:type="pct"/>
                  <w:vMerge w:val="restart"/>
                  <w:tcBorders>
                    <w:tl2br w:val="nil"/>
                    <w:tr2bl w:val="nil"/>
                  </w:tcBorders>
                  <w:vAlign w:val="center"/>
                </w:tcPr>
                <w:p w14:paraId="35D953E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本项目建成后全厂排放量</w:t>
                  </w:r>
                </w:p>
              </w:tc>
              <w:tc>
                <w:tcPr>
                  <w:tcW w:w="553" w:type="pct"/>
                  <w:vMerge w:val="restart"/>
                  <w:tcBorders>
                    <w:tl2br w:val="nil"/>
                    <w:tr2bl w:val="nil"/>
                  </w:tcBorders>
                  <w:vAlign w:val="center"/>
                </w:tcPr>
                <w:p w14:paraId="3430B1A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变化量</w:t>
                  </w:r>
                </w:p>
              </w:tc>
            </w:tr>
            <w:tr w14:paraId="0D1B23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79" w:type="pct"/>
                  <w:vMerge w:val="continue"/>
                  <w:tcBorders>
                    <w:tl2br w:val="nil"/>
                    <w:tr2bl w:val="nil"/>
                  </w:tcBorders>
                  <w:vAlign w:val="center"/>
                </w:tcPr>
                <w:p w14:paraId="4D29A34C">
                  <w:pPr>
                    <w:keepNext w:val="0"/>
                    <w:keepLines w:val="0"/>
                    <w:pageBreakBefore w:val="0"/>
                    <w:widowControl w:val="0"/>
                    <w:kinsoku/>
                    <w:wordWrap/>
                    <w:overflowPunct/>
                    <w:topLinePunct w:val="0"/>
                    <w:autoSpaceDE/>
                    <w:autoSpaceDN/>
                    <w:bidi w:val="0"/>
                    <w:adjustRightInd/>
                    <w:snapToGrid/>
                    <w:jc w:val="center"/>
                    <w:textAlignment w:val="auto"/>
                    <w:rPr>
                      <w:highlight w:val="none"/>
                    </w:rPr>
                  </w:pPr>
                </w:p>
              </w:tc>
              <w:tc>
                <w:tcPr>
                  <w:tcW w:w="442" w:type="pct"/>
                  <w:vMerge w:val="continue"/>
                  <w:tcBorders>
                    <w:tl2br w:val="nil"/>
                    <w:tr2bl w:val="nil"/>
                  </w:tcBorders>
                  <w:vAlign w:val="center"/>
                </w:tcPr>
                <w:p w14:paraId="745A2A53">
                  <w:pPr>
                    <w:keepNext w:val="0"/>
                    <w:keepLines w:val="0"/>
                    <w:pageBreakBefore w:val="0"/>
                    <w:widowControl w:val="0"/>
                    <w:kinsoku/>
                    <w:wordWrap/>
                    <w:overflowPunct/>
                    <w:topLinePunct w:val="0"/>
                    <w:autoSpaceDE/>
                    <w:autoSpaceDN/>
                    <w:bidi w:val="0"/>
                    <w:adjustRightInd/>
                    <w:snapToGrid/>
                    <w:jc w:val="center"/>
                    <w:textAlignment w:val="auto"/>
                    <w:rPr>
                      <w:highlight w:val="none"/>
                    </w:rPr>
                  </w:pPr>
                </w:p>
              </w:tc>
              <w:tc>
                <w:tcPr>
                  <w:tcW w:w="565" w:type="pct"/>
                  <w:vMerge w:val="continue"/>
                  <w:tcBorders>
                    <w:tl2br w:val="nil"/>
                    <w:tr2bl w:val="nil"/>
                  </w:tcBorders>
                  <w:vAlign w:val="center"/>
                </w:tcPr>
                <w:p w14:paraId="2F30C27A">
                  <w:pPr>
                    <w:keepNext w:val="0"/>
                    <w:keepLines w:val="0"/>
                    <w:pageBreakBefore w:val="0"/>
                    <w:widowControl w:val="0"/>
                    <w:kinsoku/>
                    <w:wordWrap/>
                    <w:overflowPunct/>
                    <w:topLinePunct w:val="0"/>
                    <w:autoSpaceDE/>
                    <w:autoSpaceDN/>
                    <w:bidi w:val="0"/>
                    <w:adjustRightInd/>
                    <w:snapToGrid/>
                    <w:jc w:val="center"/>
                    <w:textAlignment w:val="auto"/>
                    <w:rPr>
                      <w:highlight w:val="none"/>
                    </w:rPr>
                  </w:pPr>
                </w:p>
              </w:tc>
              <w:tc>
                <w:tcPr>
                  <w:tcW w:w="442" w:type="pct"/>
                  <w:tcBorders>
                    <w:tl2br w:val="nil"/>
                    <w:tr2bl w:val="nil"/>
                  </w:tcBorders>
                  <w:vAlign w:val="center"/>
                </w:tcPr>
                <w:p w14:paraId="61DDC517">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产生量</w:t>
                  </w:r>
                </w:p>
              </w:tc>
              <w:tc>
                <w:tcPr>
                  <w:tcW w:w="495" w:type="pct"/>
                  <w:tcBorders>
                    <w:tl2br w:val="nil"/>
                    <w:tr2bl w:val="nil"/>
                  </w:tcBorders>
                  <w:vAlign w:val="center"/>
                </w:tcPr>
                <w:p w14:paraId="740FC6AC">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削减量</w:t>
                  </w:r>
                </w:p>
              </w:tc>
              <w:tc>
                <w:tcPr>
                  <w:tcW w:w="488" w:type="pct"/>
                  <w:tcBorders>
                    <w:tl2br w:val="nil"/>
                    <w:tr2bl w:val="nil"/>
                  </w:tcBorders>
                  <w:vAlign w:val="center"/>
                </w:tcPr>
                <w:p w14:paraId="0D73959E">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排放量</w:t>
                  </w:r>
                </w:p>
              </w:tc>
              <w:tc>
                <w:tcPr>
                  <w:tcW w:w="578" w:type="pct"/>
                  <w:vMerge w:val="continue"/>
                  <w:tcBorders>
                    <w:tl2br w:val="nil"/>
                    <w:tr2bl w:val="nil"/>
                  </w:tcBorders>
                  <w:vAlign w:val="center"/>
                </w:tcPr>
                <w:p w14:paraId="4D4CDD29">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highlight w:val="none"/>
                      <w:vertAlign w:val="baseline"/>
                      <w:lang w:val="en-US" w:eastAsia="zh-CN"/>
                    </w:rPr>
                  </w:pPr>
                </w:p>
              </w:tc>
              <w:tc>
                <w:tcPr>
                  <w:tcW w:w="855" w:type="pct"/>
                  <w:vMerge w:val="continue"/>
                  <w:tcBorders>
                    <w:tl2br w:val="nil"/>
                    <w:tr2bl w:val="nil"/>
                  </w:tcBorders>
                  <w:vAlign w:val="center"/>
                </w:tcPr>
                <w:p w14:paraId="19A82A59">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highlight w:val="none"/>
                      <w:vertAlign w:val="baseline"/>
                      <w:lang w:val="en-US" w:eastAsia="zh-CN"/>
                    </w:rPr>
                  </w:pPr>
                </w:p>
              </w:tc>
              <w:tc>
                <w:tcPr>
                  <w:tcW w:w="553" w:type="pct"/>
                  <w:vMerge w:val="continue"/>
                  <w:tcBorders>
                    <w:tl2br w:val="nil"/>
                    <w:tr2bl w:val="nil"/>
                  </w:tcBorders>
                  <w:vAlign w:val="center"/>
                </w:tcPr>
                <w:p w14:paraId="52FC5F6D">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highlight w:val="none"/>
                      <w:vertAlign w:val="baseline"/>
                      <w:lang w:val="en-US" w:eastAsia="zh-CN"/>
                    </w:rPr>
                  </w:pPr>
                </w:p>
              </w:tc>
            </w:tr>
            <w:tr w14:paraId="7DB8CD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79" w:type="pct"/>
                  <w:tcBorders>
                    <w:tl2br w:val="nil"/>
                    <w:tr2bl w:val="nil"/>
                  </w:tcBorders>
                  <w:shd w:val="clear" w:color="auto" w:fill="auto"/>
                  <w:vAlign w:val="center"/>
                </w:tcPr>
                <w:p w14:paraId="28AFCA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抛丸机</w:t>
                  </w:r>
                </w:p>
              </w:tc>
              <w:tc>
                <w:tcPr>
                  <w:tcW w:w="442" w:type="pct"/>
                  <w:tcBorders>
                    <w:tl2br w:val="nil"/>
                    <w:tr2bl w:val="nil"/>
                  </w:tcBorders>
                  <w:shd w:val="clear" w:color="auto" w:fill="auto"/>
                  <w:vAlign w:val="center"/>
                </w:tcPr>
                <w:p w14:paraId="35D3A8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565" w:type="pct"/>
                  <w:tcBorders>
                    <w:tl2br w:val="nil"/>
                    <w:tr2bl w:val="nil"/>
                  </w:tcBorders>
                  <w:vAlign w:val="center"/>
                </w:tcPr>
                <w:p w14:paraId="0A3BA1B4">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442" w:type="pct"/>
                  <w:tcBorders>
                    <w:tl2br w:val="nil"/>
                    <w:tr2bl w:val="nil"/>
                  </w:tcBorders>
                  <w:vAlign w:val="center"/>
                </w:tcPr>
                <w:p w14:paraId="29E8A9E3">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3.41</w:t>
                  </w:r>
                </w:p>
              </w:tc>
              <w:tc>
                <w:tcPr>
                  <w:tcW w:w="495" w:type="pct"/>
                  <w:tcBorders>
                    <w:tl2br w:val="nil"/>
                    <w:tr2bl w:val="nil"/>
                  </w:tcBorders>
                  <w:vAlign w:val="center"/>
                </w:tcPr>
                <w:p w14:paraId="0E34F51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3.278</w:t>
                  </w:r>
                </w:p>
              </w:tc>
              <w:tc>
                <w:tcPr>
                  <w:tcW w:w="488" w:type="pct"/>
                  <w:tcBorders>
                    <w:tl2br w:val="nil"/>
                    <w:tr2bl w:val="nil"/>
                  </w:tcBorders>
                  <w:vAlign w:val="center"/>
                </w:tcPr>
                <w:p w14:paraId="2C0D05D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0.132</w:t>
                  </w:r>
                </w:p>
              </w:tc>
              <w:tc>
                <w:tcPr>
                  <w:tcW w:w="578" w:type="pct"/>
                  <w:tcBorders>
                    <w:tl2br w:val="nil"/>
                    <w:tr2bl w:val="nil"/>
                  </w:tcBorders>
                  <w:vAlign w:val="center"/>
                </w:tcPr>
                <w:p w14:paraId="2611378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855" w:type="pct"/>
                  <w:tcBorders>
                    <w:tl2br w:val="nil"/>
                    <w:tr2bl w:val="nil"/>
                  </w:tcBorders>
                  <w:shd w:val="clear" w:color="auto" w:fill="auto"/>
                  <w:vAlign w:val="center"/>
                </w:tcPr>
                <w:p w14:paraId="12023D4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0.132</w:t>
                  </w:r>
                </w:p>
              </w:tc>
              <w:tc>
                <w:tcPr>
                  <w:tcW w:w="553" w:type="pct"/>
                  <w:tcBorders>
                    <w:tl2br w:val="nil"/>
                    <w:tr2bl w:val="nil"/>
                  </w:tcBorders>
                  <w:shd w:val="clear" w:color="auto" w:fill="auto"/>
                  <w:vAlign w:val="center"/>
                </w:tcPr>
                <w:p w14:paraId="2AB80EE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+0.132</w:t>
                  </w:r>
                </w:p>
              </w:tc>
            </w:tr>
            <w:tr w14:paraId="15AD1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79" w:type="pct"/>
                  <w:tcBorders>
                    <w:tl2br w:val="nil"/>
                    <w:tr2bl w:val="nil"/>
                  </w:tcBorders>
                  <w:shd w:val="clear" w:color="auto" w:fill="auto"/>
                  <w:vAlign w:val="center"/>
                </w:tcPr>
                <w:p w14:paraId="102674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1#</w:t>
                  </w:r>
                  <w:r>
                    <w:rPr>
                      <w:rFonts w:hint="eastAsia" w:ascii="Times New Roman" w:hAnsi="Times New Roman" w:eastAsia="宋体" w:cs="Times New Roman"/>
                      <w:b w:val="0"/>
                      <w:bCs w:val="0"/>
                      <w:color w:val="auto"/>
                      <w:kern w:val="2"/>
                      <w:sz w:val="21"/>
                      <w:szCs w:val="21"/>
                      <w:highlight w:val="none"/>
                      <w:vertAlign w:val="baseline"/>
                      <w:lang w:val="en-US" w:eastAsia="zh-CN" w:bidi="ar-SA"/>
                    </w:rPr>
                    <w:t>氢碎</w:t>
                  </w:r>
                  <w:r>
                    <w:rPr>
                      <w:rFonts w:hint="eastAsia" w:cs="Times New Roman"/>
                      <w:b w:val="0"/>
                      <w:bCs w:val="0"/>
                      <w:color w:val="auto"/>
                      <w:kern w:val="2"/>
                      <w:sz w:val="21"/>
                      <w:szCs w:val="21"/>
                      <w:highlight w:val="none"/>
                      <w:vertAlign w:val="baseline"/>
                      <w:lang w:val="en-US" w:eastAsia="zh-CN" w:bidi="ar-SA"/>
                    </w:rPr>
                    <w:t>炉</w:t>
                  </w:r>
                </w:p>
              </w:tc>
              <w:tc>
                <w:tcPr>
                  <w:tcW w:w="442" w:type="pct"/>
                  <w:tcBorders>
                    <w:tl2br w:val="nil"/>
                    <w:tr2bl w:val="nil"/>
                  </w:tcBorders>
                  <w:shd w:val="clear" w:color="auto" w:fill="auto"/>
                  <w:vAlign w:val="center"/>
                </w:tcPr>
                <w:p w14:paraId="199A72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565" w:type="pct"/>
                  <w:tcBorders>
                    <w:tl2br w:val="nil"/>
                    <w:tr2bl w:val="nil"/>
                  </w:tcBorders>
                  <w:vAlign w:val="center"/>
                </w:tcPr>
                <w:p w14:paraId="73DC6FC8">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442" w:type="pct"/>
                  <w:tcBorders>
                    <w:tl2br w:val="nil"/>
                    <w:tr2bl w:val="nil"/>
                  </w:tcBorders>
                  <w:vAlign w:val="center"/>
                </w:tcPr>
                <w:p w14:paraId="427E1974">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color w:val="auto"/>
                      <w:kern w:val="2"/>
                      <w:sz w:val="21"/>
                      <w:szCs w:val="21"/>
                      <w:highlight w:val="none"/>
                      <w:lang w:val="en-US" w:eastAsia="zh-CN" w:bidi="ar-SA"/>
                    </w:rPr>
                    <w:t>0.018</w:t>
                  </w:r>
                </w:p>
              </w:tc>
              <w:tc>
                <w:tcPr>
                  <w:tcW w:w="495" w:type="pct"/>
                  <w:tcBorders>
                    <w:tl2br w:val="nil"/>
                    <w:tr2bl w:val="nil"/>
                  </w:tcBorders>
                  <w:vAlign w:val="center"/>
                </w:tcPr>
                <w:p w14:paraId="7FCB383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w:t>
                  </w:r>
                  <w:r>
                    <w:rPr>
                      <w:rFonts w:hint="eastAsia" w:cs="Times New Roman"/>
                      <w:color w:val="auto"/>
                      <w:kern w:val="2"/>
                      <w:sz w:val="21"/>
                      <w:szCs w:val="21"/>
                      <w:highlight w:val="none"/>
                      <w:lang w:val="en-US" w:eastAsia="zh-CN" w:bidi="ar-SA"/>
                    </w:rPr>
                    <w:t>76</w:t>
                  </w:r>
                </w:p>
              </w:tc>
              <w:tc>
                <w:tcPr>
                  <w:tcW w:w="488" w:type="pct"/>
                  <w:tcBorders>
                    <w:tl2br w:val="nil"/>
                    <w:tr2bl w:val="nil"/>
                  </w:tcBorders>
                  <w:vAlign w:val="center"/>
                </w:tcPr>
                <w:p w14:paraId="5FFED8F5">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0.0004</w:t>
                  </w:r>
                </w:p>
              </w:tc>
              <w:tc>
                <w:tcPr>
                  <w:tcW w:w="578" w:type="pct"/>
                  <w:tcBorders>
                    <w:tl2br w:val="nil"/>
                    <w:tr2bl w:val="nil"/>
                  </w:tcBorders>
                  <w:vAlign w:val="center"/>
                </w:tcPr>
                <w:p w14:paraId="532555A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1359" w:type="dxa"/>
                  <w:tcBorders>
                    <w:tl2br w:val="nil"/>
                    <w:tr2bl w:val="nil"/>
                  </w:tcBorders>
                  <w:shd w:val="clear" w:color="auto" w:fill="auto"/>
                  <w:vAlign w:val="center"/>
                </w:tcPr>
                <w:p w14:paraId="1A4A56E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0.0004</w:t>
                  </w:r>
                </w:p>
              </w:tc>
              <w:tc>
                <w:tcPr>
                  <w:tcW w:w="879" w:type="dxa"/>
                  <w:tcBorders>
                    <w:tl2br w:val="nil"/>
                    <w:tr2bl w:val="nil"/>
                  </w:tcBorders>
                  <w:shd w:val="clear" w:color="auto" w:fill="auto"/>
                  <w:vAlign w:val="center"/>
                </w:tcPr>
                <w:p w14:paraId="78D28AB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+0.0004</w:t>
                  </w:r>
                </w:p>
              </w:tc>
            </w:tr>
            <w:tr w14:paraId="17D0E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79" w:type="pct"/>
                  <w:tcBorders>
                    <w:tl2br w:val="nil"/>
                    <w:tr2bl w:val="nil"/>
                  </w:tcBorders>
                  <w:shd w:val="clear" w:color="auto" w:fill="auto"/>
                  <w:vAlign w:val="center"/>
                </w:tcPr>
                <w:p w14:paraId="231B89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w:t>
                  </w:r>
                  <w:r>
                    <w:rPr>
                      <w:rFonts w:hint="eastAsia" w:ascii="Times New Roman" w:hAnsi="Times New Roman" w:eastAsia="宋体" w:cs="Times New Roman"/>
                      <w:b w:val="0"/>
                      <w:bCs w:val="0"/>
                      <w:color w:val="auto"/>
                      <w:kern w:val="2"/>
                      <w:sz w:val="21"/>
                      <w:szCs w:val="21"/>
                      <w:highlight w:val="none"/>
                      <w:vertAlign w:val="baseline"/>
                      <w:lang w:val="en-US" w:eastAsia="zh-CN" w:bidi="ar-SA"/>
                    </w:rPr>
                    <w:t>氢碎</w:t>
                  </w:r>
                  <w:r>
                    <w:rPr>
                      <w:rFonts w:hint="eastAsia" w:cs="Times New Roman"/>
                      <w:b w:val="0"/>
                      <w:bCs w:val="0"/>
                      <w:color w:val="auto"/>
                      <w:kern w:val="2"/>
                      <w:sz w:val="21"/>
                      <w:szCs w:val="21"/>
                      <w:highlight w:val="none"/>
                      <w:vertAlign w:val="baseline"/>
                      <w:lang w:val="en-US" w:eastAsia="zh-CN" w:bidi="ar-SA"/>
                    </w:rPr>
                    <w:t>炉</w:t>
                  </w:r>
                </w:p>
              </w:tc>
              <w:tc>
                <w:tcPr>
                  <w:tcW w:w="442" w:type="pct"/>
                  <w:tcBorders>
                    <w:tl2br w:val="nil"/>
                    <w:tr2bl w:val="nil"/>
                  </w:tcBorders>
                  <w:shd w:val="clear" w:color="auto" w:fill="auto"/>
                  <w:vAlign w:val="center"/>
                </w:tcPr>
                <w:p w14:paraId="737318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565" w:type="pct"/>
                  <w:tcBorders>
                    <w:tl2br w:val="nil"/>
                    <w:tr2bl w:val="nil"/>
                  </w:tcBorders>
                  <w:vAlign w:val="center"/>
                </w:tcPr>
                <w:p w14:paraId="4648F556">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442" w:type="pct"/>
                  <w:tcBorders>
                    <w:tl2br w:val="nil"/>
                    <w:tr2bl w:val="nil"/>
                  </w:tcBorders>
                  <w:vAlign w:val="center"/>
                </w:tcPr>
                <w:p w14:paraId="66E25B8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color w:val="auto"/>
                      <w:kern w:val="2"/>
                      <w:sz w:val="21"/>
                      <w:szCs w:val="21"/>
                      <w:highlight w:val="none"/>
                      <w:lang w:val="en-US" w:eastAsia="zh-CN" w:bidi="ar-SA"/>
                    </w:rPr>
                    <w:t>0.018</w:t>
                  </w:r>
                </w:p>
              </w:tc>
              <w:tc>
                <w:tcPr>
                  <w:tcW w:w="495" w:type="pct"/>
                  <w:tcBorders>
                    <w:tl2br w:val="nil"/>
                    <w:tr2bl w:val="nil"/>
                  </w:tcBorders>
                  <w:vAlign w:val="center"/>
                </w:tcPr>
                <w:p w14:paraId="5B730EA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w:t>
                  </w:r>
                  <w:r>
                    <w:rPr>
                      <w:rFonts w:hint="eastAsia" w:cs="Times New Roman"/>
                      <w:color w:val="auto"/>
                      <w:kern w:val="2"/>
                      <w:sz w:val="21"/>
                      <w:szCs w:val="21"/>
                      <w:highlight w:val="none"/>
                      <w:lang w:val="en-US" w:eastAsia="zh-CN" w:bidi="ar-SA"/>
                    </w:rPr>
                    <w:t>76</w:t>
                  </w:r>
                </w:p>
              </w:tc>
              <w:tc>
                <w:tcPr>
                  <w:tcW w:w="488" w:type="pct"/>
                  <w:tcBorders>
                    <w:tl2br w:val="nil"/>
                    <w:tr2bl w:val="nil"/>
                  </w:tcBorders>
                  <w:vAlign w:val="center"/>
                </w:tcPr>
                <w:p w14:paraId="217433B5">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0.0004</w:t>
                  </w:r>
                </w:p>
              </w:tc>
              <w:tc>
                <w:tcPr>
                  <w:tcW w:w="578" w:type="pct"/>
                  <w:tcBorders>
                    <w:tl2br w:val="nil"/>
                    <w:tr2bl w:val="nil"/>
                  </w:tcBorders>
                  <w:vAlign w:val="center"/>
                </w:tcPr>
                <w:p w14:paraId="6F88FFBC">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1359" w:type="dxa"/>
                  <w:tcBorders>
                    <w:tl2br w:val="nil"/>
                    <w:tr2bl w:val="nil"/>
                  </w:tcBorders>
                  <w:shd w:val="clear" w:color="auto" w:fill="auto"/>
                  <w:vAlign w:val="center"/>
                </w:tcPr>
                <w:p w14:paraId="2A7A3FF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0.0004</w:t>
                  </w:r>
                </w:p>
              </w:tc>
              <w:tc>
                <w:tcPr>
                  <w:tcW w:w="879" w:type="dxa"/>
                  <w:tcBorders>
                    <w:tl2br w:val="nil"/>
                    <w:tr2bl w:val="nil"/>
                  </w:tcBorders>
                  <w:shd w:val="clear" w:color="auto" w:fill="auto"/>
                  <w:vAlign w:val="center"/>
                </w:tcPr>
                <w:p w14:paraId="1075F9A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+0.0004</w:t>
                  </w:r>
                </w:p>
              </w:tc>
            </w:tr>
            <w:tr w14:paraId="676F06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79" w:type="pct"/>
                  <w:tcBorders>
                    <w:tl2br w:val="nil"/>
                    <w:tr2bl w:val="nil"/>
                  </w:tcBorders>
                  <w:shd w:val="clear" w:color="auto" w:fill="auto"/>
                  <w:vAlign w:val="center"/>
                </w:tcPr>
                <w:p w14:paraId="12A0A1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成型工序</w:t>
                  </w:r>
                </w:p>
              </w:tc>
              <w:tc>
                <w:tcPr>
                  <w:tcW w:w="442" w:type="pct"/>
                  <w:tcBorders>
                    <w:tl2br w:val="nil"/>
                    <w:tr2bl w:val="nil"/>
                  </w:tcBorders>
                  <w:shd w:val="clear" w:color="auto" w:fill="auto"/>
                  <w:vAlign w:val="center"/>
                </w:tcPr>
                <w:p w14:paraId="469A89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565" w:type="pct"/>
                  <w:tcBorders>
                    <w:tl2br w:val="nil"/>
                    <w:tr2bl w:val="nil"/>
                  </w:tcBorders>
                  <w:vAlign w:val="center"/>
                </w:tcPr>
                <w:p w14:paraId="7D3E00FF">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442" w:type="pct"/>
                  <w:tcBorders>
                    <w:tl2br w:val="nil"/>
                    <w:tr2bl w:val="nil"/>
                  </w:tcBorders>
                  <w:shd w:val="clear" w:color="auto" w:fill="auto"/>
                  <w:vAlign w:val="center"/>
                </w:tcPr>
                <w:p w14:paraId="3BDD0C9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0.47</w:t>
                  </w:r>
                </w:p>
              </w:tc>
              <w:tc>
                <w:tcPr>
                  <w:tcW w:w="495" w:type="pct"/>
                  <w:tcBorders>
                    <w:tl2br w:val="nil"/>
                    <w:tr2bl w:val="nil"/>
                  </w:tcBorders>
                  <w:shd w:val="clear" w:color="auto" w:fill="auto"/>
                  <w:vAlign w:val="center"/>
                </w:tcPr>
                <w:p w14:paraId="5D85EC7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0.42</w:t>
                  </w:r>
                  <w:r>
                    <w:rPr>
                      <w:rFonts w:hint="eastAsia" w:cs="Times New Roman"/>
                      <w:color w:val="auto"/>
                      <w:kern w:val="2"/>
                      <w:sz w:val="21"/>
                      <w:szCs w:val="21"/>
                      <w:highlight w:val="none"/>
                      <w:lang w:val="en-US" w:eastAsia="zh-CN" w:bidi="ar-SA"/>
                    </w:rPr>
                    <w:t>7</w:t>
                  </w:r>
                </w:p>
              </w:tc>
              <w:tc>
                <w:tcPr>
                  <w:tcW w:w="488" w:type="pct"/>
                  <w:tcBorders>
                    <w:tl2br w:val="nil"/>
                    <w:tr2bl w:val="nil"/>
                  </w:tcBorders>
                  <w:shd w:val="clear" w:color="auto" w:fill="auto"/>
                  <w:vAlign w:val="center"/>
                </w:tcPr>
                <w:p w14:paraId="06DA851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0.043</w:t>
                  </w:r>
                </w:p>
              </w:tc>
              <w:tc>
                <w:tcPr>
                  <w:tcW w:w="578" w:type="pct"/>
                  <w:tcBorders>
                    <w:tl2br w:val="nil"/>
                    <w:tr2bl w:val="nil"/>
                  </w:tcBorders>
                  <w:shd w:val="clear" w:color="auto" w:fill="auto"/>
                  <w:vAlign w:val="center"/>
                </w:tcPr>
                <w:p w14:paraId="2924AD7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eastAsia="宋体" w:cs="Times New Roman"/>
                      <w:kern w:val="2"/>
                      <w:sz w:val="21"/>
                      <w:szCs w:val="21"/>
                      <w:highlight w:val="none"/>
                      <w:vertAlign w:val="baseline"/>
                      <w:lang w:val="en-US" w:eastAsia="zh-CN" w:bidi="ar-SA"/>
                    </w:rPr>
                    <w:t>/</w:t>
                  </w:r>
                </w:p>
              </w:tc>
              <w:tc>
                <w:tcPr>
                  <w:tcW w:w="1359" w:type="dxa"/>
                  <w:tcBorders>
                    <w:tl2br w:val="nil"/>
                    <w:tr2bl w:val="nil"/>
                  </w:tcBorders>
                  <w:shd w:val="clear" w:color="auto" w:fill="auto"/>
                  <w:vAlign w:val="center"/>
                </w:tcPr>
                <w:p w14:paraId="19F9902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0.043</w:t>
                  </w:r>
                </w:p>
              </w:tc>
              <w:tc>
                <w:tcPr>
                  <w:tcW w:w="879" w:type="dxa"/>
                  <w:tcBorders>
                    <w:tl2br w:val="nil"/>
                    <w:tr2bl w:val="nil"/>
                  </w:tcBorders>
                  <w:shd w:val="clear" w:color="auto" w:fill="auto"/>
                  <w:vAlign w:val="center"/>
                </w:tcPr>
                <w:p w14:paraId="7E282D4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+0.043</w:t>
                  </w:r>
                </w:p>
              </w:tc>
            </w:tr>
            <w:tr w14:paraId="53DF61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79" w:type="pct"/>
                  <w:tcBorders>
                    <w:tl2br w:val="nil"/>
                    <w:tr2bl w:val="nil"/>
                  </w:tcBorders>
                  <w:shd w:val="clear" w:color="auto" w:fill="auto"/>
                  <w:vAlign w:val="center"/>
                </w:tcPr>
                <w:p w14:paraId="6AE8E0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烧结抽真空工序</w:t>
                  </w:r>
                </w:p>
              </w:tc>
              <w:tc>
                <w:tcPr>
                  <w:tcW w:w="442" w:type="pct"/>
                  <w:tcBorders>
                    <w:tl2br w:val="nil"/>
                    <w:tr2bl w:val="nil"/>
                  </w:tcBorders>
                  <w:shd w:val="clear" w:color="auto" w:fill="auto"/>
                  <w:vAlign w:val="center"/>
                </w:tcPr>
                <w:p w14:paraId="712A99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565" w:type="pct"/>
                  <w:tcBorders>
                    <w:tl2br w:val="nil"/>
                    <w:tr2bl w:val="nil"/>
                  </w:tcBorders>
                  <w:vAlign w:val="center"/>
                </w:tcPr>
                <w:p w14:paraId="7D700F31">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442" w:type="pct"/>
                  <w:tcBorders>
                    <w:tl2br w:val="nil"/>
                    <w:tr2bl w:val="nil"/>
                  </w:tcBorders>
                  <w:vAlign w:val="center"/>
                </w:tcPr>
                <w:p w14:paraId="550CFB4B">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ascii="Times New Roman" w:hAnsi="Times New Roman" w:eastAsia="宋体" w:cs="Times New Roman"/>
                      <w:color w:val="auto"/>
                      <w:kern w:val="2"/>
                      <w:sz w:val="21"/>
                      <w:szCs w:val="21"/>
                      <w:highlight w:val="none"/>
                      <w:lang w:val="zh-CN" w:eastAsia="zh-CN" w:bidi="ar-SA"/>
                    </w:rPr>
                    <w:t>0.0</w:t>
                  </w:r>
                  <w:r>
                    <w:rPr>
                      <w:rFonts w:hint="eastAsia" w:ascii="Times New Roman" w:hAnsi="Times New Roman" w:eastAsia="宋体" w:cs="Times New Roman"/>
                      <w:color w:val="auto"/>
                      <w:kern w:val="2"/>
                      <w:sz w:val="21"/>
                      <w:szCs w:val="21"/>
                      <w:highlight w:val="none"/>
                      <w:lang w:val="en-US" w:eastAsia="zh-CN" w:bidi="ar-SA"/>
                    </w:rPr>
                    <w:t>1</w:t>
                  </w:r>
                  <w:r>
                    <w:rPr>
                      <w:rFonts w:hint="eastAsia" w:cs="Times New Roman"/>
                      <w:color w:val="auto"/>
                      <w:kern w:val="2"/>
                      <w:sz w:val="21"/>
                      <w:szCs w:val="21"/>
                      <w:highlight w:val="none"/>
                      <w:lang w:val="en-US" w:eastAsia="zh-CN" w:bidi="ar-SA"/>
                    </w:rPr>
                    <w:t>9</w:t>
                  </w:r>
                </w:p>
              </w:tc>
              <w:tc>
                <w:tcPr>
                  <w:tcW w:w="495" w:type="pct"/>
                  <w:tcBorders>
                    <w:tl2br w:val="nil"/>
                    <w:tr2bl w:val="nil"/>
                  </w:tcBorders>
                  <w:vAlign w:val="center"/>
                </w:tcPr>
                <w:p w14:paraId="0C9214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w:t>
                  </w:r>
                  <w:r>
                    <w:rPr>
                      <w:rFonts w:hint="eastAsia" w:cs="Times New Roman"/>
                      <w:color w:val="auto"/>
                      <w:kern w:val="2"/>
                      <w:sz w:val="21"/>
                      <w:szCs w:val="21"/>
                      <w:highlight w:val="none"/>
                      <w:lang w:val="en-US" w:eastAsia="zh-CN" w:bidi="ar-SA"/>
                    </w:rPr>
                    <w:t>2</w:t>
                  </w:r>
                </w:p>
              </w:tc>
              <w:tc>
                <w:tcPr>
                  <w:tcW w:w="488" w:type="pct"/>
                  <w:tcBorders>
                    <w:tl2br w:val="nil"/>
                    <w:tr2bl w:val="nil"/>
                  </w:tcBorders>
                  <w:vAlign w:val="center"/>
                </w:tcPr>
                <w:p w14:paraId="7E465E7D">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0.007</w:t>
                  </w:r>
                </w:p>
              </w:tc>
              <w:tc>
                <w:tcPr>
                  <w:tcW w:w="578" w:type="pct"/>
                  <w:tcBorders>
                    <w:tl2br w:val="nil"/>
                    <w:tr2bl w:val="nil"/>
                  </w:tcBorders>
                  <w:vAlign w:val="center"/>
                </w:tcPr>
                <w:p w14:paraId="19299118">
                  <w:pPr>
                    <w:keepNext w:val="0"/>
                    <w:keepLines w:val="0"/>
                    <w:pageBreakBefore w:val="0"/>
                    <w:widowControl w:val="0"/>
                    <w:kinsoku/>
                    <w:wordWrap/>
                    <w:overflowPunct/>
                    <w:topLinePunct w:val="0"/>
                    <w:autoSpaceDE/>
                    <w:autoSpaceDN/>
                    <w:bidi w:val="0"/>
                    <w:adjustRightInd/>
                    <w:snapToGrid/>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1359" w:type="dxa"/>
                  <w:tcBorders>
                    <w:tl2br w:val="nil"/>
                    <w:tr2bl w:val="nil"/>
                  </w:tcBorders>
                  <w:shd w:val="clear" w:color="auto" w:fill="auto"/>
                  <w:vAlign w:val="center"/>
                </w:tcPr>
                <w:p w14:paraId="4A54CC5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0.007</w:t>
                  </w:r>
                </w:p>
              </w:tc>
              <w:tc>
                <w:tcPr>
                  <w:tcW w:w="879" w:type="dxa"/>
                  <w:tcBorders>
                    <w:tl2br w:val="nil"/>
                    <w:tr2bl w:val="nil"/>
                  </w:tcBorders>
                  <w:shd w:val="clear" w:color="auto" w:fill="auto"/>
                  <w:vAlign w:val="center"/>
                </w:tcPr>
                <w:p w14:paraId="0AE40E4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+0.007</w:t>
                  </w:r>
                </w:p>
              </w:tc>
            </w:tr>
          </w:tbl>
          <w:p w14:paraId="25AD588F">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1.3 废气监测要求</w:t>
            </w:r>
          </w:p>
          <w:p w14:paraId="44B294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根据项目所在区域的环境状况和工程特点，根据《排污单位自行监测技术指南 总则》（</w:t>
            </w:r>
            <w:r>
              <w:rPr>
                <w:rFonts w:hint="default" w:ascii="Times New Roman" w:hAnsi="Times New Roman" w:eastAsia="宋体" w:cs="Times New Roman"/>
                <w:color w:val="auto"/>
                <w:kern w:val="2"/>
                <w:sz w:val="24"/>
                <w:szCs w:val="24"/>
                <w:highlight w:val="none"/>
                <w:lang w:val="en-US" w:eastAsia="zh-CN" w:bidi="ar-SA"/>
              </w:rPr>
              <w:t>HJ 819-2017</w:t>
            </w:r>
            <w:r>
              <w:rPr>
                <w:rFonts w:hint="eastAsia" w:ascii="Times New Roman" w:hAnsi="Times New Roman" w:eastAsia="宋体" w:cs="Times New Roman"/>
                <w:color w:val="auto"/>
                <w:kern w:val="2"/>
                <w:sz w:val="24"/>
                <w:szCs w:val="24"/>
                <w:highlight w:val="none"/>
                <w:lang w:val="en-US" w:eastAsia="zh-CN" w:bidi="ar-SA"/>
              </w:rPr>
              <w:t>）、《排污单位自行监测技术指南 电子工业》（HJ1253-2022），本项目运营期废气环境监测计划见下表。</w:t>
            </w:r>
          </w:p>
          <w:p w14:paraId="5F302D3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w:t>
            </w:r>
            <w:r>
              <w:rPr>
                <w:rFonts w:hint="eastAsia" w:cs="Times New Roman"/>
                <w:b/>
                <w:bCs/>
                <w:color w:val="000000"/>
                <w:kern w:val="2"/>
                <w:sz w:val="21"/>
                <w:szCs w:val="21"/>
                <w:highlight w:val="none"/>
                <w:lang w:val="en-US" w:eastAsia="zh-CN" w:bidi="ar-SA"/>
              </w:rPr>
              <w:t>7</w:t>
            </w:r>
            <w:r>
              <w:rPr>
                <w:rFonts w:hint="eastAsia" w:ascii="Times New Roman" w:hAnsi="Times New Roman" w:eastAsia="宋体" w:cs="Times New Roman"/>
                <w:b/>
                <w:bCs/>
                <w:color w:val="000000"/>
                <w:kern w:val="2"/>
                <w:sz w:val="21"/>
                <w:szCs w:val="21"/>
                <w:highlight w:val="none"/>
                <w:lang w:val="en-US" w:eastAsia="zh-CN" w:bidi="ar-SA"/>
              </w:rPr>
              <w:t xml:space="preserve">  项目运营期环境监测计划（废气）</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64"/>
              <w:gridCol w:w="1166"/>
              <w:gridCol w:w="1131"/>
              <w:gridCol w:w="876"/>
              <w:gridCol w:w="4009"/>
            </w:tblGrid>
            <w:tr w14:paraId="7D8A29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tcBorders>
                    <w:tl2br w:val="nil"/>
                    <w:tr2bl w:val="nil"/>
                  </w:tcBorders>
                  <w:noWrap w:val="0"/>
                  <w:vAlign w:val="center"/>
                </w:tcPr>
                <w:p w14:paraId="79E276F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类型</w:t>
                  </w:r>
                </w:p>
              </w:tc>
              <w:tc>
                <w:tcPr>
                  <w:tcW w:w="1166" w:type="dxa"/>
                  <w:tcBorders>
                    <w:tl2br w:val="nil"/>
                    <w:tr2bl w:val="nil"/>
                  </w:tcBorders>
                  <w:noWrap w:val="0"/>
                  <w:vAlign w:val="center"/>
                </w:tcPr>
                <w:p w14:paraId="3841689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排放口编号</w:t>
                  </w:r>
                </w:p>
              </w:tc>
              <w:tc>
                <w:tcPr>
                  <w:tcW w:w="1131" w:type="dxa"/>
                  <w:tcBorders>
                    <w:tl2br w:val="nil"/>
                    <w:tr2bl w:val="nil"/>
                  </w:tcBorders>
                  <w:noWrap w:val="0"/>
                  <w:vAlign w:val="center"/>
                </w:tcPr>
                <w:p w14:paraId="0571ED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监测指标</w:t>
                  </w:r>
                </w:p>
              </w:tc>
              <w:tc>
                <w:tcPr>
                  <w:tcW w:w="876" w:type="dxa"/>
                  <w:tcBorders>
                    <w:tl2br w:val="nil"/>
                    <w:tr2bl w:val="nil"/>
                  </w:tcBorders>
                  <w:noWrap w:val="0"/>
                  <w:vAlign w:val="center"/>
                </w:tcPr>
                <w:p w14:paraId="1BCF576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监测频次</w:t>
                  </w:r>
                </w:p>
              </w:tc>
              <w:tc>
                <w:tcPr>
                  <w:tcW w:w="4009" w:type="dxa"/>
                  <w:tcBorders>
                    <w:tl2br w:val="nil"/>
                    <w:tr2bl w:val="nil"/>
                  </w:tcBorders>
                  <w:noWrap w:val="0"/>
                  <w:vAlign w:val="center"/>
                </w:tcPr>
                <w:p w14:paraId="74E17B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排放标准</w:t>
                  </w:r>
                </w:p>
              </w:tc>
            </w:tr>
            <w:tr w14:paraId="427A2F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vMerge w:val="restart"/>
                  <w:tcBorders>
                    <w:tl2br w:val="nil"/>
                    <w:tr2bl w:val="nil"/>
                  </w:tcBorders>
                  <w:noWrap w:val="0"/>
                  <w:vAlign w:val="center"/>
                </w:tcPr>
                <w:p w14:paraId="59C1A22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有组织废气</w:t>
                  </w:r>
                </w:p>
              </w:tc>
              <w:tc>
                <w:tcPr>
                  <w:tcW w:w="1166" w:type="dxa"/>
                  <w:tcBorders>
                    <w:tl2br w:val="nil"/>
                    <w:tr2bl w:val="nil"/>
                  </w:tcBorders>
                  <w:noWrap w:val="0"/>
                  <w:vAlign w:val="center"/>
                </w:tcPr>
                <w:p w14:paraId="7131228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DA001</w:t>
                  </w:r>
                </w:p>
              </w:tc>
              <w:tc>
                <w:tcPr>
                  <w:tcW w:w="1131" w:type="dxa"/>
                  <w:tcBorders>
                    <w:tl2br w:val="nil"/>
                    <w:tr2bl w:val="nil"/>
                  </w:tcBorders>
                  <w:noWrap w:val="0"/>
                  <w:vAlign w:val="center"/>
                </w:tcPr>
                <w:p w14:paraId="3732A0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颗粒物</w:t>
                  </w:r>
                </w:p>
              </w:tc>
              <w:tc>
                <w:tcPr>
                  <w:tcW w:w="876" w:type="dxa"/>
                  <w:tcBorders>
                    <w:tl2br w:val="nil"/>
                    <w:tr2bl w:val="nil"/>
                  </w:tcBorders>
                  <w:noWrap w:val="0"/>
                  <w:vAlign w:val="center"/>
                </w:tcPr>
                <w:p w14:paraId="4EF43D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1次/年</w:t>
                  </w:r>
                </w:p>
              </w:tc>
              <w:tc>
                <w:tcPr>
                  <w:tcW w:w="4009" w:type="dxa"/>
                  <w:vMerge w:val="restart"/>
                  <w:tcBorders>
                    <w:tl2br w:val="nil"/>
                    <w:tr2bl w:val="nil"/>
                  </w:tcBorders>
                  <w:noWrap w:val="0"/>
                  <w:vAlign w:val="center"/>
                </w:tcPr>
                <w:p w14:paraId="5EF8F39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《长治市工业企业无组织排放治理实施方案》</w:t>
                  </w:r>
                </w:p>
              </w:tc>
            </w:tr>
            <w:tr w14:paraId="40DDF9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vMerge w:val="continue"/>
                  <w:tcBorders>
                    <w:tl2br w:val="nil"/>
                    <w:tr2bl w:val="nil"/>
                  </w:tcBorders>
                  <w:noWrap w:val="0"/>
                  <w:vAlign w:val="center"/>
                </w:tcPr>
                <w:p w14:paraId="0710A52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166" w:type="dxa"/>
                  <w:tcBorders>
                    <w:tl2br w:val="nil"/>
                    <w:tr2bl w:val="nil"/>
                  </w:tcBorders>
                  <w:noWrap w:val="0"/>
                  <w:vAlign w:val="center"/>
                </w:tcPr>
                <w:p w14:paraId="79258E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DA002</w:t>
                  </w:r>
                </w:p>
              </w:tc>
              <w:tc>
                <w:tcPr>
                  <w:tcW w:w="1131" w:type="dxa"/>
                  <w:tcBorders>
                    <w:tl2br w:val="nil"/>
                    <w:tr2bl w:val="nil"/>
                  </w:tcBorders>
                  <w:noWrap w:val="0"/>
                  <w:vAlign w:val="center"/>
                </w:tcPr>
                <w:p w14:paraId="24C6DE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颗粒物</w:t>
                  </w:r>
                </w:p>
              </w:tc>
              <w:tc>
                <w:tcPr>
                  <w:tcW w:w="876" w:type="dxa"/>
                  <w:tcBorders>
                    <w:tl2br w:val="nil"/>
                    <w:tr2bl w:val="nil"/>
                  </w:tcBorders>
                  <w:noWrap w:val="0"/>
                  <w:vAlign w:val="center"/>
                </w:tcPr>
                <w:p w14:paraId="2FAD9B9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1次/年</w:t>
                  </w:r>
                </w:p>
              </w:tc>
              <w:tc>
                <w:tcPr>
                  <w:tcW w:w="4009" w:type="dxa"/>
                  <w:vMerge w:val="continue"/>
                  <w:tcBorders>
                    <w:tl2br w:val="nil"/>
                    <w:tr2bl w:val="nil"/>
                  </w:tcBorders>
                  <w:noWrap w:val="0"/>
                  <w:vAlign w:val="center"/>
                </w:tcPr>
                <w:p w14:paraId="227842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r>
            <w:tr w14:paraId="0B2505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vMerge w:val="continue"/>
                  <w:tcBorders>
                    <w:tl2br w:val="nil"/>
                    <w:tr2bl w:val="nil"/>
                  </w:tcBorders>
                  <w:noWrap w:val="0"/>
                  <w:vAlign w:val="center"/>
                </w:tcPr>
                <w:p w14:paraId="52236C2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166" w:type="dxa"/>
                  <w:tcBorders>
                    <w:tl2br w:val="nil"/>
                    <w:tr2bl w:val="nil"/>
                  </w:tcBorders>
                  <w:noWrap w:val="0"/>
                  <w:vAlign w:val="center"/>
                </w:tcPr>
                <w:p w14:paraId="1668BD9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DA003</w:t>
                  </w:r>
                </w:p>
              </w:tc>
              <w:tc>
                <w:tcPr>
                  <w:tcW w:w="1131" w:type="dxa"/>
                  <w:tcBorders>
                    <w:tl2br w:val="nil"/>
                    <w:tr2bl w:val="nil"/>
                  </w:tcBorders>
                  <w:noWrap w:val="0"/>
                  <w:vAlign w:val="center"/>
                </w:tcPr>
                <w:p w14:paraId="170F8F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颗粒物</w:t>
                  </w:r>
                </w:p>
              </w:tc>
              <w:tc>
                <w:tcPr>
                  <w:tcW w:w="876" w:type="dxa"/>
                  <w:tcBorders>
                    <w:tl2br w:val="nil"/>
                    <w:tr2bl w:val="nil"/>
                  </w:tcBorders>
                  <w:noWrap w:val="0"/>
                  <w:vAlign w:val="center"/>
                </w:tcPr>
                <w:p w14:paraId="56EFA77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1次/年</w:t>
                  </w:r>
                </w:p>
              </w:tc>
              <w:tc>
                <w:tcPr>
                  <w:tcW w:w="4009" w:type="dxa"/>
                  <w:vMerge w:val="continue"/>
                  <w:tcBorders>
                    <w:tl2br w:val="nil"/>
                    <w:tr2bl w:val="nil"/>
                  </w:tcBorders>
                  <w:noWrap w:val="0"/>
                  <w:vAlign w:val="center"/>
                </w:tcPr>
                <w:p w14:paraId="024DFF3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r>
            <w:tr w14:paraId="3ED6B1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vMerge w:val="continue"/>
                  <w:tcBorders>
                    <w:tl2br w:val="nil"/>
                    <w:tr2bl w:val="nil"/>
                  </w:tcBorders>
                  <w:noWrap w:val="0"/>
                  <w:vAlign w:val="center"/>
                </w:tcPr>
                <w:p w14:paraId="231A5A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1166" w:type="dxa"/>
                  <w:tcBorders>
                    <w:tl2br w:val="nil"/>
                    <w:tr2bl w:val="nil"/>
                  </w:tcBorders>
                  <w:noWrap w:val="0"/>
                  <w:vAlign w:val="center"/>
                </w:tcPr>
                <w:p w14:paraId="1869BD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DA004</w:t>
                  </w:r>
                </w:p>
              </w:tc>
              <w:tc>
                <w:tcPr>
                  <w:tcW w:w="1131" w:type="dxa"/>
                  <w:tcBorders>
                    <w:tl2br w:val="nil"/>
                    <w:tr2bl w:val="nil"/>
                  </w:tcBorders>
                  <w:noWrap w:val="0"/>
                  <w:vAlign w:val="center"/>
                </w:tcPr>
                <w:p w14:paraId="771B00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非甲烷总烃</w:t>
                  </w:r>
                </w:p>
              </w:tc>
              <w:tc>
                <w:tcPr>
                  <w:tcW w:w="876" w:type="dxa"/>
                  <w:tcBorders>
                    <w:tl2br w:val="nil"/>
                    <w:tr2bl w:val="nil"/>
                  </w:tcBorders>
                  <w:noWrap w:val="0"/>
                  <w:vAlign w:val="center"/>
                </w:tcPr>
                <w:p w14:paraId="1CCEEDE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1次/年</w:t>
                  </w:r>
                </w:p>
              </w:tc>
              <w:tc>
                <w:tcPr>
                  <w:tcW w:w="4009" w:type="dxa"/>
                  <w:vMerge w:val="restart"/>
                  <w:tcBorders>
                    <w:tl2br w:val="nil"/>
                    <w:tr2bl w:val="nil"/>
                  </w:tcBorders>
                  <w:noWrap w:val="0"/>
                  <w:vAlign w:val="center"/>
                </w:tcPr>
                <w:p w14:paraId="61A13FB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《山西省重点行业挥发性有机物（VOCs）2017年专项治理方案》</w:t>
                  </w:r>
                </w:p>
              </w:tc>
            </w:tr>
            <w:tr w14:paraId="68247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vMerge w:val="continue"/>
                  <w:tcBorders>
                    <w:tl2br w:val="nil"/>
                    <w:tr2bl w:val="nil"/>
                  </w:tcBorders>
                  <w:noWrap w:val="0"/>
                  <w:vAlign w:val="center"/>
                </w:tcPr>
                <w:p w14:paraId="3D2974F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1166" w:type="dxa"/>
                  <w:tcBorders>
                    <w:tl2br w:val="nil"/>
                    <w:tr2bl w:val="nil"/>
                  </w:tcBorders>
                  <w:noWrap w:val="0"/>
                  <w:vAlign w:val="center"/>
                </w:tcPr>
                <w:p w14:paraId="06C9C69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DA005</w:t>
                  </w:r>
                </w:p>
              </w:tc>
              <w:tc>
                <w:tcPr>
                  <w:tcW w:w="1131" w:type="dxa"/>
                  <w:tcBorders>
                    <w:tl2br w:val="nil"/>
                    <w:tr2bl w:val="nil"/>
                  </w:tcBorders>
                  <w:noWrap w:val="0"/>
                  <w:vAlign w:val="center"/>
                </w:tcPr>
                <w:p w14:paraId="2E20311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非甲烷总烃</w:t>
                  </w:r>
                </w:p>
              </w:tc>
              <w:tc>
                <w:tcPr>
                  <w:tcW w:w="876" w:type="dxa"/>
                  <w:tcBorders>
                    <w:tl2br w:val="nil"/>
                    <w:tr2bl w:val="nil"/>
                  </w:tcBorders>
                  <w:noWrap w:val="0"/>
                  <w:vAlign w:val="center"/>
                </w:tcPr>
                <w:p w14:paraId="400B89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1次/年</w:t>
                  </w:r>
                </w:p>
              </w:tc>
              <w:tc>
                <w:tcPr>
                  <w:tcW w:w="4009" w:type="dxa"/>
                  <w:vMerge w:val="continue"/>
                  <w:tcBorders>
                    <w:tl2br w:val="nil"/>
                    <w:tr2bl w:val="nil"/>
                  </w:tcBorders>
                  <w:noWrap w:val="0"/>
                  <w:vAlign w:val="center"/>
                </w:tcPr>
                <w:p w14:paraId="506A77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r>
            <w:tr w14:paraId="47215F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vMerge w:val="restart"/>
                  <w:tcBorders>
                    <w:tl2br w:val="nil"/>
                    <w:tr2bl w:val="nil"/>
                  </w:tcBorders>
                  <w:noWrap w:val="0"/>
                  <w:vAlign w:val="center"/>
                </w:tcPr>
                <w:p w14:paraId="66492AD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无组织废气</w:t>
                  </w:r>
                </w:p>
              </w:tc>
              <w:tc>
                <w:tcPr>
                  <w:tcW w:w="1166" w:type="dxa"/>
                  <w:vMerge w:val="restart"/>
                  <w:tcBorders>
                    <w:tl2br w:val="nil"/>
                    <w:tr2bl w:val="nil"/>
                  </w:tcBorders>
                  <w:noWrap w:val="0"/>
                  <w:vAlign w:val="center"/>
                </w:tcPr>
                <w:p w14:paraId="66C0A30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厂界</w:t>
                  </w:r>
                </w:p>
              </w:tc>
              <w:tc>
                <w:tcPr>
                  <w:tcW w:w="1131" w:type="dxa"/>
                  <w:tcBorders>
                    <w:tl2br w:val="nil"/>
                    <w:tr2bl w:val="nil"/>
                  </w:tcBorders>
                  <w:noWrap w:val="0"/>
                  <w:vAlign w:val="center"/>
                </w:tcPr>
                <w:p w14:paraId="177FB0D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颗粒物</w:t>
                  </w:r>
                </w:p>
              </w:tc>
              <w:tc>
                <w:tcPr>
                  <w:tcW w:w="876" w:type="dxa"/>
                  <w:tcBorders>
                    <w:tl2br w:val="nil"/>
                    <w:tr2bl w:val="nil"/>
                  </w:tcBorders>
                  <w:noWrap w:val="0"/>
                  <w:vAlign w:val="center"/>
                </w:tcPr>
                <w:p w14:paraId="48E719E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1次/年</w:t>
                  </w:r>
                </w:p>
              </w:tc>
              <w:tc>
                <w:tcPr>
                  <w:tcW w:w="4009" w:type="dxa"/>
                  <w:vMerge w:val="restart"/>
                  <w:tcBorders>
                    <w:tl2br w:val="nil"/>
                    <w:tr2bl w:val="nil"/>
                  </w:tcBorders>
                  <w:noWrap w:val="0"/>
                  <w:vAlign w:val="center"/>
                </w:tcPr>
                <w:p w14:paraId="60EABC1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《大气污染物综合排放标准》</w:t>
                  </w:r>
                </w:p>
              </w:tc>
            </w:tr>
            <w:tr w14:paraId="4744B8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vMerge w:val="continue"/>
                  <w:tcBorders>
                    <w:tl2br w:val="nil"/>
                    <w:tr2bl w:val="nil"/>
                  </w:tcBorders>
                  <w:noWrap w:val="0"/>
                  <w:vAlign w:val="center"/>
                </w:tcPr>
                <w:p w14:paraId="07A342F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166" w:type="dxa"/>
                  <w:vMerge w:val="continue"/>
                  <w:tcBorders>
                    <w:tl2br w:val="nil"/>
                    <w:tr2bl w:val="nil"/>
                  </w:tcBorders>
                  <w:noWrap w:val="0"/>
                  <w:vAlign w:val="center"/>
                </w:tcPr>
                <w:p w14:paraId="19D545F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131" w:type="dxa"/>
                  <w:tcBorders>
                    <w:tl2br w:val="nil"/>
                    <w:tr2bl w:val="nil"/>
                  </w:tcBorders>
                  <w:noWrap w:val="0"/>
                  <w:vAlign w:val="center"/>
                </w:tcPr>
                <w:p w14:paraId="5AB95C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非甲烷总烃</w:t>
                  </w:r>
                </w:p>
              </w:tc>
              <w:tc>
                <w:tcPr>
                  <w:tcW w:w="876" w:type="dxa"/>
                  <w:tcBorders>
                    <w:tl2br w:val="nil"/>
                    <w:tr2bl w:val="nil"/>
                  </w:tcBorders>
                  <w:noWrap w:val="0"/>
                  <w:vAlign w:val="center"/>
                </w:tcPr>
                <w:p w14:paraId="64D7ECC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1次/年</w:t>
                  </w:r>
                </w:p>
              </w:tc>
              <w:tc>
                <w:tcPr>
                  <w:tcW w:w="4009" w:type="dxa"/>
                  <w:vMerge w:val="continue"/>
                  <w:tcBorders>
                    <w:tl2br w:val="nil"/>
                    <w:tr2bl w:val="nil"/>
                  </w:tcBorders>
                  <w:noWrap w:val="0"/>
                  <w:vAlign w:val="center"/>
                </w:tcPr>
                <w:p w14:paraId="46B959A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73851B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764" w:type="dxa"/>
                  <w:vMerge w:val="continue"/>
                  <w:tcBorders>
                    <w:tl2br w:val="nil"/>
                    <w:tr2bl w:val="nil"/>
                  </w:tcBorders>
                  <w:noWrap w:val="0"/>
                  <w:vAlign w:val="center"/>
                </w:tcPr>
                <w:p w14:paraId="6A07C4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166" w:type="dxa"/>
                  <w:tcBorders>
                    <w:tl2br w:val="nil"/>
                    <w:tr2bl w:val="nil"/>
                  </w:tcBorders>
                  <w:noWrap w:val="0"/>
                  <w:vAlign w:val="center"/>
                </w:tcPr>
                <w:p w14:paraId="529F874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生产车间外</w:t>
                  </w:r>
                </w:p>
              </w:tc>
              <w:tc>
                <w:tcPr>
                  <w:tcW w:w="1131" w:type="dxa"/>
                  <w:tcBorders>
                    <w:tl2br w:val="nil"/>
                    <w:tr2bl w:val="nil"/>
                  </w:tcBorders>
                  <w:noWrap w:val="0"/>
                  <w:vAlign w:val="center"/>
                </w:tcPr>
                <w:p w14:paraId="680EB21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非甲烷总烃</w:t>
                  </w:r>
                </w:p>
              </w:tc>
              <w:tc>
                <w:tcPr>
                  <w:tcW w:w="876" w:type="dxa"/>
                  <w:tcBorders>
                    <w:tl2br w:val="nil"/>
                    <w:tr2bl w:val="nil"/>
                  </w:tcBorders>
                  <w:noWrap w:val="0"/>
                  <w:vAlign w:val="center"/>
                </w:tcPr>
                <w:p w14:paraId="051D233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1次/年</w:t>
                  </w:r>
                </w:p>
              </w:tc>
              <w:tc>
                <w:tcPr>
                  <w:tcW w:w="4009" w:type="dxa"/>
                  <w:tcBorders>
                    <w:tl2br w:val="nil"/>
                    <w:tr2bl w:val="nil"/>
                  </w:tcBorders>
                  <w:noWrap w:val="0"/>
                  <w:vAlign w:val="center"/>
                </w:tcPr>
                <w:p w14:paraId="2DF618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《挥发性有机物无组织排放控制标准》</w:t>
                  </w:r>
                </w:p>
              </w:tc>
            </w:tr>
          </w:tbl>
          <w:p w14:paraId="21246206">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二、废水</w:t>
            </w:r>
          </w:p>
          <w:p w14:paraId="23A89964">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2.1 废水产污环节名称、污染控制项目、排放形式及污染防治设施</w:t>
            </w:r>
          </w:p>
          <w:p w14:paraId="5626B34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项目运营期废水产排污节点、污染物及污染治理设施信息如下表。</w:t>
            </w:r>
          </w:p>
          <w:p w14:paraId="79A6E989">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b/>
                <w:bCs/>
                <w:color w:val="000000"/>
                <w:kern w:val="2"/>
                <w:sz w:val="21"/>
                <w:szCs w:val="24"/>
                <w:highlight w:val="none"/>
                <w:lang w:val="en-US" w:eastAsia="zh-CN" w:bidi="ar-SA"/>
              </w:rPr>
              <w:t>表</w:t>
            </w:r>
            <w:r>
              <w:rPr>
                <w:rFonts w:hint="default" w:ascii="Times New Roman" w:hAnsi="Times New Roman" w:eastAsia="宋体" w:cs="Times New Roman"/>
                <w:b/>
                <w:bCs/>
                <w:color w:val="000000"/>
                <w:kern w:val="2"/>
                <w:sz w:val="21"/>
                <w:szCs w:val="24"/>
                <w:highlight w:val="none"/>
                <w:lang w:val="en-US" w:eastAsia="zh-CN" w:bidi="ar-SA"/>
              </w:rPr>
              <w:t>4-</w:t>
            </w:r>
            <w:r>
              <w:rPr>
                <w:rFonts w:hint="eastAsia" w:cs="Times New Roman"/>
                <w:b/>
                <w:bCs/>
                <w:color w:val="000000"/>
                <w:kern w:val="2"/>
                <w:sz w:val="21"/>
                <w:szCs w:val="24"/>
                <w:highlight w:val="none"/>
                <w:lang w:val="en-US" w:eastAsia="zh-CN" w:bidi="ar-SA"/>
              </w:rPr>
              <w:t>8</w:t>
            </w:r>
            <w:r>
              <w:rPr>
                <w:rFonts w:hint="eastAsia" w:ascii="Times New Roman" w:hAnsi="Times New Roman" w:eastAsia="宋体" w:cs="Times New Roman"/>
                <w:b/>
                <w:bCs/>
                <w:color w:val="000000"/>
                <w:kern w:val="2"/>
                <w:sz w:val="21"/>
                <w:szCs w:val="24"/>
                <w:highlight w:val="none"/>
                <w:lang w:val="en-US" w:eastAsia="zh-CN" w:bidi="ar-SA"/>
              </w:rPr>
              <w:t xml:space="preserve">  项目废水产排污节点、污染物及污染治理设施信息表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448"/>
              <w:gridCol w:w="2846"/>
              <w:gridCol w:w="986"/>
              <w:gridCol w:w="1911"/>
              <w:gridCol w:w="755"/>
            </w:tblGrid>
            <w:tr w14:paraId="00F490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448" w:type="dxa"/>
                  <w:tcBorders>
                    <w:tl2br w:val="nil"/>
                    <w:tr2bl w:val="nil"/>
                  </w:tcBorders>
                  <w:noWrap w:val="0"/>
                  <w:vAlign w:val="center"/>
                </w:tcPr>
                <w:p w14:paraId="05F0DC0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产污工序</w:t>
                  </w:r>
                </w:p>
              </w:tc>
              <w:tc>
                <w:tcPr>
                  <w:tcW w:w="2846" w:type="dxa"/>
                  <w:tcBorders>
                    <w:tl2br w:val="nil"/>
                    <w:tr2bl w:val="nil"/>
                  </w:tcBorders>
                  <w:noWrap w:val="0"/>
                  <w:vAlign w:val="center"/>
                </w:tcPr>
                <w:p w14:paraId="2603118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污染物名称</w:t>
                  </w:r>
                </w:p>
              </w:tc>
              <w:tc>
                <w:tcPr>
                  <w:tcW w:w="986" w:type="dxa"/>
                  <w:tcBorders>
                    <w:tl2br w:val="nil"/>
                    <w:tr2bl w:val="nil"/>
                  </w:tcBorders>
                  <w:noWrap w:val="0"/>
                  <w:vAlign w:val="center"/>
                </w:tcPr>
                <w:p w14:paraId="515CB08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年产生量</w:t>
                  </w:r>
                </w:p>
              </w:tc>
              <w:tc>
                <w:tcPr>
                  <w:tcW w:w="1911" w:type="dxa"/>
                  <w:tcBorders>
                    <w:tl2br w:val="nil"/>
                    <w:tr2bl w:val="nil"/>
                  </w:tcBorders>
                  <w:noWrap w:val="0"/>
                  <w:vAlign w:val="center"/>
                </w:tcPr>
                <w:p w14:paraId="68C6F1B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治理措施</w:t>
                  </w:r>
                </w:p>
              </w:tc>
              <w:tc>
                <w:tcPr>
                  <w:tcW w:w="755" w:type="dxa"/>
                  <w:tcBorders>
                    <w:tl2br w:val="nil"/>
                    <w:tr2bl w:val="nil"/>
                  </w:tcBorders>
                  <w:noWrap w:val="0"/>
                  <w:vAlign w:val="center"/>
                </w:tcPr>
                <w:p w14:paraId="38FA6CD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排放量</w:t>
                  </w:r>
                </w:p>
              </w:tc>
            </w:tr>
            <w:tr w14:paraId="27847C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448" w:type="dxa"/>
                  <w:tcBorders>
                    <w:tl2br w:val="nil"/>
                    <w:tr2bl w:val="nil"/>
                  </w:tcBorders>
                  <w:noWrap w:val="0"/>
                  <w:vAlign w:val="center"/>
                </w:tcPr>
                <w:p w14:paraId="3AF1343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生活污水</w:t>
                  </w:r>
                </w:p>
              </w:tc>
              <w:tc>
                <w:tcPr>
                  <w:tcW w:w="2846" w:type="dxa"/>
                  <w:tcBorders>
                    <w:tl2br w:val="nil"/>
                    <w:tr2bl w:val="nil"/>
                  </w:tcBorders>
                  <w:noWrap w:val="0"/>
                  <w:vAlign w:val="center"/>
                </w:tcPr>
                <w:p w14:paraId="39B7834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COD、</w:t>
                  </w:r>
                  <w:r>
                    <w:rPr>
                      <w:rFonts w:hint="eastAsia" w:cs="Times New Roman"/>
                      <w:color w:val="auto"/>
                      <w:kern w:val="2"/>
                      <w:sz w:val="21"/>
                      <w:szCs w:val="21"/>
                      <w:highlight w:val="none"/>
                      <w:vertAlign w:val="baseline"/>
                      <w:lang w:val="en-US" w:eastAsia="zh-CN" w:bidi="ar-SA"/>
                    </w:rPr>
                    <w:t>BOD、</w:t>
                  </w:r>
                  <w:r>
                    <w:rPr>
                      <w:rFonts w:hint="default" w:ascii="Times New Roman" w:hAnsi="Times New Roman" w:eastAsia="宋体" w:cs="Times New Roman"/>
                      <w:color w:val="auto"/>
                      <w:kern w:val="2"/>
                      <w:sz w:val="21"/>
                      <w:szCs w:val="21"/>
                      <w:highlight w:val="none"/>
                      <w:vertAlign w:val="baseline"/>
                      <w:lang w:val="en-US" w:eastAsia="zh-CN" w:bidi="ar-SA"/>
                    </w:rPr>
                    <w:t>NH</w:t>
                  </w:r>
                  <w:r>
                    <w:rPr>
                      <w:rFonts w:hint="default" w:ascii="Times New Roman" w:hAnsi="Times New Roman" w:eastAsia="宋体" w:cs="Times New Roman"/>
                      <w:color w:val="auto"/>
                      <w:kern w:val="2"/>
                      <w:sz w:val="21"/>
                      <w:szCs w:val="21"/>
                      <w:highlight w:val="none"/>
                      <w:vertAlign w:val="subscript"/>
                      <w:lang w:val="en-US" w:eastAsia="zh-CN" w:bidi="ar-SA"/>
                    </w:rPr>
                    <w:t>3</w:t>
                  </w:r>
                  <w:r>
                    <w:rPr>
                      <w:rFonts w:hint="default" w:ascii="Times New Roman" w:hAnsi="Times New Roman" w:eastAsia="宋体" w:cs="Times New Roman"/>
                      <w:color w:val="auto"/>
                      <w:kern w:val="2"/>
                      <w:sz w:val="21"/>
                      <w:szCs w:val="21"/>
                      <w:highlight w:val="none"/>
                      <w:vertAlign w:val="baseline"/>
                      <w:lang w:val="en-US" w:eastAsia="zh-CN" w:bidi="ar-SA"/>
                    </w:rPr>
                    <w:t>-N、SS</w:t>
                  </w:r>
                  <w:r>
                    <w:rPr>
                      <w:rFonts w:hint="eastAsia" w:ascii="Times New Roman" w:hAnsi="Times New Roman" w:eastAsia="宋体" w:cs="Times New Roman"/>
                      <w:color w:val="auto"/>
                      <w:kern w:val="2"/>
                      <w:sz w:val="21"/>
                      <w:szCs w:val="21"/>
                      <w:highlight w:val="none"/>
                      <w:vertAlign w:val="baseline"/>
                      <w:lang w:val="en-US" w:eastAsia="zh-CN" w:bidi="ar-SA"/>
                    </w:rPr>
                    <w:t>、</w:t>
                  </w:r>
                  <w:r>
                    <w:rPr>
                      <w:rFonts w:hint="eastAsia" w:cs="Times New Roman"/>
                      <w:color w:val="000000"/>
                      <w:spacing w:val="0"/>
                      <w:kern w:val="0"/>
                      <w:sz w:val="21"/>
                      <w:szCs w:val="21"/>
                      <w:highlight w:val="none"/>
                      <w:lang w:val="en-US" w:eastAsia="zh-CN"/>
                    </w:rPr>
                    <w:t>pH</w:t>
                  </w:r>
                </w:p>
              </w:tc>
              <w:tc>
                <w:tcPr>
                  <w:tcW w:w="986" w:type="dxa"/>
                  <w:tcBorders>
                    <w:tl2br w:val="nil"/>
                    <w:tr2bl w:val="nil"/>
                  </w:tcBorders>
                  <w:noWrap w:val="0"/>
                  <w:vAlign w:val="center"/>
                </w:tcPr>
                <w:p w14:paraId="3783B6A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superscript"/>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1176m</w:t>
                  </w:r>
                  <w:r>
                    <w:rPr>
                      <w:rFonts w:hint="eastAsia" w:ascii="Times New Roman" w:hAnsi="Times New Roman" w:eastAsia="宋体" w:cs="Times New Roman"/>
                      <w:color w:val="auto"/>
                      <w:kern w:val="2"/>
                      <w:sz w:val="21"/>
                      <w:szCs w:val="21"/>
                      <w:highlight w:val="none"/>
                      <w:vertAlign w:val="superscript"/>
                      <w:lang w:val="en-US" w:eastAsia="zh-CN" w:bidi="ar-SA"/>
                    </w:rPr>
                    <w:t>3</w:t>
                  </w:r>
                </w:p>
              </w:tc>
              <w:tc>
                <w:tcPr>
                  <w:tcW w:w="1911" w:type="dxa"/>
                  <w:tcBorders>
                    <w:tl2br w:val="nil"/>
                    <w:tr2bl w:val="nil"/>
                  </w:tcBorders>
                  <w:noWrap w:val="0"/>
                  <w:vAlign w:val="center"/>
                </w:tcPr>
                <w:p w14:paraId="7A5A080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排入园区污水管网</w:t>
                  </w:r>
                </w:p>
              </w:tc>
              <w:tc>
                <w:tcPr>
                  <w:tcW w:w="755" w:type="dxa"/>
                  <w:tcBorders>
                    <w:tl2br w:val="nil"/>
                    <w:tr2bl w:val="nil"/>
                  </w:tcBorders>
                  <w:noWrap w:val="0"/>
                  <w:vAlign w:val="center"/>
                </w:tcPr>
                <w:p w14:paraId="4B16E94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1176</w:t>
                  </w:r>
                </w:p>
              </w:tc>
            </w:tr>
            <w:tr w14:paraId="3807F0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448" w:type="dxa"/>
                  <w:tcBorders>
                    <w:tl2br w:val="nil"/>
                    <w:tr2bl w:val="nil"/>
                  </w:tcBorders>
                  <w:noWrap w:val="0"/>
                  <w:vAlign w:val="center"/>
                </w:tcPr>
                <w:p w14:paraId="67188E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冷却系统排水</w:t>
                  </w:r>
                </w:p>
              </w:tc>
              <w:tc>
                <w:tcPr>
                  <w:tcW w:w="2846" w:type="dxa"/>
                  <w:tcBorders>
                    <w:tl2br w:val="nil"/>
                    <w:tr2bl w:val="nil"/>
                  </w:tcBorders>
                  <w:noWrap w:val="0"/>
                  <w:vAlign w:val="center"/>
                </w:tcPr>
                <w:p w14:paraId="04345DE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pH、SS、COD、TDS</w:t>
                  </w:r>
                </w:p>
              </w:tc>
              <w:tc>
                <w:tcPr>
                  <w:tcW w:w="986" w:type="dxa"/>
                  <w:tcBorders>
                    <w:tl2br w:val="nil"/>
                    <w:tr2bl w:val="nil"/>
                  </w:tcBorders>
                  <w:noWrap w:val="0"/>
                  <w:vAlign w:val="center"/>
                </w:tcPr>
                <w:p w14:paraId="51B0C1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600m</w:t>
                  </w:r>
                  <w:r>
                    <w:rPr>
                      <w:rFonts w:hint="eastAsia" w:ascii="Times New Roman" w:hAnsi="Times New Roman" w:eastAsia="宋体" w:cs="Times New Roman"/>
                      <w:color w:val="auto"/>
                      <w:kern w:val="2"/>
                      <w:sz w:val="21"/>
                      <w:szCs w:val="21"/>
                      <w:highlight w:val="none"/>
                      <w:vertAlign w:val="superscript"/>
                      <w:lang w:val="en-US" w:eastAsia="zh-CN" w:bidi="ar-SA"/>
                    </w:rPr>
                    <w:t>3</w:t>
                  </w:r>
                </w:p>
              </w:tc>
              <w:tc>
                <w:tcPr>
                  <w:tcW w:w="1911" w:type="dxa"/>
                  <w:tcBorders>
                    <w:tl2br w:val="nil"/>
                    <w:tr2bl w:val="nil"/>
                  </w:tcBorders>
                  <w:noWrap w:val="0"/>
                  <w:vAlign w:val="center"/>
                </w:tcPr>
                <w:p w14:paraId="7BC9805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办公区域地面清洁</w:t>
                  </w:r>
                </w:p>
              </w:tc>
              <w:tc>
                <w:tcPr>
                  <w:tcW w:w="755" w:type="dxa"/>
                  <w:tcBorders>
                    <w:tl2br w:val="nil"/>
                    <w:tr2bl w:val="nil"/>
                  </w:tcBorders>
                  <w:noWrap w:val="0"/>
                  <w:vAlign w:val="center"/>
                </w:tcPr>
                <w:p w14:paraId="0E9CA0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w:t>
                  </w:r>
                </w:p>
              </w:tc>
            </w:tr>
            <w:tr w14:paraId="4B71E8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448" w:type="dxa"/>
                  <w:tcBorders>
                    <w:tl2br w:val="nil"/>
                    <w:tr2bl w:val="nil"/>
                  </w:tcBorders>
                  <w:noWrap w:val="0"/>
                  <w:vAlign w:val="center"/>
                </w:tcPr>
                <w:p w14:paraId="363E28A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合计</w:t>
                  </w:r>
                </w:p>
              </w:tc>
              <w:tc>
                <w:tcPr>
                  <w:tcW w:w="2846" w:type="dxa"/>
                  <w:tcBorders>
                    <w:tl2br w:val="nil"/>
                    <w:tr2bl w:val="nil"/>
                  </w:tcBorders>
                  <w:noWrap w:val="0"/>
                  <w:vAlign w:val="center"/>
                </w:tcPr>
                <w:p w14:paraId="4E962ED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w:t>
                  </w:r>
                </w:p>
              </w:tc>
              <w:tc>
                <w:tcPr>
                  <w:tcW w:w="986" w:type="dxa"/>
                  <w:tcBorders>
                    <w:tl2br w:val="nil"/>
                    <w:tr2bl w:val="nil"/>
                  </w:tcBorders>
                  <w:noWrap w:val="0"/>
                  <w:vAlign w:val="center"/>
                </w:tcPr>
                <w:p w14:paraId="39EBDE2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1776m</w:t>
                  </w:r>
                  <w:r>
                    <w:rPr>
                      <w:rFonts w:hint="eastAsia" w:ascii="Times New Roman" w:hAnsi="Times New Roman" w:eastAsia="宋体" w:cs="Times New Roman"/>
                      <w:color w:val="auto"/>
                      <w:kern w:val="2"/>
                      <w:sz w:val="21"/>
                      <w:szCs w:val="21"/>
                      <w:highlight w:val="none"/>
                      <w:vertAlign w:val="superscript"/>
                      <w:lang w:val="en-US" w:eastAsia="zh-CN" w:bidi="ar-SA"/>
                    </w:rPr>
                    <w:t>3</w:t>
                  </w:r>
                </w:p>
              </w:tc>
              <w:tc>
                <w:tcPr>
                  <w:tcW w:w="1911" w:type="dxa"/>
                  <w:tcBorders>
                    <w:tl2br w:val="nil"/>
                    <w:tr2bl w:val="nil"/>
                  </w:tcBorders>
                  <w:noWrap w:val="0"/>
                  <w:vAlign w:val="center"/>
                </w:tcPr>
                <w:p w14:paraId="752588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w:t>
                  </w:r>
                </w:p>
              </w:tc>
              <w:tc>
                <w:tcPr>
                  <w:tcW w:w="755" w:type="dxa"/>
                  <w:tcBorders>
                    <w:tl2br w:val="nil"/>
                    <w:tr2bl w:val="nil"/>
                  </w:tcBorders>
                  <w:noWrap w:val="0"/>
                  <w:vAlign w:val="center"/>
                </w:tcPr>
                <w:p w14:paraId="7ED0C4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w:t>
                  </w:r>
                </w:p>
              </w:tc>
            </w:tr>
          </w:tbl>
          <w:p w14:paraId="2AF1AB2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2.2 废水污染物源强核算及达标情况</w:t>
            </w:r>
          </w:p>
          <w:p w14:paraId="4879AE00">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w:t>
            </w:r>
            <w:r>
              <w:rPr>
                <w:rFonts w:hint="eastAsia" w:cs="Times New Roman"/>
                <w:b/>
                <w:bCs/>
                <w:color w:val="auto"/>
                <w:kern w:val="2"/>
                <w:sz w:val="24"/>
                <w:szCs w:val="24"/>
                <w:highlight w:val="none"/>
                <w:lang w:val="en-US" w:eastAsia="zh-CN" w:bidi="ar-SA"/>
              </w:rPr>
              <w:t>生活污水</w:t>
            </w:r>
          </w:p>
          <w:p w14:paraId="102499C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color w:val="auto"/>
                <w:kern w:val="2"/>
                <w:sz w:val="24"/>
                <w:szCs w:val="24"/>
                <w:highlight w:val="none"/>
                <w:lang w:val="en-US" w:eastAsia="zh-CN" w:bidi="ar-SA"/>
              </w:rPr>
              <w:t>根据水平衡可知，职工</w:t>
            </w:r>
            <w:r>
              <w:rPr>
                <w:rFonts w:hint="eastAsia" w:cs="Times New Roman"/>
                <w:color w:val="auto"/>
                <w:kern w:val="2"/>
                <w:sz w:val="24"/>
                <w:szCs w:val="24"/>
                <w:highlight w:val="none"/>
                <w:lang w:val="en-US" w:eastAsia="zh-CN" w:bidi="ar-SA"/>
              </w:rPr>
              <w:t>生活污水</w:t>
            </w:r>
            <w:r>
              <w:rPr>
                <w:rFonts w:hint="eastAsia" w:ascii="Times New Roman" w:hAnsi="Times New Roman" w:eastAsia="宋体" w:cs="Times New Roman"/>
                <w:color w:val="auto"/>
                <w:kern w:val="2"/>
                <w:sz w:val="24"/>
                <w:szCs w:val="24"/>
                <w:highlight w:val="none"/>
                <w:lang w:val="en-US" w:eastAsia="zh-CN" w:bidi="ar-SA"/>
              </w:rPr>
              <w:t>产生量为3.92</w:t>
            </w:r>
            <w:r>
              <w:rPr>
                <w:rFonts w:hint="default" w:ascii="Times New Roman" w:hAnsi="Times New Roman" w:eastAsia="宋体" w:cs="Times New Roman"/>
                <w:color w:val="auto"/>
                <w:kern w:val="2"/>
                <w:sz w:val="24"/>
                <w:szCs w:val="24"/>
                <w:highlight w:val="none"/>
                <w:lang w:val="en-US" w:eastAsia="zh-CN" w:bidi="ar-SA"/>
              </w:rPr>
              <w:t>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/d</w:t>
            </w:r>
            <w:r>
              <w:rPr>
                <w:rFonts w:hint="eastAsia" w:ascii="Times New Roman" w:hAnsi="Times New Roman" w:eastAsia="宋体" w:cs="Times New Roman"/>
                <w:color w:val="auto"/>
                <w:kern w:val="2"/>
                <w:sz w:val="24"/>
                <w:szCs w:val="24"/>
                <w:highlight w:val="none"/>
                <w:lang w:val="en-US" w:eastAsia="zh-CN" w:bidi="ar-SA"/>
              </w:rPr>
              <w:t>。生活污水</w:t>
            </w:r>
            <w:r>
              <w:rPr>
                <w:rFonts w:hint="eastAsia" w:ascii="Times New Roman" w:hAnsi="Times New Roman" w:eastAsia="宋体" w:cs="Times New Roman"/>
                <w:sz w:val="24"/>
                <w:szCs w:val="24"/>
                <w:highlight w:val="none"/>
                <w:lang w:val="en-US" w:eastAsia="zh-CN"/>
              </w:rPr>
              <w:t>排入开发区污水管网，经管网送第</w:t>
            </w:r>
            <w:r>
              <w:rPr>
                <w:rFonts w:hint="eastAsia" w:cs="Times New Roman"/>
                <w:sz w:val="24"/>
                <w:szCs w:val="24"/>
                <w:highlight w:val="none"/>
                <w:lang w:val="en-US" w:eastAsia="zh-CN"/>
              </w:rPr>
              <w:t>一</w:t>
            </w:r>
            <w:r>
              <w:rPr>
                <w:rFonts w:hint="eastAsia" w:ascii="Times New Roman" w:hAnsi="Times New Roman" w:eastAsia="宋体" w:cs="Times New Roman"/>
                <w:sz w:val="24"/>
                <w:szCs w:val="24"/>
                <w:highlight w:val="none"/>
                <w:lang w:val="en-US" w:eastAsia="zh-CN"/>
              </w:rPr>
              <w:t>污水处理厂处理。</w:t>
            </w:r>
          </w:p>
          <w:p w14:paraId="64EB7E95">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w:t>
            </w:r>
            <w:r>
              <w:rPr>
                <w:rFonts w:hint="eastAsia" w:cs="Times New Roman"/>
                <w:b/>
                <w:bCs/>
                <w:color w:val="000000"/>
                <w:kern w:val="2"/>
                <w:sz w:val="21"/>
                <w:szCs w:val="21"/>
                <w:highlight w:val="none"/>
                <w:lang w:val="en-US" w:eastAsia="zh-CN" w:bidi="ar-SA"/>
              </w:rPr>
              <w:t>9</w:t>
            </w:r>
            <w:r>
              <w:rPr>
                <w:rFonts w:hint="eastAsia" w:ascii="Times New Roman" w:hAnsi="Times New Roman" w:eastAsia="宋体" w:cs="Times New Roman"/>
                <w:b/>
                <w:bCs/>
                <w:color w:val="000000"/>
                <w:kern w:val="2"/>
                <w:sz w:val="21"/>
                <w:szCs w:val="21"/>
                <w:highlight w:val="none"/>
                <w:lang w:val="en-US" w:eastAsia="zh-CN" w:bidi="ar-SA"/>
              </w:rPr>
              <w:t xml:space="preserve">  废水污染物排放浓度</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197"/>
              <w:gridCol w:w="1117"/>
              <w:gridCol w:w="1117"/>
              <w:gridCol w:w="975"/>
              <w:gridCol w:w="1117"/>
              <w:gridCol w:w="423"/>
            </w:tblGrid>
            <w:tr w14:paraId="6A25B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3197" w:type="dxa"/>
                  <w:tcBorders>
                    <w:tl2br w:val="nil"/>
                    <w:tr2bl w:val="nil"/>
                  </w:tcBorders>
                  <w:noWrap w:val="0"/>
                  <w:vAlign w:val="center"/>
                </w:tcPr>
                <w:p w14:paraId="70F47D7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p>
              </w:tc>
              <w:tc>
                <w:tcPr>
                  <w:tcW w:w="1117" w:type="dxa"/>
                  <w:tcBorders>
                    <w:tl2br w:val="nil"/>
                    <w:tr2bl w:val="nil"/>
                  </w:tcBorders>
                  <w:noWrap w:val="0"/>
                  <w:vAlign w:val="center"/>
                </w:tcPr>
                <w:p w14:paraId="1728937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COD</w:t>
                  </w:r>
                </w:p>
              </w:tc>
              <w:tc>
                <w:tcPr>
                  <w:tcW w:w="1117" w:type="dxa"/>
                  <w:tcBorders>
                    <w:tl2br w:val="nil"/>
                    <w:tr2bl w:val="nil"/>
                  </w:tcBorders>
                  <w:noWrap w:val="0"/>
                  <w:vAlign w:val="center"/>
                </w:tcPr>
                <w:p w14:paraId="2A1949A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BOD</w:t>
                  </w:r>
                </w:p>
              </w:tc>
              <w:tc>
                <w:tcPr>
                  <w:tcW w:w="975" w:type="dxa"/>
                  <w:tcBorders>
                    <w:tl2br w:val="nil"/>
                    <w:tr2bl w:val="nil"/>
                  </w:tcBorders>
                  <w:noWrap w:val="0"/>
                  <w:vAlign w:val="center"/>
                </w:tcPr>
                <w:p w14:paraId="6FA48DE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NH</w:t>
                  </w:r>
                  <w:r>
                    <w:rPr>
                      <w:rFonts w:hint="default" w:ascii="Times New Roman" w:hAnsi="Times New Roman" w:eastAsia="宋体" w:cs="Times New Roman"/>
                      <w:b w:val="0"/>
                      <w:bCs w:val="0"/>
                      <w:color w:val="auto"/>
                      <w:kern w:val="2"/>
                      <w:sz w:val="21"/>
                      <w:szCs w:val="21"/>
                      <w:highlight w:val="none"/>
                      <w:vertAlign w:val="subscript"/>
                      <w:lang w:val="en-US" w:eastAsia="zh-CN" w:bidi="ar-SA"/>
                    </w:rPr>
                    <w:t>3</w:t>
                  </w:r>
                  <w:r>
                    <w:rPr>
                      <w:rFonts w:hint="default" w:ascii="Times New Roman" w:hAnsi="Times New Roman" w:eastAsia="宋体" w:cs="Times New Roman"/>
                      <w:b w:val="0"/>
                      <w:bCs w:val="0"/>
                      <w:color w:val="auto"/>
                      <w:kern w:val="2"/>
                      <w:sz w:val="21"/>
                      <w:szCs w:val="21"/>
                      <w:highlight w:val="none"/>
                      <w:lang w:val="en-US" w:eastAsia="zh-CN" w:bidi="ar-SA"/>
                    </w:rPr>
                    <w:t>-N</w:t>
                  </w:r>
                </w:p>
              </w:tc>
              <w:tc>
                <w:tcPr>
                  <w:tcW w:w="1117" w:type="dxa"/>
                  <w:tcBorders>
                    <w:tl2br w:val="nil"/>
                    <w:tr2bl w:val="nil"/>
                  </w:tcBorders>
                  <w:noWrap w:val="0"/>
                  <w:vAlign w:val="center"/>
                </w:tcPr>
                <w:p w14:paraId="5B64EBC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SS</w:t>
                  </w:r>
                </w:p>
              </w:tc>
              <w:tc>
                <w:tcPr>
                  <w:tcW w:w="423" w:type="dxa"/>
                  <w:tcBorders>
                    <w:tl2br w:val="nil"/>
                    <w:tr2bl w:val="nil"/>
                  </w:tcBorders>
                  <w:noWrap w:val="0"/>
                  <w:vAlign w:val="center"/>
                </w:tcPr>
                <w:p w14:paraId="3561087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pH</w:t>
                  </w:r>
                </w:p>
              </w:tc>
            </w:tr>
            <w:tr w14:paraId="2F2376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3197" w:type="dxa"/>
                  <w:tcBorders>
                    <w:tl2br w:val="nil"/>
                    <w:tr2bl w:val="nil"/>
                  </w:tcBorders>
                  <w:noWrap w:val="0"/>
                  <w:vAlign w:val="center"/>
                </w:tcPr>
                <w:p w14:paraId="391B7C8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生活污水</w:t>
                  </w:r>
                  <w:r>
                    <w:rPr>
                      <w:rFonts w:hint="eastAsia" w:ascii="Times New Roman" w:hAnsi="Times New Roman" w:eastAsia="宋体" w:cs="Times New Roman"/>
                      <w:b w:val="0"/>
                      <w:bCs w:val="0"/>
                      <w:color w:val="000000"/>
                      <w:kern w:val="2"/>
                      <w:sz w:val="21"/>
                      <w:szCs w:val="21"/>
                      <w:highlight w:val="none"/>
                      <w:vertAlign w:val="baseline"/>
                      <w:lang w:val="en-US" w:eastAsia="zh-CN" w:bidi="ar-SA"/>
                    </w:rPr>
                    <w:t>污染物排放浓度</w:t>
                  </w:r>
                </w:p>
              </w:tc>
              <w:tc>
                <w:tcPr>
                  <w:tcW w:w="1117" w:type="dxa"/>
                  <w:tcBorders>
                    <w:tl2br w:val="nil"/>
                    <w:tr2bl w:val="nil"/>
                  </w:tcBorders>
                  <w:noWrap w:val="0"/>
                  <w:vAlign w:val="center"/>
                </w:tcPr>
                <w:p w14:paraId="4F66438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400mg/L</w:t>
                  </w:r>
                </w:p>
              </w:tc>
              <w:tc>
                <w:tcPr>
                  <w:tcW w:w="1117" w:type="dxa"/>
                  <w:tcBorders>
                    <w:tl2br w:val="nil"/>
                    <w:tr2bl w:val="nil"/>
                  </w:tcBorders>
                  <w:noWrap w:val="0"/>
                  <w:vAlign w:val="center"/>
                </w:tcPr>
                <w:p w14:paraId="022AB79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200mg/L</w:t>
                  </w:r>
                </w:p>
              </w:tc>
              <w:tc>
                <w:tcPr>
                  <w:tcW w:w="975" w:type="dxa"/>
                  <w:tcBorders>
                    <w:tl2br w:val="nil"/>
                    <w:tr2bl w:val="nil"/>
                  </w:tcBorders>
                  <w:noWrap w:val="0"/>
                  <w:vAlign w:val="center"/>
                </w:tcPr>
                <w:p w14:paraId="5C21F7C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25mg/L</w:t>
                  </w:r>
                </w:p>
              </w:tc>
              <w:tc>
                <w:tcPr>
                  <w:tcW w:w="1117" w:type="dxa"/>
                  <w:tcBorders>
                    <w:tl2br w:val="nil"/>
                    <w:tr2bl w:val="nil"/>
                  </w:tcBorders>
                  <w:noWrap w:val="0"/>
                  <w:vAlign w:val="center"/>
                </w:tcPr>
                <w:p w14:paraId="18B1356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220</w:t>
                  </w:r>
                  <w:r>
                    <w:rPr>
                      <w:rFonts w:hint="default" w:ascii="Times New Roman" w:hAnsi="Times New Roman" w:eastAsia="宋体" w:cs="Times New Roman"/>
                      <w:b w:val="0"/>
                      <w:bCs w:val="0"/>
                      <w:color w:val="000000"/>
                      <w:kern w:val="2"/>
                      <w:sz w:val="21"/>
                      <w:szCs w:val="21"/>
                      <w:highlight w:val="none"/>
                      <w:vertAlign w:val="baseline"/>
                      <w:lang w:val="en-US" w:eastAsia="zh-CN" w:bidi="ar-SA"/>
                    </w:rPr>
                    <w:t>mg/L</w:t>
                  </w:r>
                </w:p>
              </w:tc>
              <w:tc>
                <w:tcPr>
                  <w:tcW w:w="423" w:type="dxa"/>
                  <w:tcBorders>
                    <w:tl2br w:val="nil"/>
                    <w:tr2bl w:val="nil"/>
                  </w:tcBorders>
                  <w:noWrap w:val="0"/>
                  <w:vAlign w:val="center"/>
                </w:tcPr>
                <w:p w14:paraId="39FA54E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w:t>
                  </w:r>
                </w:p>
              </w:tc>
            </w:tr>
            <w:tr w14:paraId="4901F8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3197" w:type="dxa"/>
                  <w:tcBorders>
                    <w:tl2br w:val="nil"/>
                    <w:tr2bl w:val="nil"/>
                  </w:tcBorders>
                  <w:noWrap w:val="0"/>
                  <w:vAlign w:val="center"/>
                </w:tcPr>
                <w:p w14:paraId="5CE95DB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生活污水</w:t>
                  </w:r>
                  <w:r>
                    <w:rPr>
                      <w:rFonts w:hint="eastAsia" w:ascii="Times New Roman" w:hAnsi="Times New Roman" w:eastAsia="宋体" w:cs="Times New Roman"/>
                      <w:b w:val="0"/>
                      <w:bCs w:val="0"/>
                      <w:color w:val="000000"/>
                      <w:kern w:val="2"/>
                      <w:sz w:val="21"/>
                      <w:szCs w:val="21"/>
                      <w:highlight w:val="none"/>
                      <w:vertAlign w:val="baseline"/>
                      <w:lang w:val="en-US" w:eastAsia="zh-CN" w:bidi="ar-SA"/>
                    </w:rPr>
                    <w:t>污染物排放量</w:t>
                  </w:r>
                </w:p>
              </w:tc>
              <w:tc>
                <w:tcPr>
                  <w:tcW w:w="1117" w:type="dxa"/>
                  <w:tcBorders>
                    <w:tl2br w:val="nil"/>
                    <w:tr2bl w:val="nil"/>
                  </w:tcBorders>
                  <w:noWrap w:val="0"/>
                  <w:vAlign w:val="center"/>
                </w:tcPr>
                <w:p w14:paraId="38C205A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eastAsia" w:ascii="Times New Roman" w:hAnsi="Times New Roman" w:eastAsia="宋体" w:cs="Times New Roman"/>
                      <w:b w:val="0"/>
                      <w:bCs w:val="0"/>
                      <w:color w:val="000000"/>
                      <w:kern w:val="2"/>
                      <w:sz w:val="21"/>
                      <w:szCs w:val="21"/>
                      <w:highlight w:val="none"/>
                      <w:vertAlign w:val="baseline"/>
                      <w:lang w:val="en-US" w:eastAsia="zh-CN" w:bidi="ar-SA"/>
                    </w:rPr>
                    <w:t>0.47t</w:t>
                  </w:r>
                </w:p>
              </w:tc>
              <w:tc>
                <w:tcPr>
                  <w:tcW w:w="1117" w:type="dxa"/>
                  <w:tcBorders>
                    <w:tl2br w:val="nil"/>
                    <w:tr2bl w:val="nil"/>
                  </w:tcBorders>
                  <w:noWrap w:val="0"/>
                  <w:vAlign w:val="center"/>
                </w:tcPr>
                <w:p w14:paraId="0AA0D60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eastAsia" w:ascii="Times New Roman" w:hAnsi="Times New Roman" w:eastAsia="宋体" w:cs="Times New Roman"/>
                      <w:b w:val="0"/>
                      <w:bCs w:val="0"/>
                      <w:color w:val="000000"/>
                      <w:kern w:val="2"/>
                      <w:sz w:val="21"/>
                      <w:szCs w:val="21"/>
                      <w:highlight w:val="none"/>
                      <w:vertAlign w:val="baseline"/>
                      <w:lang w:val="en-US" w:eastAsia="zh-CN" w:bidi="ar-SA"/>
                    </w:rPr>
                    <w:t>0.24t</w:t>
                  </w:r>
                </w:p>
              </w:tc>
              <w:tc>
                <w:tcPr>
                  <w:tcW w:w="975" w:type="dxa"/>
                  <w:tcBorders>
                    <w:tl2br w:val="nil"/>
                    <w:tr2bl w:val="nil"/>
                  </w:tcBorders>
                  <w:noWrap w:val="0"/>
                  <w:vAlign w:val="center"/>
                </w:tcPr>
                <w:p w14:paraId="4F96B94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eastAsia" w:ascii="Times New Roman" w:hAnsi="Times New Roman" w:eastAsia="宋体" w:cs="Times New Roman"/>
                      <w:b w:val="0"/>
                      <w:bCs w:val="0"/>
                      <w:color w:val="000000"/>
                      <w:kern w:val="2"/>
                      <w:sz w:val="21"/>
                      <w:szCs w:val="21"/>
                      <w:highlight w:val="none"/>
                      <w:vertAlign w:val="baseline"/>
                      <w:lang w:val="en-US" w:eastAsia="zh-CN" w:bidi="ar-SA"/>
                    </w:rPr>
                    <w:t>0.03t</w:t>
                  </w:r>
                </w:p>
              </w:tc>
              <w:tc>
                <w:tcPr>
                  <w:tcW w:w="1117" w:type="dxa"/>
                  <w:tcBorders>
                    <w:tl2br w:val="nil"/>
                    <w:tr2bl w:val="nil"/>
                  </w:tcBorders>
                  <w:noWrap w:val="0"/>
                  <w:vAlign w:val="center"/>
                </w:tcPr>
                <w:p w14:paraId="60FB84B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eastAsia" w:ascii="Times New Roman" w:hAnsi="Times New Roman" w:eastAsia="宋体" w:cs="Times New Roman"/>
                      <w:b w:val="0"/>
                      <w:bCs w:val="0"/>
                      <w:color w:val="000000"/>
                      <w:kern w:val="2"/>
                      <w:sz w:val="21"/>
                      <w:szCs w:val="21"/>
                      <w:highlight w:val="none"/>
                      <w:vertAlign w:val="baseline"/>
                      <w:lang w:val="en-US" w:eastAsia="zh-CN" w:bidi="ar-SA"/>
                    </w:rPr>
                    <w:t>0.26kg</w:t>
                  </w:r>
                </w:p>
              </w:tc>
              <w:tc>
                <w:tcPr>
                  <w:tcW w:w="423" w:type="dxa"/>
                  <w:tcBorders>
                    <w:tl2br w:val="nil"/>
                    <w:tr2bl w:val="nil"/>
                  </w:tcBorders>
                  <w:noWrap w:val="0"/>
                  <w:vAlign w:val="center"/>
                </w:tcPr>
                <w:p w14:paraId="7022490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eastAsia" w:ascii="Times New Roman" w:hAnsi="Times New Roman" w:eastAsia="宋体" w:cs="Times New Roman"/>
                      <w:b w:val="0"/>
                      <w:bCs w:val="0"/>
                      <w:color w:val="000000"/>
                      <w:kern w:val="2"/>
                      <w:sz w:val="21"/>
                      <w:szCs w:val="21"/>
                      <w:highlight w:val="none"/>
                      <w:vertAlign w:val="baseline"/>
                      <w:lang w:val="en-US" w:eastAsia="zh-CN" w:bidi="ar-SA"/>
                    </w:rPr>
                    <w:t>/</w:t>
                  </w:r>
                </w:p>
              </w:tc>
            </w:tr>
          </w:tbl>
          <w:p w14:paraId="327A2AD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kern w:val="2"/>
                <w:sz w:val="24"/>
                <w:szCs w:val="24"/>
                <w:highlight w:val="none"/>
                <w:lang w:val="en-US" w:eastAsia="zh-CN" w:bidi="ar-SA"/>
              </w:rPr>
              <w:t>2</w:t>
            </w:r>
            <w:r>
              <w:rPr>
                <w:rFonts w:hint="default"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kern w:val="2"/>
                <w:sz w:val="24"/>
                <w:szCs w:val="24"/>
                <w:highlight w:val="none"/>
                <w:lang w:val="en-US" w:eastAsia="zh-CN" w:bidi="ar-SA"/>
              </w:rPr>
              <w:t>循环冷却系统定期排水</w:t>
            </w:r>
          </w:p>
          <w:p w14:paraId="0D4E3F3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b/>
                <w:bCs/>
                <w:color w:val="auto"/>
                <w:kern w:val="2"/>
                <w:sz w:val="21"/>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本项目运营期冷却废水主要来自气流磨、烧结炉等设备冷却，属于净环水。循环冷却水在循环过程中由于不断蒸发，会导致含盐量升高，为保持冷却水水质稳定，需定期排放，排水量为600m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vertAlign w:val="baseli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a</w:t>
            </w:r>
            <w:r>
              <w:rPr>
                <w:rFonts w:hint="eastAsia" w:cs="Times New Roman"/>
                <w:color w:val="auto"/>
                <w:kern w:val="2"/>
                <w:sz w:val="24"/>
                <w:szCs w:val="24"/>
                <w:highlight w:val="none"/>
                <w:lang w:val="en-US" w:eastAsia="zh-CN" w:bidi="ar-SA"/>
              </w:rPr>
              <w:t>，定排水用于办公区域地面清洁</w:t>
            </w:r>
            <w:r>
              <w:rPr>
                <w:rFonts w:hint="eastAsia" w:ascii="Times New Roman" w:hAnsi="Times New Roman" w:eastAsia="宋体" w:cs="Times New Roman"/>
                <w:color w:val="auto"/>
                <w:kern w:val="2"/>
                <w:sz w:val="24"/>
                <w:szCs w:val="24"/>
                <w:highlight w:val="none"/>
                <w:lang w:val="en-US" w:eastAsia="zh-CN" w:bidi="ar-SA"/>
              </w:rPr>
              <w:t>。</w:t>
            </w:r>
          </w:p>
          <w:p w14:paraId="2EA1F80F">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w:t>
            </w:r>
            <w:r>
              <w:rPr>
                <w:rFonts w:hint="eastAsia" w:cs="Times New Roman"/>
                <w:b/>
                <w:bCs/>
                <w:color w:val="000000"/>
                <w:kern w:val="2"/>
                <w:sz w:val="21"/>
                <w:szCs w:val="21"/>
                <w:highlight w:val="none"/>
                <w:lang w:val="en-US" w:eastAsia="zh-CN" w:bidi="ar-SA"/>
              </w:rPr>
              <w:t>10</w:t>
            </w:r>
            <w:r>
              <w:rPr>
                <w:rFonts w:hint="eastAsia" w:ascii="Times New Roman" w:hAnsi="Times New Roman" w:eastAsia="宋体" w:cs="Times New Roman"/>
                <w:b/>
                <w:bCs/>
                <w:color w:val="000000"/>
                <w:kern w:val="2"/>
                <w:sz w:val="21"/>
                <w:szCs w:val="21"/>
                <w:highlight w:val="none"/>
                <w:lang w:val="en-US" w:eastAsia="zh-CN" w:bidi="ar-SA"/>
              </w:rPr>
              <w:t xml:space="preserve">  废水类别、污染物及污染治理设施信息表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07"/>
              <w:gridCol w:w="860"/>
              <w:gridCol w:w="806"/>
              <w:gridCol w:w="525"/>
              <w:gridCol w:w="515"/>
              <w:gridCol w:w="798"/>
              <w:gridCol w:w="798"/>
              <w:gridCol w:w="800"/>
              <w:gridCol w:w="720"/>
              <w:gridCol w:w="1110"/>
              <w:gridCol w:w="607"/>
            </w:tblGrid>
            <w:tr w14:paraId="61583C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256" w:type="pct"/>
                  <w:vMerge w:val="restart"/>
                  <w:tcBorders>
                    <w:tl2br w:val="nil"/>
                    <w:tr2bl w:val="nil"/>
                  </w:tcBorders>
                  <w:noWrap w:val="0"/>
                  <w:vAlign w:val="center"/>
                </w:tcPr>
                <w:p w14:paraId="7215E24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序号</w:t>
                  </w:r>
                </w:p>
              </w:tc>
              <w:tc>
                <w:tcPr>
                  <w:tcW w:w="541" w:type="pct"/>
                  <w:vMerge w:val="restart"/>
                  <w:tcBorders>
                    <w:tl2br w:val="nil"/>
                    <w:tr2bl w:val="nil"/>
                  </w:tcBorders>
                  <w:noWrap w:val="0"/>
                  <w:vAlign w:val="center"/>
                </w:tcPr>
                <w:p w14:paraId="654EF41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废水类别</w:t>
                  </w:r>
                </w:p>
              </w:tc>
              <w:tc>
                <w:tcPr>
                  <w:tcW w:w="507" w:type="pct"/>
                  <w:vMerge w:val="restart"/>
                  <w:tcBorders>
                    <w:tl2br w:val="nil"/>
                    <w:tr2bl w:val="nil"/>
                  </w:tcBorders>
                  <w:noWrap w:val="0"/>
                  <w:vAlign w:val="center"/>
                </w:tcPr>
                <w:p w14:paraId="45746A2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污染物种类</w:t>
                  </w:r>
                </w:p>
              </w:tc>
              <w:tc>
                <w:tcPr>
                  <w:tcW w:w="330" w:type="pct"/>
                  <w:vMerge w:val="restart"/>
                  <w:tcBorders>
                    <w:tl2br w:val="nil"/>
                    <w:tr2bl w:val="nil"/>
                  </w:tcBorders>
                  <w:noWrap w:val="0"/>
                  <w:vAlign w:val="center"/>
                </w:tcPr>
                <w:p w14:paraId="750AE9A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排放去向</w:t>
                  </w:r>
                </w:p>
              </w:tc>
              <w:tc>
                <w:tcPr>
                  <w:tcW w:w="324" w:type="pct"/>
                  <w:vMerge w:val="restart"/>
                  <w:tcBorders>
                    <w:tl2br w:val="nil"/>
                    <w:tr2bl w:val="nil"/>
                  </w:tcBorders>
                  <w:noWrap w:val="0"/>
                  <w:vAlign w:val="center"/>
                </w:tcPr>
                <w:p w14:paraId="3153D1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排放规律</w:t>
                  </w:r>
                </w:p>
              </w:tc>
              <w:tc>
                <w:tcPr>
                  <w:tcW w:w="1507" w:type="pct"/>
                  <w:gridSpan w:val="3"/>
                  <w:tcBorders>
                    <w:tl2br w:val="nil"/>
                    <w:tr2bl w:val="nil"/>
                  </w:tcBorders>
                  <w:noWrap w:val="0"/>
                  <w:vAlign w:val="center"/>
                </w:tcPr>
                <w:p w14:paraId="64CD9C6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污染治理设施</w:t>
                  </w:r>
                </w:p>
              </w:tc>
              <w:tc>
                <w:tcPr>
                  <w:tcW w:w="453" w:type="pct"/>
                  <w:vMerge w:val="restart"/>
                  <w:tcBorders>
                    <w:tl2br w:val="nil"/>
                    <w:tr2bl w:val="nil"/>
                  </w:tcBorders>
                  <w:noWrap w:val="0"/>
                  <w:vAlign w:val="center"/>
                </w:tcPr>
                <w:p w14:paraId="22943E6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排放口编号</w:t>
                  </w:r>
                </w:p>
              </w:tc>
              <w:tc>
                <w:tcPr>
                  <w:tcW w:w="697" w:type="pct"/>
                  <w:vMerge w:val="restart"/>
                  <w:tcBorders>
                    <w:tl2br w:val="nil"/>
                    <w:tr2bl w:val="nil"/>
                  </w:tcBorders>
                  <w:noWrap w:val="0"/>
                  <w:vAlign w:val="center"/>
                </w:tcPr>
                <w:p w14:paraId="37544CC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排放口设置是否符合要求</w:t>
                  </w:r>
                </w:p>
              </w:tc>
              <w:tc>
                <w:tcPr>
                  <w:tcW w:w="381" w:type="pct"/>
                  <w:vMerge w:val="restart"/>
                  <w:tcBorders>
                    <w:tl2br w:val="nil"/>
                    <w:tr2bl w:val="nil"/>
                  </w:tcBorders>
                  <w:noWrap w:val="0"/>
                  <w:vAlign w:val="center"/>
                </w:tcPr>
                <w:p w14:paraId="3D3472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排放口类型</w:t>
                  </w:r>
                </w:p>
              </w:tc>
            </w:tr>
            <w:tr w14:paraId="1E94D4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256" w:type="pct"/>
                  <w:vMerge w:val="continue"/>
                  <w:tcBorders>
                    <w:tl2br w:val="nil"/>
                    <w:tr2bl w:val="nil"/>
                  </w:tcBorders>
                  <w:noWrap w:val="0"/>
                  <w:vAlign w:val="center"/>
                </w:tcPr>
                <w:p w14:paraId="2B2DB13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p>
              </w:tc>
              <w:tc>
                <w:tcPr>
                  <w:tcW w:w="541" w:type="pct"/>
                  <w:vMerge w:val="continue"/>
                  <w:tcBorders>
                    <w:tl2br w:val="nil"/>
                    <w:tr2bl w:val="nil"/>
                  </w:tcBorders>
                  <w:noWrap w:val="0"/>
                  <w:vAlign w:val="center"/>
                </w:tcPr>
                <w:p w14:paraId="5F4BC3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p>
              </w:tc>
              <w:tc>
                <w:tcPr>
                  <w:tcW w:w="507" w:type="pct"/>
                  <w:vMerge w:val="continue"/>
                  <w:tcBorders>
                    <w:tl2br w:val="nil"/>
                    <w:tr2bl w:val="nil"/>
                  </w:tcBorders>
                  <w:noWrap w:val="0"/>
                  <w:vAlign w:val="center"/>
                </w:tcPr>
                <w:p w14:paraId="32E7A56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p>
              </w:tc>
              <w:tc>
                <w:tcPr>
                  <w:tcW w:w="330" w:type="pct"/>
                  <w:vMerge w:val="continue"/>
                  <w:tcBorders>
                    <w:tl2br w:val="nil"/>
                    <w:tr2bl w:val="nil"/>
                  </w:tcBorders>
                  <w:noWrap w:val="0"/>
                  <w:vAlign w:val="center"/>
                </w:tcPr>
                <w:p w14:paraId="1582E5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p>
              </w:tc>
              <w:tc>
                <w:tcPr>
                  <w:tcW w:w="324" w:type="pct"/>
                  <w:vMerge w:val="continue"/>
                  <w:tcBorders>
                    <w:tl2br w:val="nil"/>
                    <w:tr2bl w:val="nil"/>
                  </w:tcBorders>
                  <w:noWrap w:val="0"/>
                  <w:vAlign w:val="center"/>
                </w:tcPr>
                <w:p w14:paraId="222901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p>
              </w:tc>
              <w:tc>
                <w:tcPr>
                  <w:tcW w:w="502" w:type="pct"/>
                  <w:tcBorders>
                    <w:tl2br w:val="nil"/>
                    <w:tr2bl w:val="nil"/>
                  </w:tcBorders>
                  <w:noWrap w:val="0"/>
                  <w:vAlign w:val="center"/>
                </w:tcPr>
                <w:p w14:paraId="5C5EA02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污染治理设施编号</w:t>
                  </w:r>
                </w:p>
              </w:tc>
              <w:tc>
                <w:tcPr>
                  <w:tcW w:w="502" w:type="pct"/>
                  <w:tcBorders>
                    <w:tl2br w:val="nil"/>
                    <w:tr2bl w:val="nil"/>
                  </w:tcBorders>
                  <w:noWrap w:val="0"/>
                  <w:vAlign w:val="center"/>
                </w:tcPr>
                <w:p w14:paraId="7589D97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污染治理设施名称</w:t>
                  </w:r>
                </w:p>
              </w:tc>
              <w:tc>
                <w:tcPr>
                  <w:tcW w:w="502" w:type="pct"/>
                  <w:tcBorders>
                    <w:tl2br w:val="nil"/>
                    <w:tr2bl w:val="nil"/>
                  </w:tcBorders>
                  <w:noWrap w:val="0"/>
                  <w:vAlign w:val="center"/>
                </w:tcPr>
                <w:p w14:paraId="14A532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污染治理设施工艺</w:t>
                  </w:r>
                </w:p>
              </w:tc>
              <w:tc>
                <w:tcPr>
                  <w:tcW w:w="453" w:type="pct"/>
                  <w:vMerge w:val="continue"/>
                  <w:tcBorders>
                    <w:tl2br w:val="nil"/>
                    <w:tr2bl w:val="nil"/>
                  </w:tcBorders>
                  <w:noWrap w:val="0"/>
                  <w:vAlign w:val="center"/>
                </w:tcPr>
                <w:p w14:paraId="27E9AA0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p>
              </w:tc>
              <w:tc>
                <w:tcPr>
                  <w:tcW w:w="697" w:type="pct"/>
                  <w:vMerge w:val="continue"/>
                  <w:tcBorders>
                    <w:tl2br w:val="nil"/>
                    <w:tr2bl w:val="nil"/>
                  </w:tcBorders>
                  <w:noWrap w:val="0"/>
                  <w:vAlign w:val="center"/>
                </w:tcPr>
                <w:p w14:paraId="5AFF19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p>
              </w:tc>
              <w:tc>
                <w:tcPr>
                  <w:tcW w:w="381" w:type="pct"/>
                  <w:vMerge w:val="continue"/>
                  <w:tcBorders>
                    <w:tl2br w:val="nil"/>
                    <w:tr2bl w:val="nil"/>
                  </w:tcBorders>
                  <w:noWrap w:val="0"/>
                  <w:vAlign w:val="center"/>
                </w:tcPr>
                <w:p w14:paraId="19EB21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p>
              </w:tc>
            </w:tr>
            <w:tr w14:paraId="1C76E7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256" w:type="pct"/>
                  <w:tcBorders>
                    <w:tl2br w:val="nil"/>
                    <w:tr2bl w:val="nil"/>
                  </w:tcBorders>
                  <w:noWrap w:val="0"/>
                  <w:vAlign w:val="center"/>
                </w:tcPr>
                <w:p w14:paraId="05F924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000000"/>
                      <w:spacing w:val="0"/>
                      <w:kern w:val="0"/>
                      <w:sz w:val="21"/>
                      <w:szCs w:val="21"/>
                      <w:highlight w:val="none"/>
                      <w:lang w:val="en-US" w:eastAsia="zh-CN"/>
                    </w:rPr>
                  </w:pPr>
                  <w:r>
                    <w:rPr>
                      <w:rFonts w:hint="eastAsia" w:ascii="Times New Roman" w:hAnsi="Times New Roman" w:eastAsia="宋体" w:cs="Times New Roman"/>
                      <w:color w:val="000000"/>
                      <w:spacing w:val="0"/>
                      <w:kern w:val="0"/>
                      <w:sz w:val="21"/>
                      <w:szCs w:val="21"/>
                      <w:highlight w:val="none"/>
                      <w:lang w:val="en-US" w:eastAsia="zh-CN"/>
                    </w:rPr>
                    <w:t>1</w:t>
                  </w:r>
                </w:p>
              </w:tc>
              <w:tc>
                <w:tcPr>
                  <w:tcW w:w="541" w:type="pct"/>
                  <w:tcBorders>
                    <w:tl2br w:val="nil"/>
                    <w:tr2bl w:val="nil"/>
                  </w:tcBorders>
                  <w:noWrap w:val="0"/>
                  <w:vAlign w:val="center"/>
                </w:tcPr>
                <w:p w14:paraId="585EFB1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生活污水</w:t>
                  </w:r>
                </w:p>
              </w:tc>
              <w:tc>
                <w:tcPr>
                  <w:tcW w:w="507" w:type="pct"/>
                  <w:tcBorders>
                    <w:tl2br w:val="nil"/>
                    <w:tr2bl w:val="nil"/>
                  </w:tcBorders>
                  <w:noWrap w:val="0"/>
                  <w:vAlign w:val="center"/>
                </w:tcPr>
                <w:p w14:paraId="5B39A04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lang w:val="en-US"/>
                    </w:rPr>
                  </w:pPr>
                  <w:r>
                    <w:rPr>
                      <w:rFonts w:hint="default" w:ascii="Times New Roman" w:hAnsi="Times New Roman" w:eastAsia="宋体" w:cs="Times New Roman"/>
                      <w:color w:val="auto"/>
                      <w:kern w:val="2"/>
                      <w:sz w:val="21"/>
                      <w:szCs w:val="21"/>
                      <w:highlight w:val="none"/>
                      <w:vertAlign w:val="baseline"/>
                      <w:lang w:val="en-US" w:eastAsia="zh-CN" w:bidi="ar-SA"/>
                    </w:rPr>
                    <w:t>COD、</w:t>
                  </w:r>
                  <w:r>
                    <w:rPr>
                      <w:rFonts w:hint="eastAsia" w:cs="Times New Roman"/>
                      <w:color w:val="auto"/>
                      <w:kern w:val="2"/>
                      <w:sz w:val="21"/>
                      <w:szCs w:val="21"/>
                      <w:highlight w:val="none"/>
                      <w:vertAlign w:val="baseline"/>
                      <w:lang w:val="en-US" w:eastAsia="zh-CN" w:bidi="ar-SA"/>
                    </w:rPr>
                    <w:t>BOD、</w:t>
                  </w:r>
                  <w:r>
                    <w:rPr>
                      <w:rFonts w:hint="default" w:ascii="Times New Roman" w:hAnsi="Times New Roman" w:eastAsia="宋体" w:cs="Times New Roman"/>
                      <w:color w:val="auto"/>
                      <w:kern w:val="2"/>
                      <w:sz w:val="21"/>
                      <w:szCs w:val="21"/>
                      <w:highlight w:val="none"/>
                      <w:vertAlign w:val="baseline"/>
                      <w:lang w:val="en-US" w:eastAsia="zh-CN" w:bidi="ar-SA"/>
                    </w:rPr>
                    <w:t>NH</w:t>
                  </w:r>
                  <w:r>
                    <w:rPr>
                      <w:rFonts w:hint="default" w:ascii="Times New Roman" w:hAnsi="Times New Roman" w:eastAsia="宋体" w:cs="Times New Roman"/>
                      <w:color w:val="auto"/>
                      <w:kern w:val="2"/>
                      <w:sz w:val="21"/>
                      <w:szCs w:val="21"/>
                      <w:highlight w:val="none"/>
                      <w:vertAlign w:val="subscript"/>
                      <w:lang w:val="en-US" w:eastAsia="zh-CN" w:bidi="ar-SA"/>
                    </w:rPr>
                    <w:t>3</w:t>
                  </w:r>
                  <w:r>
                    <w:rPr>
                      <w:rFonts w:hint="default" w:ascii="Times New Roman" w:hAnsi="Times New Roman" w:eastAsia="宋体" w:cs="Times New Roman"/>
                      <w:color w:val="auto"/>
                      <w:kern w:val="2"/>
                      <w:sz w:val="21"/>
                      <w:szCs w:val="21"/>
                      <w:highlight w:val="none"/>
                      <w:vertAlign w:val="baseline"/>
                      <w:lang w:val="en-US" w:eastAsia="zh-CN" w:bidi="ar-SA"/>
                    </w:rPr>
                    <w:t>-N、SS</w:t>
                  </w:r>
                  <w:r>
                    <w:rPr>
                      <w:rFonts w:hint="eastAsia" w:ascii="Times New Roman" w:hAnsi="Times New Roman" w:eastAsia="宋体" w:cs="Times New Roman"/>
                      <w:color w:val="auto"/>
                      <w:kern w:val="2"/>
                      <w:sz w:val="21"/>
                      <w:szCs w:val="21"/>
                      <w:highlight w:val="none"/>
                      <w:vertAlign w:val="baseline"/>
                      <w:lang w:val="en-US" w:eastAsia="zh-CN" w:bidi="ar-SA"/>
                    </w:rPr>
                    <w:t>、</w:t>
                  </w:r>
                  <w:r>
                    <w:rPr>
                      <w:rFonts w:hint="eastAsia" w:cs="Times New Roman"/>
                      <w:color w:val="000000"/>
                      <w:spacing w:val="0"/>
                      <w:kern w:val="0"/>
                      <w:sz w:val="21"/>
                      <w:szCs w:val="21"/>
                      <w:highlight w:val="none"/>
                      <w:lang w:val="en-US" w:eastAsia="zh-CN"/>
                    </w:rPr>
                    <w:t>pH</w:t>
                  </w:r>
                </w:p>
              </w:tc>
              <w:tc>
                <w:tcPr>
                  <w:tcW w:w="330" w:type="pct"/>
                  <w:tcBorders>
                    <w:tl2br w:val="nil"/>
                    <w:tr2bl w:val="nil"/>
                  </w:tcBorders>
                  <w:noWrap w:val="0"/>
                  <w:vAlign w:val="center"/>
                </w:tcPr>
                <w:p w14:paraId="5FE4182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lang w:val="en-US" w:eastAsia="zh-CN"/>
                    </w:rPr>
                  </w:pPr>
                  <w:r>
                    <w:rPr>
                      <w:rFonts w:hint="eastAsia" w:ascii="Times New Roman" w:hAnsi="Times New Roman" w:eastAsia="宋体" w:cs="Times New Roman"/>
                      <w:color w:val="000000"/>
                      <w:spacing w:val="0"/>
                      <w:kern w:val="0"/>
                      <w:sz w:val="21"/>
                      <w:szCs w:val="21"/>
                      <w:highlight w:val="none"/>
                      <w:lang w:val="en-US" w:eastAsia="zh-CN"/>
                    </w:rPr>
                    <w:t>排入园区污水管网</w:t>
                  </w:r>
                </w:p>
              </w:tc>
              <w:tc>
                <w:tcPr>
                  <w:tcW w:w="324" w:type="pct"/>
                  <w:tcBorders>
                    <w:tl2br w:val="nil"/>
                    <w:tr2bl w:val="nil"/>
                  </w:tcBorders>
                  <w:noWrap w:val="0"/>
                  <w:vAlign w:val="center"/>
                </w:tcPr>
                <w:p w14:paraId="0E0DEA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w:t>
                  </w:r>
                </w:p>
              </w:tc>
              <w:tc>
                <w:tcPr>
                  <w:tcW w:w="502" w:type="pct"/>
                  <w:tcBorders>
                    <w:tl2br w:val="nil"/>
                    <w:tr2bl w:val="nil"/>
                  </w:tcBorders>
                  <w:noWrap w:val="0"/>
                  <w:vAlign w:val="center"/>
                </w:tcPr>
                <w:p w14:paraId="1E94CFF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w:t>
                  </w:r>
                </w:p>
              </w:tc>
              <w:tc>
                <w:tcPr>
                  <w:tcW w:w="502" w:type="pct"/>
                  <w:tcBorders>
                    <w:tl2br w:val="nil"/>
                    <w:tr2bl w:val="nil"/>
                  </w:tcBorders>
                  <w:noWrap w:val="0"/>
                  <w:vAlign w:val="center"/>
                </w:tcPr>
                <w:p w14:paraId="78C3F38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w:t>
                  </w:r>
                </w:p>
              </w:tc>
              <w:tc>
                <w:tcPr>
                  <w:tcW w:w="502" w:type="pct"/>
                  <w:tcBorders>
                    <w:tl2br w:val="nil"/>
                    <w:tr2bl w:val="nil"/>
                  </w:tcBorders>
                  <w:noWrap w:val="0"/>
                  <w:vAlign w:val="center"/>
                </w:tcPr>
                <w:p w14:paraId="1B962FC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t>/</w:t>
                  </w:r>
                </w:p>
              </w:tc>
              <w:tc>
                <w:tcPr>
                  <w:tcW w:w="453" w:type="pct"/>
                  <w:tcBorders>
                    <w:tl2br w:val="nil"/>
                    <w:tr2bl w:val="nil"/>
                  </w:tcBorders>
                  <w:noWrap w:val="0"/>
                  <w:vAlign w:val="center"/>
                </w:tcPr>
                <w:p w14:paraId="65D6ECD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lang w:val="en-US" w:eastAsia="zh-CN"/>
                    </w:rPr>
                  </w:pPr>
                  <w:r>
                    <w:rPr>
                      <w:rFonts w:hint="eastAsia" w:ascii="Times New Roman" w:hAnsi="Times New Roman" w:eastAsia="宋体" w:cs="Times New Roman"/>
                      <w:color w:val="000000"/>
                      <w:spacing w:val="0"/>
                      <w:kern w:val="0"/>
                      <w:sz w:val="21"/>
                      <w:szCs w:val="21"/>
                      <w:highlight w:val="none"/>
                      <w:lang w:val="en-US" w:eastAsia="zh-CN"/>
                    </w:rPr>
                    <w:t>DW001</w:t>
                  </w:r>
                </w:p>
              </w:tc>
              <w:tc>
                <w:tcPr>
                  <w:tcW w:w="697" w:type="pct"/>
                  <w:tcBorders>
                    <w:tl2br w:val="nil"/>
                    <w:tr2bl w:val="nil"/>
                  </w:tcBorders>
                  <w:noWrap w:val="0"/>
                  <w:vAlign w:val="center"/>
                </w:tcPr>
                <w:p w14:paraId="0DD7DD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sym w:font="Wingdings 2" w:char="0052"/>
                  </w:r>
                  <w:r>
                    <w:rPr>
                      <w:rFonts w:hint="default" w:ascii="Times New Roman" w:hAnsi="Times New Roman" w:eastAsia="宋体" w:cs="Times New Roman"/>
                      <w:color w:val="000000"/>
                      <w:spacing w:val="0"/>
                      <w:kern w:val="0"/>
                      <w:sz w:val="21"/>
                      <w:szCs w:val="21"/>
                      <w:highlight w:val="none"/>
                    </w:rPr>
                    <w:t>是</w:t>
                  </w:r>
                </w:p>
                <w:p w14:paraId="23C56A6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rPr>
                  </w:pPr>
                  <w:r>
                    <w:rPr>
                      <w:rFonts w:hint="default" w:ascii="Times New Roman" w:hAnsi="Times New Roman" w:eastAsia="宋体" w:cs="Times New Roman"/>
                      <w:color w:val="000000"/>
                      <w:spacing w:val="0"/>
                      <w:kern w:val="0"/>
                      <w:sz w:val="21"/>
                      <w:szCs w:val="21"/>
                      <w:highlight w:val="none"/>
                    </w:rPr>
                    <w:sym w:font="Wingdings 2" w:char="00A3"/>
                  </w:r>
                  <w:r>
                    <w:rPr>
                      <w:rFonts w:hint="default" w:ascii="Times New Roman" w:hAnsi="Times New Roman" w:eastAsia="宋体" w:cs="Times New Roman"/>
                      <w:color w:val="000000"/>
                      <w:spacing w:val="0"/>
                      <w:kern w:val="0"/>
                      <w:sz w:val="21"/>
                      <w:szCs w:val="21"/>
                      <w:highlight w:val="none"/>
                    </w:rPr>
                    <w:t>否</w:t>
                  </w:r>
                </w:p>
              </w:tc>
              <w:tc>
                <w:tcPr>
                  <w:tcW w:w="381" w:type="pct"/>
                  <w:tcBorders>
                    <w:tl2br w:val="nil"/>
                    <w:tr2bl w:val="nil"/>
                  </w:tcBorders>
                  <w:noWrap w:val="0"/>
                  <w:vAlign w:val="center"/>
                </w:tcPr>
                <w:p w14:paraId="0ECE86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pacing w:val="0"/>
                      <w:kern w:val="0"/>
                      <w:sz w:val="21"/>
                      <w:szCs w:val="21"/>
                      <w:highlight w:val="none"/>
                      <w:lang w:val="en-US" w:eastAsia="zh-CN"/>
                    </w:rPr>
                  </w:pPr>
                  <w:r>
                    <w:rPr>
                      <w:rFonts w:hint="eastAsia" w:ascii="Times New Roman" w:hAnsi="Times New Roman" w:eastAsia="宋体" w:cs="Times New Roman"/>
                      <w:color w:val="000000"/>
                      <w:spacing w:val="0"/>
                      <w:kern w:val="0"/>
                      <w:sz w:val="21"/>
                      <w:szCs w:val="21"/>
                      <w:highlight w:val="none"/>
                      <w:lang w:val="en-US" w:eastAsia="zh-CN"/>
                    </w:rPr>
                    <w:t>一般排放口</w:t>
                  </w:r>
                </w:p>
              </w:tc>
            </w:tr>
          </w:tbl>
          <w:p w14:paraId="7A689083">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2.3 监测要求</w:t>
            </w:r>
          </w:p>
          <w:p w14:paraId="26E9D3C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根据《排污单位自行监测技术指南-总则》（HJ819-2017）、《排污单位自行监测技术指南 电子工业》（HJ1253-2022），本项目废水污染源监测点位、监测因子与监测频率见表4-</w:t>
            </w:r>
            <w:r>
              <w:rPr>
                <w:rFonts w:hint="eastAsia" w:cs="Times New Roman"/>
                <w:color w:val="auto"/>
                <w:kern w:val="2"/>
                <w:sz w:val="24"/>
                <w:szCs w:val="24"/>
                <w:highlight w:val="none"/>
                <w:lang w:val="en-US" w:eastAsia="zh-CN" w:bidi="ar-SA"/>
              </w:rPr>
              <w:t>11</w:t>
            </w:r>
            <w:r>
              <w:rPr>
                <w:rFonts w:hint="eastAsia" w:ascii="Times New Roman" w:hAnsi="Times New Roman" w:eastAsia="宋体" w:cs="Times New Roman"/>
                <w:color w:val="auto"/>
                <w:kern w:val="2"/>
                <w:sz w:val="24"/>
                <w:szCs w:val="24"/>
                <w:highlight w:val="none"/>
                <w:lang w:val="en-US" w:eastAsia="zh-CN" w:bidi="ar-SA"/>
              </w:rPr>
              <w:t>。</w:t>
            </w:r>
          </w:p>
          <w:p w14:paraId="36C3259C">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w:t>
            </w:r>
            <w:r>
              <w:rPr>
                <w:rFonts w:hint="eastAsia" w:cs="Times New Roman"/>
                <w:b/>
                <w:bCs/>
                <w:color w:val="000000"/>
                <w:kern w:val="2"/>
                <w:sz w:val="21"/>
                <w:szCs w:val="21"/>
                <w:highlight w:val="none"/>
                <w:lang w:val="en-US" w:eastAsia="zh-CN" w:bidi="ar-SA"/>
              </w:rPr>
              <w:t>11</w:t>
            </w:r>
            <w:r>
              <w:rPr>
                <w:rFonts w:hint="eastAsia" w:ascii="Times New Roman" w:hAnsi="Times New Roman" w:eastAsia="宋体" w:cs="Times New Roman"/>
                <w:b/>
                <w:bCs/>
                <w:color w:val="000000"/>
                <w:kern w:val="2"/>
                <w:sz w:val="21"/>
                <w:szCs w:val="21"/>
                <w:highlight w:val="none"/>
                <w:lang w:val="en-US" w:eastAsia="zh-CN" w:bidi="ar-SA"/>
              </w:rPr>
              <w:t xml:space="preserve">  水污染物监测计划</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29"/>
              <w:gridCol w:w="897"/>
              <w:gridCol w:w="3448"/>
              <w:gridCol w:w="830"/>
              <w:gridCol w:w="1942"/>
            </w:tblGrid>
            <w:tr w14:paraId="639657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29" w:type="dxa"/>
                  <w:tcBorders>
                    <w:tl2br w:val="nil"/>
                    <w:tr2bl w:val="nil"/>
                  </w:tcBorders>
                  <w:noWrap w:val="0"/>
                  <w:vAlign w:val="center"/>
                </w:tcPr>
                <w:p w14:paraId="1E171786">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rPr>
                  </w:pPr>
                  <w:r>
                    <w:rPr>
                      <w:rFonts w:hint="default" w:ascii="Times New Roman" w:hAnsi="Times New Roman" w:eastAsia="宋体" w:cs="Times New Roman"/>
                      <w:bCs/>
                      <w:color w:val="000000"/>
                      <w:spacing w:val="4"/>
                      <w:sz w:val="21"/>
                      <w:szCs w:val="21"/>
                      <w:highlight w:val="none"/>
                    </w:rPr>
                    <w:t>环境要素</w:t>
                  </w:r>
                </w:p>
              </w:tc>
              <w:tc>
                <w:tcPr>
                  <w:tcW w:w="897" w:type="dxa"/>
                  <w:tcBorders>
                    <w:tl2br w:val="nil"/>
                    <w:tr2bl w:val="nil"/>
                  </w:tcBorders>
                  <w:noWrap w:val="0"/>
                  <w:vAlign w:val="center"/>
                </w:tcPr>
                <w:p w14:paraId="4F952295">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rPr>
                  </w:pPr>
                  <w:r>
                    <w:rPr>
                      <w:rFonts w:hint="default" w:ascii="Times New Roman" w:hAnsi="Times New Roman" w:eastAsia="宋体" w:cs="Times New Roman"/>
                      <w:bCs/>
                      <w:color w:val="000000"/>
                      <w:spacing w:val="4"/>
                      <w:sz w:val="21"/>
                      <w:szCs w:val="21"/>
                      <w:highlight w:val="none"/>
                    </w:rPr>
                    <w:t>监测位置</w:t>
                  </w:r>
                </w:p>
              </w:tc>
              <w:tc>
                <w:tcPr>
                  <w:tcW w:w="3448" w:type="dxa"/>
                  <w:tcBorders>
                    <w:tl2br w:val="nil"/>
                    <w:tr2bl w:val="nil"/>
                  </w:tcBorders>
                  <w:noWrap w:val="0"/>
                  <w:vAlign w:val="center"/>
                </w:tcPr>
                <w:p w14:paraId="4A7600F5">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rPr>
                  </w:pPr>
                  <w:r>
                    <w:rPr>
                      <w:rFonts w:hint="default" w:ascii="Times New Roman" w:hAnsi="Times New Roman" w:eastAsia="宋体" w:cs="Times New Roman"/>
                      <w:bCs/>
                      <w:color w:val="000000"/>
                      <w:spacing w:val="4"/>
                      <w:sz w:val="21"/>
                      <w:szCs w:val="21"/>
                      <w:highlight w:val="none"/>
                    </w:rPr>
                    <w:t>监测项目</w:t>
                  </w:r>
                </w:p>
              </w:tc>
              <w:tc>
                <w:tcPr>
                  <w:tcW w:w="830" w:type="dxa"/>
                  <w:tcBorders>
                    <w:tl2br w:val="nil"/>
                    <w:tr2bl w:val="nil"/>
                  </w:tcBorders>
                  <w:noWrap w:val="0"/>
                  <w:vAlign w:val="center"/>
                </w:tcPr>
                <w:p w14:paraId="0A8212C7">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rPr>
                  </w:pPr>
                  <w:r>
                    <w:rPr>
                      <w:rFonts w:hint="default" w:ascii="Times New Roman" w:hAnsi="Times New Roman" w:eastAsia="宋体" w:cs="Times New Roman"/>
                      <w:bCs/>
                      <w:color w:val="000000"/>
                      <w:spacing w:val="4"/>
                      <w:sz w:val="21"/>
                      <w:szCs w:val="21"/>
                      <w:highlight w:val="none"/>
                    </w:rPr>
                    <w:t>监测频率</w:t>
                  </w:r>
                </w:p>
              </w:tc>
              <w:tc>
                <w:tcPr>
                  <w:tcW w:w="1942" w:type="dxa"/>
                  <w:tcBorders>
                    <w:tl2br w:val="nil"/>
                    <w:tr2bl w:val="nil"/>
                  </w:tcBorders>
                  <w:noWrap w:val="0"/>
                  <w:vAlign w:val="center"/>
                </w:tcPr>
                <w:p w14:paraId="5A8AD11A">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rPr>
                  </w:pPr>
                  <w:r>
                    <w:rPr>
                      <w:rFonts w:hint="default" w:ascii="Times New Roman" w:hAnsi="Times New Roman" w:eastAsia="宋体" w:cs="Times New Roman"/>
                      <w:bCs/>
                      <w:color w:val="000000"/>
                      <w:spacing w:val="4"/>
                      <w:sz w:val="21"/>
                      <w:szCs w:val="21"/>
                      <w:highlight w:val="none"/>
                    </w:rPr>
                    <w:t>监测单位</w:t>
                  </w:r>
                </w:p>
              </w:tc>
            </w:tr>
            <w:tr w14:paraId="6AF54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29" w:type="dxa"/>
                  <w:tcBorders>
                    <w:tl2br w:val="nil"/>
                    <w:tr2bl w:val="nil"/>
                  </w:tcBorders>
                  <w:noWrap w:val="0"/>
                  <w:vAlign w:val="center"/>
                </w:tcPr>
                <w:p w14:paraId="008BB8F0">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rPr>
                  </w:pPr>
                  <w:r>
                    <w:rPr>
                      <w:rFonts w:hint="default" w:ascii="Times New Roman" w:hAnsi="Times New Roman" w:eastAsia="宋体" w:cs="Times New Roman"/>
                      <w:bCs/>
                      <w:color w:val="000000"/>
                      <w:spacing w:val="4"/>
                      <w:sz w:val="21"/>
                      <w:szCs w:val="21"/>
                      <w:highlight w:val="none"/>
                    </w:rPr>
                    <w:t>废水</w:t>
                  </w:r>
                </w:p>
              </w:tc>
              <w:tc>
                <w:tcPr>
                  <w:tcW w:w="897" w:type="dxa"/>
                  <w:tcBorders>
                    <w:tl2br w:val="nil"/>
                    <w:tr2bl w:val="nil"/>
                  </w:tcBorders>
                  <w:noWrap w:val="0"/>
                  <w:vAlign w:val="center"/>
                </w:tcPr>
                <w:p w14:paraId="1BE9F8AD">
                  <w:pPr>
                    <w:adjustRightInd/>
                    <w:spacing w:line="280" w:lineRule="exact"/>
                    <w:jc w:val="center"/>
                    <w:textAlignment w:val="auto"/>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DW001</w:t>
                  </w:r>
                </w:p>
              </w:tc>
              <w:tc>
                <w:tcPr>
                  <w:tcW w:w="3448" w:type="dxa"/>
                  <w:tcBorders>
                    <w:tl2br w:val="nil"/>
                    <w:tr2bl w:val="nil"/>
                  </w:tcBorders>
                  <w:noWrap w:val="0"/>
                  <w:vAlign w:val="center"/>
                </w:tcPr>
                <w:p w14:paraId="3D7DA5E4">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ar-SA"/>
                    </w:rPr>
                    <w:t>COD、</w:t>
                  </w:r>
                  <w:r>
                    <w:rPr>
                      <w:rFonts w:hint="eastAsia" w:cs="Times New Roman"/>
                      <w:color w:val="auto"/>
                      <w:kern w:val="2"/>
                      <w:sz w:val="21"/>
                      <w:szCs w:val="21"/>
                      <w:highlight w:val="none"/>
                      <w:vertAlign w:val="baseline"/>
                      <w:lang w:val="en-US" w:eastAsia="zh-CN" w:bidi="ar-SA"/>
                    </w:rPr>
                    <w:t>BOD、</w:t>
                  </w:r>
                  <w:r>
                    <w:rPr>
                      <w:rFonts w:hint="default" w:ascii="Times New Roman" w:hAnsi="Times New Roman" w:eastAsia="宋体" w:cs="Times New Roman"/>
                      <w:color w:val="auto"/>
                      <w:kern w:val="2"/>
                      <w:sz w:val="21"/>
                      <w:szCs w:val="21"/>
                      <w:highlight w:val="none"/>
                      <w:vertAlign w:val="baseline"/>
                      <w:lang w:val="en-US" w:eastAsia="zh-CN" w:bidi="ar-SA"/>
                    </w:rPr>
                    <w:t>NH</w:t>
                  </w:r>
                  <w:r>
                    <w:rPr>
                      <w:rFonts w:hint="default" w:ascii="Times New Roman" w:hAnsi="Times New Roman" w:eastAsia="宋体" w:cs="Times New Roman"/>
                      <w:color w:val="auto"/>
                      <w:kern w:val="2"/>
                      <w:sz w:val="21"/>
                      <w:szCs w:val="21"/>
                      <w:highlight w:val="none"/>
                      <w:vertAlign w:val="subscript"/>
                      <w:lang w:val="en-US" w:eastAsia="zh-CN" w:bidi="ar-SA"/>
                    </w:rPr>
                    <w:t>3</w:t>
                  </w:r>
                  <w:r>
                    <w:rPr>
                      <w:rFonts w:hint="default" w:ascii="Times New Roman" w:hAnsi="Times New Roman" w:eastAsia="宋体" w:cs="Times New Roman"/>
                      <w:color w:val="auto"/>
                      <w:kern w:val="2"/>
                      <w:sz w:val="21"/>
                      <w:szCs w:val="21"/>
                      <w:highlight w:val="none"/>
                      <w:vertAlign w:val="baseline"/>
                      <w:lang w:val="en-US" w:eastAsia="zh-CN" w:bidi="ar-SA"/>
                    </w:rPr>
                    <w:t>-N、SS</w:t>
                  </w:r>
                  <w:r>
                    <w:rPr>
                      <w:rFonts w:hint="eastAsia" w:ascii="Times New Roman" w:hAnsi="Times New Roman" w:eastAsia="宋体" w:cs="Times New Roman"/>
                      <w:color w:val="auto"/>
                      <w:kern w:val="2"/>
                      <w:sz w:val="21"/>
                      <w:szCs w:val="21"/>
                      <w:highlight w:val="none"/>
                      <w:vertAlign w:val="baseline"/>
                      <w:lang w:val="en-US" w:eastAsia="zh-CN" w:bidi="ar-SA"/>
                    </w:rPr>
                    <w:t>、</w:t>
                  </w:r>
                  <w:r>
                    <w:rPr>
                      <w:rFonts w:hint="eastAsia" w:cs="Times New Roman"/>
                      <w:color w:val="000000"/>
                      <w:spacing w:val="0"/>
                      <w:kern w:val="0"/>
                      <w:sz w:val="21"/>
                      <w:szCs w:val="21"/>
                      <w:highlight w:val="none"/>
                      <w:lang w:val="en-US" w:eastAsia="zh-CN"/>
                    </w:rPr>
                    <w:t>pH</w:t>
                  </w:r>
                </w:p>
              </w:tc>
              <w:tc>
                <w:tcPr>
                  <w:tcW w:w="830" w:type="dxa"/>
                  <w:tcBorders>
                    <w:tl2br w:val="nil"/>
                    <w:tr2bl w:val="nil"/>
                  </w:tcBorders>
                  <w:noWrap w:val="0"/>
                  <w:vAlign w:val="center"/>
                </w:tcPr>
                <w:p w14:paraId="3B0E9035">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rPr>
                  </w:pPr>
                  <w:r>
                    <w:rPr>
                      <w:rFonts w:hint="eastAsia" w:ascii="Times New Roman" w:hAnsi="Times New Roman" w:eastAsia="宋体" w:cs="Times New Roman"/>
                      <w:bCs/>
                      <w:color w:val="000000"/>
                      <w:sz w:val="21"/>
                      <w:szCs w:val="21"/>
                      <w:highlight w:val="none"/>
                      <w:lang w:val="en-US" w:eastAsia="zh-CN"/>
                    </w:rPr>
                    <w:t>每</w:t>
                  </w:r>
                  <w:r>
                    <w:rPr>
                      <w:rFonts w:hint="default" w:ascii="Times New Roman" w:hAnsi="Times New Roman" w:eastAsia="宋体" w:cs="Times New Roman"/>
                      <w:bCs/>
                      <w:color w:val="000000"/>
                      <w:sz w:val="21"/>
                      <w:szCs w:val="21"/>
                      <w:highlight w:val="none"/>
                    </w:rPr>
                    <w:t>年一次</w:t>
                  </w:r>
                </w:p>
              </w:tc>
              <w:tc>
                <w:tcPr>
                  <w:tcW w:w="1942" w:type="dxa"/>
                  <w:tcBorders>
                    <w:tl2br w:val="nil"/>
                    <w:tr2bl w:val="nil"/>
                  </w:tcBorders>
                  <w:noWrap w:val="0"/>
                  <w:vAlign w:val="center"/>
                </w:tcPr>
                <w:p w14:paraId="283DD496">
                  <w:pPr>
                    <w:tabs>
                      <w:tab w:val="left" w:pos="900"/>
                    </w:tabs>
                    <w:adjustRightInd/>
                    <w:spacing w:line="280" w:lineRule="exact"/>
                    <w:jc w:val="center"/>
                    <w:textAlignment w:val="auto"/>
                    <w:rPr>
                      <w:rFonts w:hint="default" w:ascii="Times New Roman" w:hAnsi="Times New Roman" w:eastAsia="宋体" w:cs="Times New Roman"/>
                      <w:bCs/>
                      <w:color w:val="000000"/>
                      <w:spacing w:val="4"/>
                      <w:sz w:val="21"/>
                      <w:szCs w:val="21"/>
                      <w:highlight w:val="none"/>
                    </w:rPr>
                  </w:pPr>
                  <w:r>
                    <w:rPr>
                      <w:rFonts w:hint="default" w:ascii="Times New Roman" w:hAnsi="Times New Roman" w:eastAsia="宋体" w:cs="Times New Roman"/>
                      <w:bCs/>
                      <w:color w:val="000000"/>
                      <w:spacing w:val="4"/>
                      <w:sz w:val="21"/>
                      <w:szCs w:val="21"/>
                      <w:highlight w:val="none"/>
                    </w:rPr>
                    <w:t>委托有资质的监测机构</w:t>
                  </w:r>
                </w:p>
              </w:tc>
            </w:tr>
          </w:tbl>
          <w:p w14:paraId="68A24FC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47F3BFD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209617F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6E92FB8F">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41C3665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7372133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6DF94D7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2230EBD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659AAC5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7B563BBF">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3ACBE58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4283D47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3976D70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663C743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38631F8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7B17BFF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23ADD53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2A52307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1591EDC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738DB51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30D814B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5DD3CC0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tc>
      </w:tr>
    </w:tbl>
    <w:p w14:paraId="17C39C3F">
      <w:pPr>
        <w:rPr>
          <w:highlight w:val="none"/>
        </w:rPr>
        <w:sectPr>
          <w:pgSz w:w="11907" w:h="16840"/>
          <w:pgMar w:top="1701" w:right="1531" w:bottom="2127" w:left="1531" w:header="851" w:footer="1757" w:gutter="0"/>
          <w:pgBorders>
            <w:top w:val="none" w:sz="0" w:space="0"/>
            <w:left w:val="none" w:sz="0" w:space="0"/>
            <w:bottom w:val="none" w:sz="0" w:space="0"/>
            <w:right w:val="none" w:sz="0" w:space="0"/>
          </w:pgBorders>
          <w:pgNumType w:fmt="decimal"/>
          <w:cols w:space="720" w:num="1"/>
          <w:docGrid w:linePitch="312" w:charSpace="0"/>
        </w:sectPr>
      </w:pPr>
    </w:p>
    <w:tbl>
      <w:tblPr>
        <w:tblStyle w:val="22"/>
        <w:tblW w:w="505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3655"/>
      </w:tblGrid>
      <w:tr w14:paraId="0C3420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9" w:hRule="atLeast"/>
          <w:jc w:val="center"/>
        </w:trPr>
        <w:tc>
          <w:tcPr>
            <w:tcW w:w="647" w:type="dxa"/>
            <w:noWrap w:val="0"/>
            <w:tcMar>
              <w:left w:w="28" w:type="dxa"/>
              <w:right w:w="28" w:type="dxa"/>
            </w:tcMar>
            <w:vAlign w:val="center"/>
          </w:tcPr>
          <w:p w14:paraId="63EF72E2">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运营</w:t>
            </w:r>
          </w:p>
          <w:p w14:paraId="7E0979B8">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期环</w:t>
            </w:r>
          </w:p>
          <w:p w14:paraId="1A7A66CA">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境影</w:t>
            </w:r>
          </w:p>
          <w:p w14:paraId="4D25CDA4">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响和</w:t>
            </w:r>
          </w:p>
          <w:p w14:paraId="5EE675A6">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保护</w:t>
            </w:r>
          </w:p>
          <w:p w14:paraId="1BB0006C">
            <w:pPr>
              <w:adjustRightInd w:val="0"/>
              <w:snapToGrid w:val="0"/>
              <w:jc w:val="center"/>
              <w:rPr>
                <w:rFonts w:hint="eastAsia" w:ascii="宋体" w:hAnsi="宋体" w:cs="宋体"/>
                <w:bCs/>
                <w:szCs w:val="21"/>
                <w:highlight w:val="none"/>
              </w:rPr>
            </w:pPr>
            <w:r>
              <w:rPr>
                <w:rFonts w:hint="eastAsia" w:ascii="宋体" w:hAnsi="宋体" w:cs="宋体"/>
                <w:bCs/>
                <w:szCs w:val="21"/>
                <w:highlight w:val="none"/>
              </w:rPr>
              <w:t>措施</w:t>
            </w:r>
          </w:p>
        </w:tc>
        <w:tc>
          <w:tcPr>
            <w:tcW w:w="13580" w:type="dxa"/>
            <w:noWrap w:val="0"/>
            <w:vAlign w:val="center"/>
          </w:tcPr>
          <w:p w14:paraId="1D6A0CA1">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三、噪声</w:t>
            </w:r>
          </w:p>
          <w:p w14:paraId="159532D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3.1 噪声产生情况和治理措施</w:t>
            </w:r>
          </w:p>
          <w:p w14:paraId="32D243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w:t>
            </w:r>
            <w:r>
              <w:rPr>
                <w:rFonts w:hint="eastAsia" w:cs="Times New Roman"/>
                <w:b/>
                <w:bCs/>
                <w:color w:val="000000"/>
                <w:kern w:val="2"/>
                <w:sz w:val="21"/>
                <w:szCs w:val="21"/>
                <w:highlight w:val="none"/>
                <w:lang w:val="en-US" w:eastAsia="zh-CN" w:bidi="ar-SA"/>
              </w:rPr>
              <w:t>12</w:t>
            </w:r>
            <w:r>
              <w:rPr>
                <w:rFonts w:hint="eastAsia" w:ascii="Times New Roman" w:hAnsi="Times New Roman" w:eastAsia="宋体" w:cs="Times New Roman"/>
                <w:b/>
                <w:bCs/>
                <w:color w:val="000000"/>
                <w:kern w:val="2"/>
                <w:sz w:val="21"/>
                <w:szCs w:val="21"/>
                <w:highlight w:val="none"/>
                <w:lang w:val="en-US" w:eastAsia="zh-CN" w:bidi="ar-SA"/>
              </w:rPr>
              <w:t xml:space="preserve">  项目工业企业噪声源调查清单（室内声源）</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25"/>
              <w:gridCol w:w="829"/>
              <w:gridCol w:w="2356"/>
              <w:gridCol w:w="1275"/>
              <w:gridCol w:w="765"/>
              <w:gridCol w:w="825"/>
              <w:gridCol w:w="540"/>
              <w:gridCol w:w="615"/>
              <w:gridCol w:w="510"/>
              <w:gridCol w:w="735"/>
              <w:gridCol w:w="945"/>
              <w:gridCol w:w="765"/>
              <w:gridCol w:w="900"/>
              <w:gridCol w:w="915"/>
              <w:gridCol w:w="842"/>
            </w:tblGrid>
            <w:tr w14:paraId="460771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vMerge w:val="restart"/>
                  <w:tcBorders>
                    <w:tl2br w:val="nil"/>
                    <w:tr2bl w:val="nil"/>
                  </w:tcBorders>
                  <w:noWrap w:val="0"/>
                  <w:vAlign w:val="center"/>
                </w:tcPr>
                <w:p w14:paraId="1DB5E5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序号</w:t>
                  </w:r>
                </w:p>
              </w:tc>
              <w:tc>
                <w:tcPr>
                  <w:tcW w:w="829" w:type="dxa"/>
                  <w:vMerge w:val="restart"/>
                  <w:tcBorders>
                    <w:tl2br w:val="nil"/>
                    <w:tr2bl w:val="nil"/>
                  </w:tcBorders>
                  <w:noWrap w:val="0"/>
                  <w:vAlign w:val="center"/>
                </w:tcPr>
                <w:p w14:paraId="2F1AC4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建筑物名称</w:t>
                  </w:r>
                </w:p>
              </w:tc>
              <w:tc>
                <w:tcPr>
                  <w:tcW w:w="2356" w:type="dxa"/>
                  <w:vMerge w:val="restart"/>
                  <w:tcBorders>
                    <w:tl2br w:val="nil"/>
                    <w:tr2bl w:val="nil"/>
                  </w:tcBorders>
                  <w:noWrap w:val="0"/>
                  <w:vAlign w:val="center"/>
                </w:tcPr>
                <w:p w14:paraId="639196A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声源名称</w:t>
                  </w:r>
                </w:p>
              </w:tc>
              <w:tc>
                <w:tcPr>
                  <w:tcW w:w="1275" w:type="dxa"/>
                  <w:vMerge w:val="restart"/>
                  <w:tcBorders>
                    <w:tl2br w:val="nil"/>
                    <w:tr2bl w:val="nil"/>
                  </w:tcBorders>
                  <w:noWrap w:val="0"/>
                  <w:vAlign w:val="center"/>
                </w:tcPr>
                <w:p w14:paraId="65FE4F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型号</w:t>
                  </w:r>
                </w:p>
              </w:tc>
              <w:tc>
                <w:tcPr>
                  <w:tcW w:w="765" w:type="dxa"/>
                  <w:vMerge w:val="restart"/>
                  <w:tcBorders>
                    <w:tl2br w:val="nil"/>
                    <w:tr2bl w:val="nil"/>
                  </w:tcBorders>
                  <w:noWrap w:val="0"/>
                  <w:vAlign w:val="center"/>
                </w:tcPr>
                <w:p w14:paraId="43CC7CA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声</w:t>
                  </w:r>
                  <w:r>
                    <w:rPr>
                      <w:rFonts w:hint="default" w:ascii="Times New Roman" w:hAnsi="Times New Roman" w:eastAsia="宋体" w:cs="Times New Roman"/>
                      <w:sz w:val="21"/>
                      <w:szCs w:val="21"/>
                      <w:highlight w:val="none"/>
                      <w:lang w:val="en-US" w:eastAsia="zh-CN"/>
                    </w:rPr>
                    <w:t>功率级</w:t>
                  </w:r>
                  <w:r>
                    <w:rPr>
                      <w:rFonts w:hint="default" w:ascii="Times New Roman" w:hAnsi="Times New Roman" w:eastAsia="宋体" w:cs="Times New Roman"/>
                      <w:sz w:val="21"/>
                      <w:szCs w:val="21"/>
                      <w:highlight w:val="none"/>
                    </w:rPr>
                    <w:t>dB（A）</w:t>
                  </w:r>
                </w:p>
              </w:tc>
              <w:tc>
                <w:tcPr>
                  <w:tcW w:w="825" w:type="dxa"/>
                  <w:vMerge w:val="restart"/>
                  <w:tcBorders>
                    <w:tl2br w:val="nil"/>
                    <w:tr2bl w:val="nil"/>
                  </w:tcBorders>
                  <w:noWrap w:val="0"/>
                  <w:vAlign w:val="center"/>
                </w:tcPr>
                <w:p w14:paraId="3A46834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声源控制措施</w:t>
                  </w:r>
                </w:p>
              </w:tc>
              <w:tc>
                <w:tcPr>
                  <w:tcW w:w="1665" w:type="dxa"/>
                  <w:gridSpan w:val="3"/>
                  <w:tcBorders>
                    <w:tl2br w:val="nil"/>
                    <w:tr2bl w:val="nil"/>
                  </w:tcBorders>
                  <w:noWrap w:val="0"/>
                  <w:vAlign w:val="center"/>
                </w:tcPr>
                <w:p w14:paraId="1934AD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空间相对位置/m</w:t>
                  </w:r>
                </w:p>
              </w:tc>
              <w:tc>
                <w:tcPr>
                  <w:tcW w:w="735" w:type="dxa"/>
                  <w:vMerge w:val="restart"/>
                  <w:tcBorders>
                    <w:tl2br w:val="nil"/>
                    <w:tr2bl w:val="nil"/>
                  </w:tcBorders>
                  <w:noWrap w:val="0"/>
                  <w:vAlign w:val="center"/>
                </w:tcPr>
                <w:p w14:paraId="62881FC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距室内边界距离/m</w:t>
                  </w:r>
                </w:p>
              </w:tc>
              <w:tc>
                <w:tcPr>
                  <w:tcW w:w="945" w:type="dxa"/>
                  <w:vMerge w:val="restart"/>
                  <w:tcBorders>
                    <w:tl2br w:val="nil"/>
                    <w:tr2bl w:val="nil"/>
                  </w:tcBorders>
                  <w:noWrap w:val="0"/>
                  <w:vAlign w:val="center"/>
                </w:tcPr>
                <w:p w14:paraId="162FBE5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室内边界距/声级dB</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A</w:t>
                  </w:r>
                  <w:r>
                    <w:rPr>
                      <w:rFonts w:hint="eastAsia" w:cs="Times New Roman"/>
                      <w:sz w:val="21"/>
                      <w:szCs w:val="21"/>
                      <w:highlight w:val="none"/>
                      <w:lang w:val="en-US" w:eastAsia="zh-CN"/>
                    </w:rPr>
                    <w:t>）</w:t>
                  </w:r>
                </w:p>
              </w:tc>
              <w:tc>
                <w:tcPr>
                  <w:tcW w:w="765" w:type="dxa"/>
                  <w:vMerge w:val="restart"/>
                  <w:tcBorders>
                    <w:tl2br w:val="nil"/>
                    <w:tr2bl w:val="nil"/>
                  </w:tcBorders>
                  <w:noWrap w:val="0"/>
                  <w:vAlign w:val="center"/>
                </w:tcPr>
                <w:p w14:paraId="4F4F2D0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运行时段</w:t>
                  </w:r>
                </w:p>
              </w:tc>
              <w:tc>
                <w:tcPr>
                  <w:tcW w:w="900" w:type="dxa"/>
                  <w:vMerge w:val="restart"/>
                  <w:tcBorders>
                    <w:tl2br w:val="nil"/>
                    <w:tr2bl w:val="nil"/>
                  </w:tcBorders>
                  <w:noWrap w:val="0"/>
                  <w:vAlign w:val="center"/>
                </w:tcPr>
                <w:p w14:paraId="3636490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建筑物插入损失/dB</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A</w:t>
                  </w:r>
                  <w:r>
                    <w:rPr>
                      <w:rFonts w:hint="eastAsia" w:cs="Times New Roman"/>
                      <w:sz w:val="21"/>
                      <w:szCs w:val="21"/>
                      <w:highlight w:val="none"/>
                      <w:lang w:val="en-US" w:eastAsia="zh-CN"/>
                    </w:rPr>
                    <w:t>）</w:t>
                  </w:r>
                </w:p>
              </w:tc>
              <w:tc>
                <w:tcPr>
                  <w:tcW w:w="1757" w:type="dxa"/>
                  <w:gridSpan w:val="2"/>
                  <w:tcBorders>
                    <w:tl2br w:val="nil"/>
                    <w:tr2bl w:val="nil"/>
                  </w:tcBorders>
                  <w:noWrap w:val="0"/>
                  <w:vAlign w:val="center"/>
                </w:tcPr>
                <w:p w14:paraId="212D5EB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建筑物外噪声</w:t>
                  </w:r>
                </w:p>
              </w:tc>
            </w:tr>
            <w:tr w14:paraId="2F8842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vMerge w:val="continue"/>
                  <w:tcBorders>
                    <w:tl2br w:val="nil"/>
                    <w:tr2bl w:val="nil"/>
                  </w:tcBorders>
                  <w:noWrap w:val="0"/>
                  <w:vAlign w:val="center"/>
                </w:tcPr>
                <w:p w14:paraId="46C652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p>
              </w:tc>
              <w:tc>
                <w:tcPr>
                  <w:tcW w:w="829" w:type="dxa"/>
                  <w:vMerge w:val="continue"/>
                  <w:tcBorders>
                    <w:tl2br w:val="nil"/>
                    <w:tr2bl w:val="nil"/>
                  </w:tcBorders>
                  <w:noWrap w:val="0"/>
                  <w:vAlign w:val="center"/>
                </w:tcPr>
                <w:p w14:paraId="00DABB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p>
              </w:tc>
              <w:tc>
                <w:tcPr>
                  <w:tcW w:w="2356" w:type="dxa"/>
                  <w:vMerge w:val="continue"/>
                  <w:tcBorders>
                    <w:tl2br w:val="nil"/>
                    <w:tr2bl w:val="nil"/>
                  </w:tcBorders>
                  <w:noWrap w:val="0"/>
                  <w:vAlign w:val="center"/>
                </w:tcPr>
                <w:p w14:paraId="5BEDC2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p>
              </w:tc>
              <w:tc>
                <w:tcPr>
                  <w:tcW w:w="1275" w:type="dxa"/>
                  <w:vMerge w:val="continue"/>
                  <w:tcBorders>
                    <w:tl2br w:val="nil"/>
                    <w:tr2bl w:val="nil"/>
                  </w:tcBorders>
                  <w:noWrap w:val="0"/>
                  <w:vAlign w:val="center"/>
                </w:tcPr>
                <w:p w14:paraId="54599D4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rPr>
                  </w:pPr>
                </w:p>
              </w:tc>
              <w:tc>
                <w:tcPr>
                  <w:tcW w:w="765" w:type="dxa"/>
                  <w:vMerge w:val="continue"/>
                  <w:tcBorders>
                    <w:tl2br w:val="nil"/>
                    <w:tr2bl w:val="nil"/>
                  </w:tcBorders>
                  <w:noWrap w:val="0"/>
                  <w:vAlign w:val="center"/>
                </w:tcPr>
                <w:p w14:paraId="47CAD91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825" w:type="dxa"/>
                  <w:vMerge w:val="continue"/>
                  <w:tcBorders>
                    <w:tl2br w:val="nil"/>
                    <w:tr2bl w:val="nil"/>
                  </w:tcBorders>
                  <w:noWrap w:val="0"/>
                  <w:vAlign w:val="center"/>
                </w:tcPr>
                <w:p w14:paraId="16DDEE5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70E560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x</w:t>
                  </w:r>
                </w:p>
              </w:tc>
              <w:tc>
                <w:tcPr>
                  <w:tcW w:w="615" w:type="dxa"/>
                  <w:tcBorders>
                    <w:tl2br w:val="nil"/>
                    <w:tr2bl w:val="nil"/>
                  </w:tcBorders>
                  <w:noWrap w:val="0"/>
                  <w:vAlign w:val="center"/>
                </w:tcPr>
                <w:p w14:paraId="10E6B3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y</w:t>
                  </w:r>
                </w:p>
              </w:tc>
              <w:tc>
                <w:tcPr>
                  <w:tcW w:w="510" w:type="dxa"/>
                  <w:tcBorders>
                    <w:tl2br w:val="nil"/>
                    <w:tr2bl w:val="nil"/>
                  </w:tcBorders>
                  <w:noWrap w:val="0"/>
                  <w:vAlign w:val="center"/>
                </w:tcPr>
                <w:p w14:paraId="2614F8B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z</w:t>
                  </w:r>
                </w:p>
              </w:tc>
              <w:tc>
                <w:tcPr>
                  <w:tcW w:w="735" w:type="dxa"/>
                  <w:vMerge w:val="continue"/>
                  <w:tcBorders>
                    <w:tl2br w:val="nil"/>
                    <w:tr2bl w:val="nil"/>
                  </w:tcBorders>
                  <w:noWrap w:val="0"/>
                  <w:vAlign w:val="center"/>
                </w:tcPr>
                <w:p w14:paraId="5FB9C6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45" w:type="dxa"/>
                  <w:vMerge w:val="continue"/>
                  <w:tcBorders>
                    <w:tl2br w:val="nil"/>
                    <w:tr2bl w:val="nil"/>
                  </w:tcBorders>
                  <w:noWrap w:val="0"/>
                  <w:vAlign w:val="center"/>
                </w:tcPr>
                <w:p w14:paraId="516EA3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765" w:type="dxa"/>
                  <w:vMerge w:val="continue"/>
                  <w:tcBorders>
                    <w:tl2br w:val="nil"/>
                    <w:tr2bl w:val="nil"/>
                  </w:tcBorders>
                  <w:noWrap w:val="0"/>
                  <w:vAlign w:val="center"/>
                </w:tcPr>
                <w:p w14:paraId="5017FC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vMerge w:val="continue"/>
                  <w:tcBorders>
                    <w:tl2br w:val="nil"/>
                    <w:tr2bl w:val="nil"/>
                  </w:tcBorders>
                  <w:noWrap w:val="0"/>
                  <w:vAlign w:val="center"/>
                </w:tcPr>
                <w:p w14:paraId="5C6A4B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15" w:type="dxa"/>
                  <w:tcBorders>
                    <w:tl2br w:val="nil"/>
                    <w:tr2bl w:val="nil"/>
                  </w:tcBorders>
                  <w:noWrap w:val="0"/>
                  <w:vAlign w:val="center"/>
                </w:tcPr>
                <w:p w14:paraId="71DD69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声压级</w:t>
                  </w:r>
                  <w:r>
                    <w:rPr>
                      <w:rFonts w:hint="default" w:ascii="Times New Roman" w:hAnsi="Times New Roman" w:eastAsia="宋体" w:cs="Times New Roman"/>
                      <w:sz w:val="21"/>
                      <w:szCs w:val="21"/>
                      <w:highlight w:val="none"/>
                    </w:rPr>
                    <w:t>dB（A）</w:t>
                  </w:r>
                </w:p>
              </w:tc>
              <w:tc>
                <w:tcPr>
                  <w:tcW w:w="842" w:type="dxa"/>
                  <w:tcBorders>
                    <w:tl2br w:val="nil"/>
                    <w:tr2bl w:val="nil"/>
                  </w:tcBorders>
                  <w:noWrap w:val="0"/>
                  <w:vAlign w:val="center"/>
                </w:tcPr>
                <w:p w14:paraId="6CC7C0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建筑物外距离</w:t>
                  </w:r>
                </w:p>
              </w:tc>
            </w:tr>
            <w:tr w14:paraId="4854BC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7AEF00F3">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restart"/>
                  <w:tcBorders>
                    <w:tl2br w:val="nil"/>
                    <w:tr2bl w:val="nil"/>
                  </w:tcBorders>
                  <w:noWrap w:val="0"/>
                  <w:vAlign w:val="center"/>
                </w:tcPr>
                <w:p w14:paraId="627EF61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氢碎车间</w:t>
                  </w:r>
                </w:p>
              </w:tc>
              <w:tc>
                <w:tcPr>
                  <w:tcW w:w="2356" w:type="dxa"/>
                  <w:tcBorders>
                    <w:tl2br w:val="nil"/>
                    <w:tr2bl w:val="nil"/>
                  </w:tcBorders>
                  <w:noWrap w:val="0"/>
                  <w:vAlign w:val="center"/>
                </w:tcPr>
                <w:p w14:paraId="2DC4106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kern w:val="0"/>
                      <w:sz w:val="21"/>
                      <w:szCs w:val="21"/>
                      <w:highlight w:val="none"/>
                      <w:lang w:val="en-US" w:eastAsia="zh-CN"/>
                    </w:rPr>
                    <w:t>1#</w:t>
                  </w:r>
                  <w:r>
                    <w:rPr>
                      <w:rFonts w:hint="default" w:ascii="Times New Roman" w:hAnsi="Times New Roman" w:eastAsia="宋体" w:cs="Times New Roman"/>
                      <w:kern w:val="0"/>
                      <w:sz w:val="21"/>
                      <w:szCs w:val="21"/>
                      <w:highlight w:val="none"/>
                    </w:rPr>
                    <w:t>真空氢处理炉</w:t>
                  </w:r>
                </w:p>
              </w:tc>
              <w:tc>
                <w:tcPr>
                  <w:tcW w:w="1275" w:type="dxa"/>
                  <w:tcBorders>
                    <w:tl2br w:val="nil"/>
                    <w:tr2bl w:val="nil"/>
                  </w:tcBorders>
                  <w:noWrap w:val="0"/>
                  <w:vAlign w:val="center"/>
                </w:tcPr>
                <w:p w14:paraId="4200DD2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1800kg</w:t>
                  </w:r>
                </w:p>
              </w:tc>
              <w:tc>
                <w:tcPr>
                  <w:tcW w:w="765" w:type="dxa"/>
                  <w:tcBorders>
                    <w:tl2br w:val="nil"/>
                    <w:tr2bl w:val="nil"/>
                  </w:tcBorders>
                  <w:noWrap w:val="0"/>
                  <w:vAlign w:val="center"/>
                </w:tcPr>
                <w:p w14:paraId="55A216A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130</w:t>
                  </w:r>
                </w:p>
              </w:tc>
              <w:tc>
                <w:tcPr>
                  <w:tcW w:w="825" w:type="dxa"/>
                  <w:vMerge w:val="restart"/>
                  <w:tcBorders>
                    <w:tl2br w:val="nil"/>
                    <w:tr2bl w:val="nil"/>
                  </w:tcBorders>
                  <w:noWrap w:val="0"/>
                  <w:vAlign w:val="center"/>
                </w:tcPr>
                <w:p w14:paraId="0D1E1FB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2"/>
                      <w:sz w:val="21"/>
                      <w:szCs w:val="21"/>
                      <w:highlight w:val="none"/>
                      <w:lang w:val="en-US" w:eastAsia="zh-CN" w:bidi="ar-SA"/>
                    </w:rPr>
                    <w:t>基础</w:t>
                  </w:r>
                  <w:r>
                    <w:rPr>
                      <w:rFonts w:hint="eastAsia" w:cs="Times New Roman"/>
                      <w:kern w:val="2"/>
                      <w:sz w:val="21"/>
                      <w:szCs w:val="21"/>
                      <w:highlight w:val="none"/>
                      <w:lang w:val="en-US" w:eastAsia="zh-CN" w:bidi="ar-SA"/>
                    </w:rPr>
                    <w:t>减振</w:t>
                  </w:r>
                  <w:r>
                    <w:rPr>
                      <w:rFonts w:hint="eastAsia" w:ascii="Times New Roman" w:hAnsi="Times New Roman" w:eastAsia="宋体" w:cs="Times New Roman"/>
                      <w:kern w:val="2"/>
                      <w:sz w:val="21"/>
                      <w:szCs w:val="21"/>
                      <w:highlight w:val="none"/>
                      <w:lang w:val="en-US" w:eastAsia="zh-CN" w:bidi="ar-SA"/>
                    </w:rPr>
                    <w:t>+厂房隔声</w:t>
                  </w:r>
                </w:p>
              </w:tc>
              <w:tc>
                <w:tcPr>
                  <w:tcW w:w="540" w:type="dxa"/>
                  <w:tcBorders>
                    <w:tl2br w:val="nil"/>
                    <w:tr2bl w:val="nil"/>
                  </w:tcBorders>
                  <w:noWrap w:val="0"/>
                  <w:vAlign w:val="center"/>
                </w:tcPr>
                <w:p w14:paraId="676B336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231.6</w:t>
                  </w:r>
                </w:p>
              </w:tc>
              <w:tc>
                <w:tcPr>
                  <w:tcW w:w="615" w:type="dxa"/>
                  <w:tcBorders>
                    <w:tl2br w:val="nil"/>
                    <w:tr2bl w:val="nil"/>
                  </w:tcBorders>
                  <w:noWrap w:val="0"/>
                  <w:vAlign w:val="center"/>
                </w:tcPr>
                <w:p w14:paraId="54C559D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2.9</w:t>
                  </w:r>
                </w:p>
              </w:tc>
              <w:tc>
                <w:tcPr>
                  <w:tcW w:w="510" w:type="dxa"/>
                  <w:tcBorders>
                    <w:tl2br w:val="nil"/>
                    <w:tr2bl w:val="nil"/>
                  </w:tcBorders>
                  <w:noWrap w:val="0"/>
                  <w:vAlign w:val="center"/>
                </w:tcPr>
                <w:p w14:paraId="2F0E961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157DB16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12</w:t>
                  </w:r>
                </w:p>
              </w:tc>
              <w:tc>
                <w:tcPr>
                  <w:tcW w:w="945" w:type="dxa"/>
                  <w:tcBorders>
                    <w:tl2br w:val="nil"/>
                    <w:tr2bl w:val="nil"/>
                  </w:tcBorders>
                  <w:noWrap w:val="0"/>
                  <w:vAlign w:val="center"/>
                </w:tcPr>
                <w:p w14:paraId="396FFE6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114.96</w:t>
                  </w:r>
                </w:p>
              </w:tc>
              <w:tc>
                <w:tcPr>
                  <w:tcW w:w="765" w:type="dxa"/>
                  <w:vMerge w:val="restart"/>
                  <w:tcBorders>
                    <w:tl2br w:val="nil"/>
                    <w:tr2bl w:val="nil"/>
                  </w:tcBorders>
                  <w:noWrap w:val="0"/>
                  <w:vAlign w:val="center"/>
                </w:tcPr>
                <w:p w14:paraId="1C94621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上午8点到12点，</w:t>
                  </w:r>
                  <w:r>
                    <w:rPr>
                      <w:rFonts w:hint="eastAsia" w:cs="Times New Roman"/>
                      <w:sz w:val="21"/>
                      <w:szCs w:val="21"/>
                      <w:highlight w:val="none"/>
                      <w:lang w:val="en-US" w:eastAsia="zh-CN"/>
                    </w:rPr>
                    <w:t>下午2点</w:t>
                  </w:r>
                  <w:r>
                    <w:rPr>
                      <w:rFonts w:hint="eastAsia" w:ascii="Times New Roman" w:hAnsi="Times New Roman" w:eastAsia="宋体" w:cs="Times New Roman"/>
                      <w:sz w:val="21"/>
                      <w:szCs w:val="21"/>
                      <w:highlight w:val="none"/>
                      <w:lang w:val="en-US" w:eastAsia="zh-CN"/>
                    </w:rPr>
                    <w:t>到18点</w:t>
                  </w:r>
                </w:p>
              </w:tc>
              <w:tc>
                <w:tcPr>
                  <w:tcW w:w="900" w:type="dxa"/>
                  <w:tcBorders>
                    <w:tl2br w:val="nil"/>
                    <w:tr2bl w:val="nil"/>
                  </w:tcBorders>
                  <w:shd w:val="clear" w:color="auto" w:fill="auto"/>
                  <w:noWrap w:val="0"/>
                  <w:vAlign w:val="center"/>
                </w:tcPr>
                <w:p w14:paraId="007C114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3F9864E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93.96</w:t>
                  </w:r>
                </w:p>
              </w:tc>
              <w:tc>
                <w:tcPr>
                  <w:tcW w:w="842" w:type="dxa"/>
                  <w:tcBorders>
                    <w:tl2br w:val="nil"/>
                    <w:tr2bl w:val="nil"/>
                  </w:tcBorders>
                  <w:noWrap w:val="0"/>
                  <w:vAlign w:val="center"/>
                </w:tcPr>
                <w:p w14:paraId="3FCE369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18606B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66E25BFB">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518C6E5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6A1BAF6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w:t>
                  </w:r>
                  <w:r>
                    <w:rPr>
                      <w:rFonts w:hint="default" w:ascii="Times New Roman" w:hAnsi="Times New Roman" w:eastAsia="宋体" w:cs="Times New Roman"/>
                      <w:kern w:val="0"/>
                      <w:sz w:val="21"/>
                      <w:szCs w:val="21"/>
                      <w:highlight w:val="none"/>
                    </w:rPr>
                    <w:t>真空氢处理炉</w:t>
                  </w:r>
                </w:p>
              </w:tc>
              <w:tc>
                <w:tcPr>
                  <w:tcW w:w="1275" w:type="dxa"/>
                  <w:tcBorders>
                    <w:tl2br w:val="nil"/>
                    <w:tr2bl w:val="nil"/>
                  </w:tcBorders>
                  <w:shd w:val="clear" w:color="auto" w:fill="auto"/>
                  <w:noWrap w:val="0"/>
                  <w:vAlign w:val="center"/>
                </w:tcPr>
                <w:p w14:paraId="26B0293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cs="Times New Roman"/>
                      <w:sz w:val="21"/>
                      <w:szCs w:val="21"/>
                      <w:highlight w:val="none"/>
                      <w:vertAlign w:val="baseline"/>
                      <w:lang w:val="en-US" w:eastAsia="zh-CN"/>
                    </w:rPr>
                    <w:t>1800kg</w:t>
                  </w:r>
                </w:p>
              </w:tc>
              <w:tc>
                <w:tcPr>
                  <w:tcW w:w="765" w:type="dxa"/>
                  <w:tcBorders>
                    <w:tl2br w:val="nil"/>
                    <w:tr2bl w:val="nil"/>
                  </w:tcBorders>
                  <w:shd w:val="clear" w:color="auto" w:fill="auto"/>
                  <w:noWrap w:val="0"/>
                  <w:vAlign w:val="center"/>
                </w:tcPr>
                <w:p w14:paraId="04DE113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130</w:t>
                  </w:r>
                </w:p>
              </w:tc>
              <w:tc>
                <w:tcPr>
                  <w:tcW w:w="825" w:type="dxa"/>
                  <w:vMerge w:val="continue"/>
                  <w:tcBorders>
                    <w:tl2br w:val="nil"/>
                    <w:tr2bl w:val="nil"/>
                  </w:tcBorders>
                  <w:noWrap w:val="0"/>
                  <w:vAlign w:val="center"/>
                </w:tcPr>
                <w:p w14:paraId="7BACEBD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50A4883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222.7</w:t>
                  </w:r>
                </w:p>
              </w:tc>
              <w:tc>
                <w:tcPr>
                  <w:tcW w:w="615" w:type="dxa"/>
                  <w:tcBorders>
                    <w:tl2br w:val="nil"/>
                    <w:tr2bl w:val="nil"/>
                  </w:tcBorders>
                  <w:noWrap w:val="0"/>
                  <w:vAlign w:val="center"/>
                </w:tcPr>
                <w:p w14:paraId="03833A2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-16.7</w:t>
                  </w:r>
                </w:p>
              </w:tc>
              <w:tc>
                <w:tcPr>
                  <w:tcW w:w="510" w:type="dxa"/>
                  <w:tcBorders>
                    <w:tl2br w:val="nil"/>
                    <w:tr2bl w:val="nil"/>
                  </w:tcBorders>
                  <w:shd w:val="clear" w:color="auto" w:fill="auto"/>
                  <w:noWrap w:val="0"/>
                  <w:vAlign w:val="center"/>
                </w:tcPr>
                <w:p w14:paraId="37CFB8A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shd w:val="clear" w:color="auto" w:fill="auto"/>
                  <w:noWrap w:val="0"/>
                  <w:vAlign w:val="center"/>
                </w:tcPr>
                <w:p w14:paraId="7A27AC0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12</w:t>
                  </w:r>
                </w:p>
              </w:tc>
              <w:tc>
                <w:tcPr>
                  <w:tcW w:w="945" w:type="dxa"/>
                  <w:tcBorders>
                    <w:tl2br w:val="nil"/>
                    <w:tr2bl w:val="nil"/>
                  </w:tcBorders>
                  <w:shd w:val="clear" w:color="auto" w:fill="auto"/>
                  <w:noWrap w:val="0"/>
                  <w:vAlign w:val="center"/>
                </w:tcPr>
                <w:p w14:paraId="648361E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114.96</w:t>
                  </w:r>
                </w:p>
              </w:tc>
              <w:tc>
                <w:tcPr>
                  <w:tcW w:w="765" w:type="dxa"/>
                  <w:vMerge w:val="continue"/>
                  <w:tcBorders>
                    <w:tl2br w:val="nil"/>
                    <w:tr2bl w:val="nil"/>
                  </w:tcBorders>
                  <w:noWrap w:val="0"/>
                  <w:vAlign w:val="center"/>
                </w:tcPr>
                <w:p w14:paraId="548753B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2694C3E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shd w:val="clear" w:color="auto" w:fill="auto"/>
                  <w:noWrap w:val="0"/>
                  <w:vAlign w:val="center"/>
                </w:tcPr>
                <w:p w14:paraId="3319488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93.96</w:t>
                  </w:r>
                </w:p>
              </w:tc>
              <w:tc>
                <w:tcPr>
                  <w:tcW w:w="842" w:type="dxa"/>
                  <w:tcBorders>
                    <w:tl2br w:val="nil"/>
                    <w:tr2bl w:val="nil"/>
                  </w:tcBorders>
                  <w:shd w:val="clear" w:color="auto" w:fill="auto"/>
                  <w:noWrap w:val="0"/>
                  <w:vAlign w:val="center"/>
                </w:tcPr>
                <w:p w14:paraId="54973E9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w:t>
                  </w:r>
                </w:p>
              </w:tc>
            </w:tr>
            <w:tr w14:paraId="7CA30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47F4AE43">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restart"/>
                  <w:tcBorders>
                    <w:tl2br w:val="nil"/>
                    <w:tr2bl w:val="nil"/>
                  </w:tcBorders>
                  <w:noWrap w:val="0"/>
                  <w:vAlign w:val="center"/>
                </w:tcPr>
                <w:p w14:paraId="159D8A9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生产车间</w:t>
                  </w:r>
                </w:p>
              </w:tc>
              <w:tc>
                <w:tcPr>
                  <w:tcW w:w="2356" w:type="dxa"/>
                  <w:tcBorders>
                    <w:tl2br w:val="nil"/>
                    <w:tr2bl w:val="nil"/>
                  </w:tcBorders>
                  <w:noWrap w:val="0"/>
                  <w:vAlign w:val="center"/>
                </w:tcPr>
                <w:p w14:paraId="60CB5FC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真空连续速凝铸片炉</w:t>
                  </w:r>
                </w:p>
              </w:tc>
              <w:tc>
                <w:tcPr>
                  <w:tcW w:w="1275" w:type="dxa"/>
                  <w:tcBorders>
                    <w:tl2br w:val="nil"/>
                    <w:tr2bl w:val="nil"/>
                  </w:tcBorders>
                  <w:noWrap w:val="0"/>
                  <w:vAlign w:val="center"/>
                </w:tcPr>
                <w:p w14:paraId="4D0AA0B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p>
              </w:tc>
              <w:tc>
                <w:tcPr>
                  <w:tcW w:w="765" w:type="dxa"/>
                  <w:tcBorders>
                    <w:tl2br w:val="nil"/>
                    <w:tr2bl w:val="nil"/>
                  </w:tcBorders>
                  <w:noWrap w:val="0"/>
                  <w:vAlign w:val="center"/>
                </w:tcPr>
                <w:p w14:paraId="67AB0DF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5C26852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377879D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188.5</w:t>
                  </w:r>
                </w:p>
              </w:tc>
              <w:tc>
                <w:tcPr>
                  <w:tcW w:w="615" w:type="dxa"/>
                  <w:tcBorders>
                    <w:tl2br w:val="nil"/>
                    <w:tr2bl w:val="nil"/>
                  </w:tcBorders>
                  <w:noWrap w:val="0"/>
                  <w:vAlign w:val="center"/>
                </w:tcPr>
                <w:p w14:paraId="0150861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color w:val="000000"/>
                      <w:kern w:val="2"/>
                      <w:sz w:val="21"/>
                      <w:szCs w:val="21"/>
                      <w:highlight w:val="none"/>
                      <w:vertAlign w:val="baseline"/>
                      <w:lang w:val="en-US" w:eastAsia="zh-CN" w:bidi="ar-SA"/>
                    </w:rPr>
                    <w:t>61.1</w:t>
                  </w:r>
                </w:p>
              </w:tc>
              <w:tc>
                <w:tcPr>
                  <w:tcW w:w="510" w:type="dxa"/>
                  <w:tcBorders>
                    <w:tl2br w:val="nil"/>
                    <w:tr2bl w:val="nil"/>
                  </w:tcBorders>
                  <w:noWrap w:val="0"/>
                  <w:vAlign w:val="center"/>
                </w:tcPr>
                <w:p w14:paraId="4FAC7B4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16AA88B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12</w:t>
                  </w:r>
                </w:p>
              </w:tc>
              <w:tc>
                <w:tcPr>
                  <w:tcW w:w="945" w:type="dxa"/>
                  <w:tcBorders>
                    <w:tl2br w:val="nil"/>
                    <w:tr2bl w:val="nil"/>
                  </w:tcBorders>
                  <w:noWrap w:val="0"/>
                  <w:vAlign w:val="center"/>
                </w:tcPr>
                <w:p w14:paraId="3AFE0DC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71.78</w:t>
                  </w:r>
                </w:p>
              </w:tc>
              <w:tc>
                <w:tcPr>
                  <w:tcW w:w="765" w:type="dxa"/>
                  <w:vMerge w:val="continue"/>
                  <w:tcBorders>
                    <w:tl2br w:val="nil"/>
                    <w:tr2bl w:val="nil"/>
                  </w:tcBorders>
                  <w:noWrap w:val="0"/>
                  <w:vAlign w:val="center"/>
                </w:tcPr>
                <w:p w14:paraId="177A0E7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448721E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73D514C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50.78</w:t>
                  </w:r>
                </w:p>
              </w:tc>
              <w:tc>
                <w:tcPr>
                  <w:tcW w:w="842" w:type="dxa"/>
                  <w:tcBorders>
                    <w:tl2br w:val="nil"/>
                    <w:tr2bl w:val="nil"/>
                  </w:tcBorders>
                  <w:noWrap w:val="0"/>
                  <w:vAlign w:val="center"/>
                </w:tcPr>
                <w:p w14:paraId="4DB7261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w:t>
                  </w:r>
                </w:p>
              </w:tc>
            </w:tr>
            <w:tr w14:paraId="14A95C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666C7542">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468FF3E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77F546F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cs="Times New Roman"/>
                      <w:kern w:val="0"/>
                      <w:sz w:val="21"/>
                      <w:szCs w:val="21"/>
                      <w:highlight w:val="none"/>
                      <w:lang w:val="en-US" w:eastAsia="zh-CN"/>
                    </w:rPr>
                    <w:t>1</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混料机</w:t>
                  </w:r>
                </w:p>
              </w:tc>
              <w:tc>
                <w:tcPr>
                  <w:tcW w:w="1275" w:type="dxa"/>
                  <w:tcBorders>
                    <w:tl2br w:val="nil"/>
                    <w:tr2bl w:val="nil"/>
                  </w:tcBorders>
                  <w:noWrap w:val="0"/>
                  <w:vAlign w:val="center"/>
                </w:tcPr>
                <w:p w14:paraId="14172CC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600kg</w:t>
                  </w:r>
                </w:p>
              </w:tc>
              <w:tc>
                <w:tcPr>
                  <w:tcW w:w="765" w:type="dxa"/>
                  <w:tcBorders>
                    <w:tl2br w:val="nil"/>
                    <w:tr2bl w:val="nil"/>
                  </w:tcBorders>
                  <w:noWrap w:val="0"/>
                  <w:vAlign w:val="center"/>
                </w:tcPr>
                <w:p w14:paraId="67F5621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2427694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540" w:type="dxa"/>
                  <w:tcBorders>
                    <w:tl2br w:val="nil"/>
                    <w:tr2bl w:val="nil"/>
                  </w:tcBorders>
                  <w:noWrap w:val="0"/>
                  <w:vAlign w:val="center"/>
                </w:tcPr>
                <w:p w14:paraId="4FE7CE2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169.5</w:t>
                  </w:r>
                </w:p>
              </w:tc>
              <w:tc>
                <w:tcPr>
                  <w:tcW w:w="615" w:type="dxa"/>
                  <w:tcBorders>
                    <w:tl2br w:val="nil"/>
                    <w:tr2bl w:val="nil"/>
                  </w:tcBorders>
                  <w:noWrap w:val="0"/>
                  <w:vAlign w:val="center"/>
                </w:tcPr>
                <w:p w14:paraId="481A0F3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70.6</w:t>
                  </w:r>
                </w:p>
              </w:tc>
              <w:tc>
                <w:tcPr>
                  <w:tcW w:w="510" w:type="dxa"/>
                  <w:tcBorders>
                    <w:tl2br w:val="nil"/>
                    <w:tr2bl w:val="nil"/>
                  </w:tcBorders>
                  <w:noWrap w:val="0"/>
                  <w:vAlign w:val="center"/>
                </w:tcPr>
                <w:p w14:paraId="11206C3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4EDD54B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12</w:t>
                  </w:r>
                </w:p>
              </w:tc>
              <w:tc>
                <w:tcPr>
                  <w:tcW w:w="945" w:type="dxa"/>
                  <w:tcBorders>
                    <w:tl2br w:val="nil"/>
                    <w:tr2bl w:val="nil"/>
                  </w:tcBorders>
                  <w:noWrap w:val="0"/>
                  <w:vAlign w:val="center"/>
                </w:tcPr>
                <w:p w14:paraId="37EBF45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71.78</w:t>
                  </w:r>
                </w:p>
              </w:tc>
              <w:tc>
                <w:tcPr>
                  <w:tcW w:w="765" w:type="dxa"/>
                  <w:vMerge w:val="continue"/>
                  <w:tcBorders>
                    <w:tl2br w:val="nil"/>
                    <w:tr2bl w:val="nil"/>
                  </w:tcBorders>
                  <w:noWrap w:val="0"/>
                  <w:vAlign w:val="center"/>
                </w:tcPr>
                <w:p w14:paraId="3F01ED2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0D61C4C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15D6C07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50.78</w:t>
                  </w:r>
                </w:p>
              </w:tc>
              <w:tc>
                <w:tcPr>
                  <w:tcW w:w="842" w:type="dxa"/>
                  <w:tcBorders>
                    <w:tl2br w:val="nil"/>
                    <w:tr2bl w:val="nil"/>
                  </w:tcBorders>
                  <w:noWrap w:val="0"/>
                  <w:vAlign w:val="center"/>
                </w:tcPr>
                <w:p w14:paraId="7A4ADAE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275D5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0A76347B">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00C785B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286E749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w:t>
                  </w:r>
                  <w:r>
                    <w:rPr>
                      <w:rFonts w:hint="default" w:ascii="Times New Roman" w:hAnsi="Times New Roman" w:eastAsia="宋体" w:cs="Times New Roman"/>
                      <w:kern w:val="0"/>
                      <w:sz w:val="21"/>
                      <w:szCs w:val="21"/>
                      <w:highlight w:val="none"/>
                    </w:rPr>
                    <w:t>混料机</w:t>
                  </w:r>
                </w:p>
              </w:tc>
              <w:tc>
                <w:tcPr>
                  <w:tcW w:w="1275" w:type="dxa"/>
                  <w:tcBorders>
                    <w:tl2br w:val="nil"/>
                    <w:tr2bl w:val="nil"/>
                  </w:tcBorders>
                  <w:shd w:val="clear" w:color="auto" w:fill="auto"/>
                  <w:noWrap w:val="0"/>
                  <w:vAlign w:val="center"/>
                </w:tcPr>
                <w:p w14:paraId="24A5F5B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600kg</w:t>
                  </w:r>
                </w:p>
              </w:tc>
              <w:tc>
                <w:tcPr>
                  <w:tcW w:w="765" w:type="dxa"/>
                  <w:tcBorders>
                    <w:tl2br w:val="nil"/>
                    <w:tr2bl w:val="nil"/>
                  </w:tcBorders>
                  <w:shd w:val="clear" w:color="auto" w:fill="auto"/>
                  <w:noWrap w:val="0"/>
                  <w:vAlign w:val="center"/>
                </w:tcPr>
                <w:p w14:paraId="2BA5F9B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0316C41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540" w:type="dxa"/>
                  <w:tcBorders>
                    <w:tl2br w:val="nil"/>
                    <w:tr2bl w:val="nil"/>
                  </w:tcBorders>
                  <w:noWrap w:val="0"/>
                  <w:vAlign w:val="center"/>
                </w:tcPr>
                <w:p w14:paraId="60E9263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158.7</w:t>
                  </w:r>
                </w:p>
              </w:tc>
              <w:tc>
                <w:tcPr>
                  <w:tcW w:w="615" w:type="dxa"/>
                  <w:tcBorders>
                    <w:tl2br w:val="nil"/>
                    <w:tr2bl w:val="nil"/>
                  </w:tcBorders>
                  <w:noWrap w:val="0"/>
                  <w:vAlign w:val="center"/>
                </w:tcPr>
                <w:p w14:paraId="43A1774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73.8</w:t>
                  </w:r>
                </w:p>
              </w:tc>
              <w:tc>
                <w:tcPr>
                  <w:tcW w:w="510" w:type="dxa"/>
                  <w:tcBorders>
                    <w:tl2br w:val="nil"/>
                    <w:tr2bl w:val="nil"/>
                  </w:tcBorders>
                  <w:shd w:val="clear" w:color="auto" w:fill="auto"/>
                  <w:noWrap w:val="0"/>
                  <w:vAlign w:val="center"/>
                </w:tcPr>
                <w:p w14:paraId="24F889D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shd w:val="clear" w:color="auto" w:fill="auto"/>
                  <w:noWrap w:val="0"/>
                  <w:vAlign w:val="center"/>
                </w:tcPr>
                <w:p w14:paraId="7E16E3A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12</w:t>
                  </w:r>
                </w:p>
              </w:tc>
              <w:tc>
                <w:tcPr>
                  <w:tcW w:w="945" w:type="dxa"/>
                  <w:tcBorders>
                    <w:tl2br w:val="nil"/>
                    <w:tr2bl w:val="nil"/>
                  </w:tcBorders>
                  <w:noWrap w:val="0"/>
                  <w:vAlign w:val="center"/>
                </w:tcPr>
                <w:p w14:paraId="71448F8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71.78</w:t>
                  </w:r>
                </w:p>
              </w:tc>
              <w:tc>
                <w:tcPr>
                  <w:tcW w:w="765" w:type="dxa"/>
                  <w:vMerge w:val="continue"/>
                  <w:tcBorders>
                    <w:tl2br w:val="nil"/>
                    <w:tr2bl w:val="nil"/>
                  </w:tcBorders>
                  <w:noWrap w:val="0"/>
                  <w:vAlign w:val="center"/>
                </w:tcPr>
                <w:p w14:paraId="2B24D2B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23869C5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503D730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50.78</w:t>
                  </w:r>
                </w:p>
              </w:tc>
              <w:tc>
                <w:tcPr>
                  <w:tcW w:w="842" w:type="dxa"/>
                  <w:tcBorders>
                    <w:tl2br w:val="nil"/>
                    <w:tr2bl w:val="nil"/>
                  </w:tcBorders>
                  <w:noWrap w:val="0"/>
                  <w:vAlign w:val="center"/>
                </w:tcPr>
                <w:p w14:paraId="410419E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492627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12EA92B6">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53505DA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A9FD51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kern w:val="0"/>
                      <w:sz w:val="21"/>
                      <w:szCs w:val="21"/>
                      <w:highlight w:val="none"/>
                      <w:lang w:val="en-US" w:eastAsia="zh-CN"/>
                    </w:rPr>
                    <w:t>1#</w:t>
                  </w:r>
                  <w:r>
                    <w:rPr>
                      <w:rFonts w:hint="default" w:ascii="Times New Roman" w:hAnsi="Times New Roman" w:eastAsia="宋体" w:cs="Times New Roman"/>
                      <w:kern w:val="0"/>
                      <w:sz w:val="21"/>
                      <w:szCs w:val="21"/>
                      <w:highlight w:val="none"/>
                    </w:rPr>
                    <w:t>气流磨</w:t>
                  </w:r>
                </w:p>
              </w:tc>
              <w:tc>
                <w:tcPr>
                  <w:tcW w:w="1275" w:type="dxa"/>
                  <w:tcBorders>
                    <w:tl2br w:val="nil"/>
                    <w:tr2bl w:val="nil"/>
                  </w:tcBorders>
                  <w:noWrap w:val="0"/>
                  <w:vAlign w:val="center"/>
                </w:tcPr>
                <w:p w14:paraId="4AEAC51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kern w:val="0"/>
                      <w:sz w:val="21"/>
                      <w:szCs w:val="21"/>
                      <w:highlight w:val="none"/>
                    </w:rPr>
                    <w:t>QLMR-400G</w:t>
                  </w:r>
                </w:p>
              </w:tc>
              <w:tc>
                <w:tcPr>
                  <w:tcW w:w="765" w:type="dxa"/>
                  <w:tcBorders>
                    <w:tl2br w:val="nil"/>
                    <w:tr2bl w:val="nil"/>
                  </w:tcBorders>
                  <w:noWrap w:val="0"/>
                  <w:vAlign w:val="center"/>
                </w:tcPr>
                <w:p w14:paraId="73B2339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115</w:t>
                  </w:r>
                </w:p>
              </w:tc>
              <w:tc>
                <w:tcPr>
                  <w:tcW w:w="825" w:type="dxa"/>
                  <w:vMerge w:val="continue"/>
                  <w:tcBorders>
                    <w:tl2br w:val="nil"/>
                    <w:tr2bl w:val="nil"/>
                  </w:tcBorders>
                  <w:noWrap w:val="0"/>
                  <w:vAlign w:val="center"/>
                </w:tcPr>
                <w:p w14:paraId="1109BFA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540" w:type="dxa"/>
                  <w:tcBorders>
                    <w:tl2br w:val="nil"/>
                    <w:tr2bl w:val="nil"/>
                  </w:tcBorders>
                  <w:noWrap w:val="0"/>
                  <w:vAlign w:val="center"/>
                </w:tcPr>
                <w:p w14:paraId="718E6A4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141.0</w:t>
                  </w:r>
                </w:p>
              </w:tc>
              <w:tc>
                <w:tcPr>
                  <w:tcW w:w="615" w:type="dxa"/>
                  <w:tcBorders>
                    <w:tl2br w:val="nil"/>
                    <w:tr2bl w:val="nil"/>
                  </w:tcBorders>
                  <w:noWrap w:val="0"/>
                  <w:vAlign w:val="center"/>
                </w:tcPr>
                <w:p w14:paraId="76103A2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81.4</w:t>
                  </w:r>
                </w:p>
              </w:tc>
              <w:tc>
                <w:tcPr>
                  <w:tcW w:w="510" w:type="dxa"/>
                  <w:tcBorders>
                    <w:tl2br w:val="nil"/>
                    <w:tr2bl w:val="nil"/>
                  </w:tcBorders>
                  <w:noWrap w:val="0"/>
                  <w:vAlign w:val="center"/>
                </w:tcPr>
                <w:p w14:paraId="6C706B1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533C130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13</w:t>
                  </w:r>
                </w:p>
              </w:tc>
              <w:tc>
                <w:tcPr>
                  <w:tcW w:w="945" w:type="dxa"/>
                  <w:tcBorders>
                    <w:tl2br w:val="nil"/>
                    <w:tr2bl w:val="nil"/>
                  </w:tcBorders>
                  <w:noWrap w:val="0"/>
                  <w:vAlign w:val="center"/>
                </w:tcPr>
                <w:p w14:paraId="0E96BED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100.47</w:t>
                  </w:r>
                </w:p>
              </w:tc>
              <w:tc>
                <w:tcPr>
                  <w:tcW w:w="765" w:type="dxa"/>
                  <w:vMerge w:val="continue"/>
                  <w:tcBorders>
                    <w:tl2br w:val="nil"/>
                    <w:tr2bl w:val="nil"/>
                  </w:tcBorders>
                  <w:noWrap w:val="0"/>
                  <w:vAlign w:val="center"/>
                </w:tcPr>
                <w:p w14:paraId="6D848CE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03BC0C6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65643BC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79.47</w:t>
                  </w:r>
                </w:p>
              </w:tc>
              <w:tc>
                <w:tcPr>
                  <w:tcW w:w="842" w:type="dxa"/>
                  <w:tcBorders>
                    <w:tl2br w:val="nil"/>
                    <w:tr2bl w:val="nil"/>
                  </w:tcBorders>
                  <w:noWrap w:val="0"/>
                  <w:vAlign w:val="center"/>
                </w:tcPr>
                <w:p w14:paraId="2C627AB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2770A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1B4F271D">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3A5B52A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7BA36BB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w:t>
                  </w:r>
                  <w:r>
                    <w:rPr>
                      <w:rFonts w:hint="default" w:ascii="Times New Roman" w:hAnsi="Times New Roman" w:eastAsia="宋体" w:cs="Times New Roman"/>
                      <w:kern w:val="0"/>
                      <w:sz w:val="21"/>
                      <w:szCs w:val="21"/>
                      <w:highlight w:val="none"/>
                    </w:rPr>
                    <w:t>气流磨</w:t>
                  </w:r>
                </w:p>
              </w:tc>
              <w:tc>
                <w:tcPr>
                  <w:tcW w:w="1275" w:type="dxa"/>
                  <w:tcBorders>
                    <w:tl2br w:val="nil"/>
                    <w:tr2bl w:val="nil"/>
                  </w:tcBorders>
                  <w:shd w:val="clear" w:color="auto" w:fill="auto"/>
                  <w:noWrap w:val="0"/>
                  <w:vAlign w:val="center"/>
                </w:tcPr>
                <w:p w14:paraId="3C82154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QLMR-400G</w:t>
                  </w:r>
                </w:p>
              </w:tc>
              <w:tc>
                <w:tcPr>
                  <w:tcW w:w="765" w:type="dxa"/>
                  <w:tcBorders>
                    <w:tl2br w:val="nil"/>
                    <w:tr2bl w:val="nil"/>
                  </w:tcBorders>
                  <w:shd w:val="clear" w:color="auto" w:fill="auto"/>
                  <w:noWrap w:val="0"/>
                  <w:vAlign w:val="center"/>
                </w:tcPr>
                <w:p w14:paraId="0B42F9C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115</w:t>
                  </w:r>
                </w:p>
              </w:tc>
              <w:tc>
                <w:tcPr>
                  <w:tcW w:w="825" w:type="dxa"/>
                  <w:vMerge w:val="continue"/>
                  <w:tcBorders>
                    <w:tl2br w:val="nil"/>
                    <w:tr2bl w:val="nil"/>
                  </w:tcBorders>
                  <w:noWrap w:val="0"/>
                  <w:vAlign w:val="center"/>
                </w:tcPr>
                <w:p w14:paraId="00A3DF9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540" w:type="dxa"/>
                  <w:tcBorders>
                    <w:tl2br w:val="nil"/>
                    <w:tr2bl w:val="nil"/>
                  </w:tcBorders>
                  <w:noWrap w:val="0"/>
                  <w:vAlign w:val="center"/>
                </w:tcPr>
                <w:p w14:paraId="768D031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130.2</w:t>
                  </w:r>
                </w:p>
              </w:tc>
              <w:tc>
                <w:tcPr>
                  <w:tcW w:w="615" w:type="dxa"/>
                  <w:tcBorders>
                    <w:tl2br w:val="nil"/>
                    <w:tr2bl w:val="nil"/>
                  </w:tcBorders>
                  <w:noWrap w:val="0"/>
                  <w:vAlign w:val="center"/>
                </w:tcPr>
                <w:p w14:paraId="23B6563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84.6</w:t>
                  </w:r>
                </w:p>
              </w:tc>
              <w:tc>
                <w:tcPr>
                  <w:tcW w:w="510" w:type="dxa"/>
                  <w:tcBorders>
                    <w:tl2br w:val="nil"/>
                    <w:tr2bl w:val="nil"/>
                  </w:tcBorders>
                  <w:shd w:val="clear" w:color="auto" w:fill="auto"/>
                  <w:noWrap w:val="0"/>
                  <w:vAlign w:val="center"/>
                </w:tcPr>
                <w:p w14:paraId="0352C21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shd w:val="clear" w:color="auto" w:fill="auto"/>
                  <w:noWrap w:val="0"/>
                  <w:vAlign w:val="center"/>
                </w:tcPr>
                <w:p w14:paraId="5B29DDD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13</w:t>
                  </w:r>
                </w:p>
              </w:tc>
              <w:tc>
                <w:tcPr>
                  <w:tcW w:w="945" w:type="dxa"/>
                  <w:tcBorders>
                    <w:tl2br w:val="nil"/>
                    <w:tr2bl w:val="nil"/>
                  </w:tcBorders>
                  <w:noWrap w:val="0"/>
                  <w:vAlign w:val="center"/>
                </w:tcPr>
                <w:p w14:paraId="0C6F060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100.47</w:t>
                  </w:r>
                </w:p>
              </w:tc>
              <w:tc>
                <w:tcPr>
                  <w:tcW w:w="765" w:type="dxa"/>
                  <w:vMerge w:val="continue"/>
                  <w:tcBorders>
                    <w:tl2br w:val="nil"/>
                    <w:tr2bl w:val="nil"/>
                  </w:tcBorders>
                  <w:noWrap w:val="0"/>
                  <w:vAlign w:val="center"/>
                </w:tcPr>
                <w:p w14:paraId="2AF3DBF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24BE224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21DEA92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79.47</w:t>
                  </w:r>
                </w:p>
              </w:tc>
              <w:tc>
                <w:tcPr>
                  <w:tcW w:w="842" w:type="dxa"/>
                  <w:tcBorders>
                    <w:tl2br w:val="nil"/>
                    <w:tr2bl w:val="nil"/>
                  </w:tcBorders>
                  <w:noWrap w:val="0"/>
                  <w:vAlign w:val="center"/>
                </w:tcPr>
                <w:p w14:paraId="037AF47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0254AD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6EF062EE">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2CB9EE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2356" w:type="dxa"/>
                  <w:tcBorders>
                    <w:tl2br w:val="nil"/>
                    <w:tr2bl w:val="nil"/>
                  </w:tcBorders>
                  <w:noWrap w:val="0"/>
                  <w:vAlign w:val="center"/>
                </w:tcPr>
                <w:p w14:paraId="1A930D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钢丝缠绕等静压机</w:t>
                  </w:r>
                </w:p>
              </w:tc>
              <w:tc>
                <w:tcPr>
                  <w:tcW w:w="1275" w:type="dxa"/>
                  <w:tcBorders>
                    <w:tl2br w:val="nil"/>
                    <w:tr2bl w:val="nil"/>
                  </w:tcBorders>
                  <w:noWrap w:val="0"/>
                  <w:vAlign w:val="center"/>
                </w:tcPr>
                <w:p w14:paraId="4510D9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kern w:val="0"/>
                      <w:sz w:val="21"/>
                      <w:szCs w:val="21"/>
                      <w:highlight w:val="none"/>
                    </w:rPr>
                    <w:t>DJY2100-350</w:t>
                  </w:r>
                </w:p>
              </w:tc>
              <w:tc>
                <w:tcPr>
                  <w:tcW w:w="765" w:type="dxa"/>
                  <w:tcBorders>
                    <w:tl2br w:val="nil"/>
                    <w:tr2bl w:val="nil"/>
                  </w:tcBorders>
                  <w:noWrap w:val="0"/>
                  <w:vAlign w:val="center"/>
                </w:tcPr>
                <w:p w14:paraId="334BB17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65</w:t>
                  </w:r>
                </w:p>
              </w:tc>
              <w:tc>
                <w:tcPr>
                  <w:tcW w:w="825" w:type="dxa"/>
                  <w:vMerge w:val="continue"/>
                  <w:tcBorders>
                    <w:tl2br w:val="nil"/>
                    <w:tr2bl w:val="nil"/>
                  </w:tcBorders>
                  <w:noWrap w:val="0"/>
                  <w:vAlign w:val="center"/>
                </w:tcPr>
                <w:p w14:paraId="23226CD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540" w:type="dxa"/>
                  <w:tcBorders>
                    <w:tl2br w:val="nil"/>
                    <w:tr2bl w:val="nil"/>
                  </w:tcBorders>
                  <w:noWrap w:val="0"/>
                  <w:vAlign w:val="center"/>
                </w:tcPr>
                <w:p w14:paraId="782DF2E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122.0</w:t>
                  </w:r>
                </w:p>
              </w:tc>
              <w:tc>
                <w:tcPr>
                  <w:tcW w:w="615" w:type="dxa"/>
                  <w:tcBorders>
                    <w:tl2br w:val="nil"/>
                    <w:tr2bl w:val="nil"/>
                  </w:tcBorders>
                  <w:noWrap w:val="0"/>
                  <w:vAlign w:val="center"/>
                </w:tcPr>
                <w:p w14:paraId="20D15AA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89.0</w:t>
                  </w:r>
                </w:p>
              </w:tc>
              <w:tc>
                <w:tcPr>
                  <w:tcW w:w="510" w:type="dxa"/>
                  <w:tcBorders>
                    <w:tl2br w:val="nil"/>
                    <w:tr2bl w:val="nil"/>
                  </w:tcBorders>
                  <w:noWrap w:val="0"/>
                  <w:vAlign w:val="center"/>
                </w:tcPr>
                <w:p w14:paraId="2FCA358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29AFBD6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13</w:t>
                  </w:r>
                </w:p>
              </w:tc>
              <w:tc>
                <w:tcPr>
                  <w:tcW w:w="945" w:type="dxa"/>
                  <w:tcBorders>
                    <w:tl2br w:val="nil"/>
                    <w:tr2bl w:val="nil"/>
                  </w:tcBorders>
                  <w:noWrap w:val="0"/>
                  <w:vAlign w:val="center"/>
                </w:tcPr>
                <w:p w14:paraId="3648657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52.92</w:t>
                  </w:r>
                </w:p>
              </w:tc>
              <w:tc>
                <w:tcPr>
                  <w:tcW w:w="765" w:type="dxa"/>
                  <w:vMerge w:val="continue"/>
                  <w:tcBorders>
                    <w:tl2br w:val="nil"/>
                    <w:tr2bl w:val="nil"/>
                  </w:tcBorders>
                  <w:noWrap w:val="0"/>
                  <w:vAlign w:val="center"/>
                </w:tcPr>
                <w:p w14:paraId="7B16BA4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3F3084E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037C728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31.92</w:t>
                  </w:r>
                </w:p>
              </w:tc>
              <w:tc>
                <w:tcPr>
                  <w:tcW w:w="842" w:type="dxa"/>
                  <w:tcBorders>
                    <w:tl2br w:val="nil"/>
                    <w:tr2bl w:val="nil"/>
                  </w:tcBorders>
                  <w:noWrap w:val="0"/>
                  <w:vAlign w:val="center"/>
                </w:tcPr>
                <w:p w14:paraId="644DC50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76CEFD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6B9618EC">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179190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7007E7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6"/>
                      <w:kern w:val="0"/>
                      <w:sz w:val="21"/>
                      <w:szCs w:val="21"/>
                      <w:highlight w:val="none"/>
                      <w:lang w:val="en-US" w:eastAsia="zh-CN" w:bidi="ar-SA"/>
                    </w:rPr>
                  </w:pPr>
                  <w:r>
                    <w:rPr>
                      <w:rFonts w:hint="eastAsia" w:ascii="Times New Roman" w:hAnsi="Times New Roman" w:eastAsia="宋体" w:cs="Times New Roman"/>
                      <w:spacing w:val="-6"/>
                      <w:kern w:val="0"/>
                      <w:sz w:val="21"/>
                      <w:szCs w:val="21"/>
                      <w:highlight w:val="none"/>
                      <w:lang w:val="en-US" w:eastAsia="zh-CN"/>
                    </w:rPr>
                    <w:t>1#</w:t>
                  </w:r>
                  <w:r>
                    <w:rPr>
                      <w:rFonts w:hint="default" w:ascii="Times New Roman" w:hAnsi="Times New Roman" w:eastAsia="宋体" w:cs="Times New Roman"/>
                      <w:spacing w:val="-6"/>
                      <w:kern w:val="0"/>
                      <w:sz w:val="21"/>
                      <w:szCs w:val="21"/>
                      <w:highlight w:val="none"/>
                    </w:rPr>
                    <w:t>稀土永磁浮动成型压机</w:t>
                  </w:r>
                </w:p>
              </w:tc>
              <w:tc>
                <w:tcPr>
                  <w:tcW w:w="1275" w:type="dxa"/>
                  <w:tcBorders>
                    <w:tl2br w:val="nil"/>
                    <w:tr2bl w:val="nil"/>
                  </w:tcBorders>
                  <w:noWrap w:val="0"/>
                  <w:vAlign w:val="center"/>
                </w:tcPr>
                <w:p w14:paraId="06A139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YAN72F-200</w:t>
                  </w:r>
                </w:p>
              </w:tc>
              <w:tc>
                <w:tcPr>
                  <w:tcW w:w="765" w:type="dxa"/>
                  <w:tcBorders>
                    <w:tl2br w:val="nil"/>
                    <w:tr2bl w:val="nil"/>
                  </w:tcBorders>
                  <w:noWrap w:val="0"/>
                  <w:vAlign w:val="center"/>
                </w:tcPr>
                <w:p w14:paraId="2151796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63B5151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570A4C5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119.9</w:t>
                  </w:r>
                </w:p>
              </w:tc>
              <w:tc>
                <w:tcPr>
                  <w:tcW w:w="615" w:type="dxa"/>
                  <w:tcBorders>
                    <w:tl2br w:val="nil"/>
                    <w:tr2bl w:val="nil"/>
                  </w:tcBorders>
                  <w:noWrap w:val="0"/>
                  <w:vAlign w:val="center"/>
                </w:tcPr>
                <w:p w14:paraId="2C47640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96.5</w:t>
                  </w:r>
                </w:p>
              </w:tc>
              <w:tc>
                <w:tcPr>
                  <w:tcW w:w="510" w:type="dxa"/>
                  <w:tcBorders>
                    <w:tl2br w:val="nil"/>
                    <w:tr2bl w:val="nil"/>
                  </w:tcBorders>
                  <w:noWrap w:val="0"/>
                  <w:vAlign w:val="center"/>
                </w:tcPr>
                <w:p w14:paraId="1DF3A6D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1F33B3A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1118F1B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40A7DF5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162005D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37E256A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3F46533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68C97D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3AFF84D8">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5C8AA0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75465B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pacing w:val="-6"/>
                      <w:kern w:val="0"/>
                      <w:sz w:val="21"/>
                      <w:szCs w:val="21"/>
                      <w:highlight w:val="none"/>
                      <w:lang w:val="en-US" w:eastAsia="zh-CN"/>
                    </w:rPr>
                  </w:pPr>
                  <w:r>
                    <w:rPr>
                      <w:rFonts w:hint="eastAsia" w:cs="Times New Roman"/>
                      <w:spacing w:val="-6"/>
                      <w:kern w:val="0"/>
                      <w:sz w:val="21"/>
                      <w:szCs w:val="21"/>
                      <w:highlight w:val="none"/>
                      <w:lang w:val="en-US" w:eastAsia="zh-CN"/>
                    </w:rPr>
                    <w:t>2</w:t>
                  </w:r>
                  <w:r>
                    <w:rPr>
                      <w:rFonts w:hint="eastAsia" w:ascii="Times New Roman" w:hAnsi="Times New Roman" w:eastAsia="宋体" w:cs="Times New Roman"/>
                      <w:spacing w:val="-6"/>
                      <w:kern w:val="0"/>
                      <w:sz w:val="21"/>
                      <w:szCs w:val="21"/>
                      <w:highlight w:val="none"/>
                      <w:lang w:val="en-US" w:eastAsia="zh-CN"/>
                    </w:rPr>
                    <w:t>#</w:t>
                  </w:r>
                  <w:r>
                    <w:rPr>
                      <w:rFonts w:hint="default" w:ascii="Times New Roman" w:hAnsi="Times New Roman" w:eastAsia="宋体" w:cs="Times New Roman"/>
                      <w:spacing w:val="-6"/>
                      <w:kern w:val="0"/>
                      <w:sz w:val="21"/>
                      <w:szCs w:val="21"/>
                      <w:highlight w:val="none"/>
                    </w:rPr>
                    <w:t>稀土永磁浮动成型压机</w:t>
                  </w:r>
                </w:p>
              </w:tc>
              <w:tc>
                <w:tcPr>
                  <w:tcW w:w="1275" w:type="dxa"/>
                  <w:tcBorders>
                    <w:tl2br w:val="nil"/>
                    <w:tr2bl w:val="nil"/>
                  </w:tcBorders>
                  <w:shd w:val="clear" w:color="auto" w:fill="auto"/>
                  <w:noWrap w:val="0"/>
                  <w:vAlign w:val="center"/>
                </w:tcPr>
                <w:p w14:paraId="734112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YAN72F-200</w:t>
                  </w:r>
                </w:p>
              </w:tc>
              <w:tc>
                <w:tcPr>
                  <w:tcW w:w="765" w:type="dxa"/>
                  <w:tcBorders>
                    <w:tl2br w:val="nil"/>
                    <w:tr2bl w:val="nil"/>
                  </w:tcBorders>
                  <w:shd w:val="clear" w:color="auto" w:fill="auto"/>
                  <w:noWrap w:val="0"/>
                  <w:vAlign w:val="center"/>
                </w:tcPr>
                <w:p w14:paraId="7E0F1B3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1B73F57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63021FB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116.3</w:t>
                  </w:r>
                </w:p>
              </w:tc>
              <w:tc>
                <w:tcPr>
                  <w:tcW w:w="615" w:type="dxa"/>
                  <w:tcBorders>
                    <w:tl2br w:val="nil"/>
                    <w:tr2bl w:val="nil"/>
                  </w:tcBorders>
                  <w:noWrap w:val="0"/>
                  <w:vAlign w:val="center"/>
                </w:tcPr>
                <w:p w14:paraId="20AA646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88.8</w:t>
                  </w:r>
                </w:p>
              </w:tc>
              <w:tc>
                <w:tcPr>
                  <w:tcW w:w="510" w:type="dxa"/>
                  <w:tcBorders>
                    <w:tl2br w:val="nil"/>
                    <w:tr2bl w:val="nil"/>
                  </w:tcBorders>
                  <w:shd w:val="clear" w:color="auto" w:fill="auto"/>
                  <w:noWrap w:val="0"/>
                  <w:vAlign w:val="center"/>
                </w:tcPr>
                <w:p w14:paraId="6CAF2F2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shd w:val="clear" w:color="auto" w:fill="auto"/>
                  <w:noWrap w:val="0"/>
                  <w:vAlign w:val="center"/>
                </w:tcPr>
                <w:p w14:paraId="52A19F2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308CB5A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2AD2354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0F80CDD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067A135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21FF5FE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11ADB5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5EFAA275">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1B5E0A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21F26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rPr>
                    <w:t>1</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磁场成型压机</w:t>
                  </w:r>
                </w:p>
              </w:tc>
              <w:tc>
                <w:tcPr>
                  <w:tcW w:w="1275" w:type="dxa"/>
                  <w:tcBorders>
                    <w:tl2br w:val="nil"/>
                    <w:tr2bl w:val="nil"/>
                  </w:tcBorders>
                  <w:noWrap w:val="0"/>
                  <w:vAlign w:val="center"/>
                </w:tcPr>
                <w:p w14:paraId="4EE2CF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BDM-350PS</w:t>
                  </w:r>
                </w:p>
              </w:tc>
              <w:tc>
                <w:tcPr>
                  <w:tcW w:w="765" w:type="dxa"/>
                  <w:tcBorders>
                    <w:tl2br w:val="nil"/>
                    <w:tr2bl w:val="nil"/>
                  </w:tcBorders>
                  <w:noWrap w:val="0"/>
                  <w:vAlign w:val="center"/>
                </w:tcPr>
                <w:p w14:paraId="742B557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2F53E8D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57E5F12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112.9</w:t>
                  </w:r>
                </w:p>
              </w:tc>
              <w:tc>
                <w:tcPr>
                  <w:tcW w:w="615" w:type="dxa"/>
                  <w:tcBorders>
                    <w:tl2br w:val="nil"/>
                    <w:tr2bl w:val="nil"/>
                  </w:tcBorders>
                  <w:noWrap w:val="0"/>
                  <w:vAlign w:val="center"/>
                </w:tcPr>
                <w:p w14:paraId="285B83D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100.5</w:t>
                  </w:r>
                </w:p>
              </w:tc>
              <w:tc>
                <w:tcPr>
                  <w:tcW w:w="510" w:type="dxa"/>
                  <w:tcBorders>
                    <w:tl2br w:val="nil"/>
                    <w:tr2bl w:val="nil"/>
                  </w:tcBorders>
                  <w:noWrap w:val="0"/>
                  <w:vAlign w:val="center"/>
                </w:tcPr>
                <w:p w14:paraId="456EEEE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457003B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603F270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43998DF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7E173A1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1F0EF21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421735F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618DF9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266A73DD">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45B8A3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787806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2</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磁场成型压机</w:t>
                  </w:r>
                </w:p>
              </w:tc>
              <w:tc>
                <w:tcPr>
                  <w:tcW w:w="1275" w:type="dxa"/>
                  <w:tcBorders>
                    <w:tl2br w:val="nil"/>
                    <w:tr2bl w:val="nil"/>
                  </w:tcBorders>
                  <w:shd w:val="clear" w:color="auto" w:fill="auto"/>
                  <w:noWrap w:val="0"/>
                  <w:vAlign w:val="center"/>
                </w:tcPr>
                <w:p w14:paraId="0115CD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BDM-350PS</w:t>
                  </w:r>
                </w:p>
              </w:tc>
              <w:tc>
                <w:tcPr>
                  <w:tcW w:w="765" w:type="dxa"/>
                  <w:tcBorders>
                    <w:tl2br w:val="nil"/>
                    <w:tr2bl w:val="nil"/>
                  </w:tcBorders>
                  <w:shd w:val="clear" w:color="auto" w:fill="auto"/>
                  <w:noWrap w:val="0"/>
                  <w:vAlign w:val="center"/>
                </w:tcPr>
                <w:p w14:paraId="124FF56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22DC718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7384485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110.4</w:t>
                  </w:r>
                </w:p>
              </w:tc>
              <w:tc>
                <w:tcPr>
                  <w:tcW w:w="615" w:type="dxa"/>
                  <w:tcBorders>
                    <w:tl2br w:val="nil"/>
                    <w:tr2bl w:val="nil"/>
                  </w:tcBorders>
                  <w:noWrap w:val="0"/>
                  <w:vAlign w:val="center"/>
                </w:tcPr>
                <w:p w14:paraId="150908C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91.0</w:t>
                  </w:r>
                </w:p>
              </w:tc>
              <w:tc>
                <w:tcPr>
                  <w:tcW w:w="510" w:type="dxa"/>
                  <w:tcBorders>
                    <w:tl2br w:val="nil"/>
                    <w:tr2bl w:val="nil"/>
                  </w:tcBorders>
                  <w:noWrap w:val="0"/>
                  <w:vAlign w:val="center"/>
                </w:tcPr>
                <w:p w14:paraId="3352E19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2C27BB2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5A036CD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15B8311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0669022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67C322C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34BD18B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60D77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335D61AC">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69ABEE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49192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3</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磁场成型压机</w:t>
                  </w:r>
                </w:p>
              </w:tc>
              <w:tc>
                <w:tcPr>
                  <w:tcW w:w="1275" w:type="dxa"/>
                  <w:tcBorders>
                    <w:tl2br w:val="nil"/>
                    <w:tr2bl w:val="nil"/>
                  </w:tcBorders>
                  <w:shd w:val="clear" w:color="auto" w:fill="auto"/>
                  <w:noWrap w:val="0"/>
                  <w:vAlign w:val="center"/>
                </w:tcPr>
                <w:p w14:paraId="28ADFC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BDM-350PS</w:t>
                  </w:r>
                </w:p>
              </w:tc>
              <w:tc>
                <w:tcPr>
                  <w:tcW w:w="765" w:type="dxa"/>
                  <w:tcBorders>
                    <w:tl2br w:val="nil"/>
                    <w:tr2bl w:val="nil"/>
                  </w:tcBorders>
                  <w:shd w:val="clear" w:color="auto" w:fill="auto"/>
                  <w:noWrap w:val="0"/>
                  <w:vAlign w:val="center"/>
                </w:tcPr>
                <w:p w14:paraId="6B9FB31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2C35819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306349B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104.9</w:t>
                  </w:r>
                </w:p>
              </w:tc>
              <w:tc>
                <w:tcPr>
                  <w:tcW w:w="615" w:type="dxa"/>
                  <w:tcBorders>
                    <w:tl2br w:val="nil"/>
                    <w:tr2bl w:val="nil"/>
                  </w:tcBorders>
                  <w:noWrap w:val="0"/>
                  <w:vAlign w:val="center"/>
                </w:tcPr>
                <w:p w14:paraId="1B14C8E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103.2</w:t>
                  </w:r>
                </w:p>
              </w:tc>
              <w:tc>
                <w:tcPr>
                  <w:tcW w:w="510" w:type="dxa"/>
                  <w:tcBorders>
                    <w:tl2br w:val="nil"/>
                    <w:tr2bl w:val="nil"/>
                  </w:tcBorders>
                  <w:noWrap w:val="0"/>
                  <w:vAlign w:val="center"/>
                </w:tcPr>
                <w:p w14:paraId="0C7E721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792B2F7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4BA26FB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66B255A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4DE4995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79E85CF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0E06444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3E92B7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274AFEC8">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042414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513AA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4</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磁场成型压机</w:t>
                  </w:r>
                </w:p>
              </w:tc>
              <w:tc>
                <w:tcPr>
                  <w:tcW w:w="1275" w:type="dxa"/>
                  <w:tcBorders>
                    <w:tl2br w:val="nil"/>
                    <w:tr2bl w:val="nil"/>
                  </w:tcBorders>
                  <w:shd w:val="clear" w:color="auto" w:fill="auto"/>
                  <w:noWrap w:val="0"/>
                  <w:vAlign w:val="center"/>
                </w:tcPr>
                <w:p w14:paraId="69E3F6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BDM-350PS</w:t>
                  </w:r>
                </w:p>
              </w:tc>
              <w:tc>
                <w:tcPr>
                  <w:tcW w:w="765" w:type="dxa"/>
                  <w:tcBorders>
                    <w:tl2br w:val="nil"/>
                    <w:tr2bl w:val="nil"/>
                  </w:tcBorders>
                  <w:shd w:val="clear" w:color="auto" w:fill="auto"/>
                  <w:noWrap w:val="0"/>
                  <w:vAlign w:val="center"/>
                </w:tcPr>
                <w:p w14:paraId="29FF224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2DDBC11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5667C1D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101.8</w:t>
                  </w:r>
                </w:p>
              </w:tc>
              <w:tc>
                <w:tcPr>
                  <w:tcW w:w="615" w:type="dxa"/>
                  <w:tcBorders>
                    <w:tl2br w:val="nil"/>
                    <w:tr2bl w:val="nil"/>
                  </w:tcBorders>
                  <w:noWrap w:val="0"/>
                  <w:vAlign w:val="center"/>
                </w:tcPr>
                <w:p w14:paraId="6516D4E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93.7</w:t>
                  </w:r>
                </w:p>
              </w:tc>
              <w:tc>
                <w:tcPr>
                  <w:tcW w:w="510" w:type="dxa"/>
                  <w:tcBorders>
                    <w:tl2br w:val="nil"/>
                    <w:tr2bl w:val="nil"/>
                  </w:tcBorders>
                  <w:noWrap w:val="0"/>
                  <w:vAlign w:val="center"/>
                </w:tcPr>
                <w:p w14:paraId="7F39F3D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58D2FC6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74CFE08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3418F48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p>
              </w:tc>
              <w:tc>
                <w:tcPr>
                  <w:tcW w:w="900" w:type="dxa"/>
                  <w:tcBorders>
                    <w:tl2br w:val="nil"/>
                    <w:tr2bl w:val="nil"/>
                  </w:tcBorders>
                  <w:shd w:val="clear" w:color="auto" w:fill="auto"/>
                  <w:noWrap w:val="0"/>
                  <w:vAlign w:val="center"/>
                </w:tcPr>
                <w:p w14:paraId="10DFA53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7D097B6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06776D7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4D39DA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0FE829AA">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2B51D4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26CEC3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rPr>
                    <w:t>1#</w:t>
                  </w:r>
                  <w:r>
                    <w:rPr>
                      <w:rFonts w:hint="default" w:ascii="Times New Roman" w:hAnsi="Times New Roman" w:eastAsia="宋体" w:cs="Times New Roman"/>
                      <w:kern w:val="0"/>
                      <w:sz w:val="21"/>
                      <w:szCs w:val="21"/>
                      <w:highlight w:val="none"/>
                    </w:rPr>
                    <w:t>全电动磁场成型压机</w:t>
                  </w:r>
                </w:p>
              </w:tc>
              <w:tc>
                <w:tcPr>
                  <w:tcW w:w="1275" w:type="dxa"/>
                  <w:tcBorders>
                    <w:tl2br w:val="nil"/>
                    <w:tr2bl w:val="nil"/>
                  </w:tcBorders>
                  <w:noWrap w:val="0"/>
                  <w:vAlign w:val="center"/>
                </w:tcPr>
                <w:p w14:paraId="4E65BB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kern w:val="0"/>
                      <w:sz w:val="21"/>
                      <w:szCs w:val="21"/>
                      <w:highlight w:val="none"/>
                    </w:rPr>
                    <w:t>BDES-350/400KN</w:t>
                  </w:r>
                </w:p>
              </w:tc>
              <w:tc>
                <w:tcPr>
                  <w:tcW w:w="765" w:type="dxa"/>
                  <w:tcBorders>
                    <w:tl2br w:val="nil"/>
                    <w:tr2bl w:val="nil"/>
                  </w:tcBorders>
                  <w:noWrap w:val="0"/>
                  <w:vAlign w:val="center"/>
                </w:tcPr>
                <w:p w14:paraId="4F5AE44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52E2FA7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154B9B4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96.9</w:t>
                  </w:r>
                </w:p>
              </w:tc>
              <w:tc>
                <w:tcPr>
                  <w:tcW w:w="615" w:type="dxa"/>
                  <w:tcBorders>
                    <w:tl2br w:val="nil"/>
                    <w:tr2bl w:val="nil"/>
                  </w:tcBorders>
                  <w:noWrap w:val="0"/>
                  <w:vAlign w:val="center"/>
                </w:tcPr>
                <w:p w14:paraId="59F2E1E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106.0</w:t>
                  </w:r>
                </w:p>
              </w:tc>
              <w:tc>
                <w:tcPr>
                  <w:tcW w:w="510" w:type="dxa"/>
                  <w:tcBorders>
                    <w:tl2br w:val="nil"/>
                    <w:tr2bl w:val="nil"/>
                  </w:tcBorders>
                  <w:noWrap w:val="0"/>
                  <w:vAlign w:val="center"/>
                </w:tcPr>
                <w:p w14:paraId="4791512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72A835F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7FF2F91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1E65491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35051CA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4723869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2ABC495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w:t>
                  </w:r>
                </w:p>
              </w:tc>
            </w:tr>
            <w:tr w14:paraId="6460EA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7D4DADB2">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6A226C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CC3E6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2#</w:t>
                  </w:r>
                  <w:r>
                    <w:rPr>
                      <w:rFonts w:hint="default" w:ascii="Times New Roman" w:hAnsi="Times New Roman" w:eastAsia="宋体" w:cs="Times New Roman"/>
                      <w:kern w:val="0"/>
                      <w:sz w:val="21"/>
                      <w:szCs w:val="21"/>
                      <w:highlight w:val="none"/>
                    </w:rPr>
                    <w:t>全电动磁场成型压机</w:t>
                  </w:r>
                </w:p>
              </w:tc>
              <w:tc>
                <w:tcPr>
                  <w:tcW w:w="1275" w:type="dxa"/>
                  <w:tcBorders>
                    <w:tl2br w:val="nil"/>
                    <w:tr2bl w:val="nil"/>
                  </w:tcBorders>
                  <w:noWrap w:val="0"/>
                  <w:vAlign w:val="center"/>
                </w:tcPr>
                <w:p w14:paraId="03A504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BDES-350/400KN</w:t>
                  </w:r>
                </w:p>
              </w:tc>
              <w:tc>
                <w:tcPr>
                  <w:tcW w:w="765" w:type="dxa"/>
                  <w:tcBorders>
                    <w:tl2br w:val="nil"/>
                    <w:tr2bl w:val="nil"/>
                  </w:tcBorders>
                  <w:noWrap w:val="0"/>
                  <w:vAlign w:val="center"/>
                </w:tcPr>
                <w:p w14:paraId="6B6B9D3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4E2FDE4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168AA78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94.1</w:t>
                  </w:r>
                </w:p>
              </w:tc>
              <w:tc>
                <w:tcPr>
                  <w:tcW w:w="615" w:type="dxa"/>
                  <w:tcBorders>
                    <w:tl2br w:val="nil"/>
                    <w:tr2bl w:val="nil"/>
                  </w:tcBorders>
                  <w:noWrap w:val="0"/>
                  <w:vAlign w:val="center"/>
                </w:tcPr>
                <w:p w14:paraId="48105A9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96.5</w:t>
                  </w:r>
                </w:p>
              </w:tc>
              <w:tc>
                <w:tcPr>
                  <w:tcW w:w="510" w:type="dxa"/>
                  <w:tcBorders>
                    <w:tl2br w:val="nil"/>
                    <w:tr2bl w:val="nil"/>
                  </w:tcBorders>
                  <w:noWrap w:val="0"/>
                  <w:vAlign w:val="center"/>
                </w:tcPr>
                <w:p w14:paraId="3FF950C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662B3FD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29ED4C5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2D395AF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453F5E1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7F9225A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01C42FC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w:t>
                  </w:r>
                </w:p>
              </w:tc>
            </w:tr>
            <w:tr w14:paraId="7147FC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57CC7BBB">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701835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1DADE4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3#</w:t>
                  </w:r>
                  <w:r>
                    <w:rPr>
                      <w:rFonts w:hint="default" w:ascii="Times New Roman" w:hAnsi="Times New Roman" w:eastAsia="宋体" w:cs="Times New Roman"/>
                      <w:kern w:val="0"/>
                      <w:sz w:val="21"/>
                      <w:szCs w:val="21"/>
                      <w:highlight w:val="none"/>
                    </w:rPr>
                    <w:t>全电动磁场成型压机</w:t>
                  </w:r>
                </w:p>
              </w:tc>
              <w:tc>
                <w:tcPr>
                  <w:tcW w:w="1275" w:type="dxa"/>
                  <w:tcBorders>
                    <w:tl2br w:val="nil"/>
                    <w:tr2bl w:val="nil"/>
                  </w:tcBorders>
                  <w:noWrap w:val="0"/>
                  <w:vAlign w:val="center"/>
                </w:tcPr>
                <w:p w14:paraId="449A30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BDES-350/400KN</w:t>
                  </w:r>
                </w:p>
              </w:tc>
              <w:tc>
                <w:tcPr>
                  <w:tcW w:w="765" w:type="dxa"/>
                  <w:tcBorders>
                    <w:tl2br w:val="nil"/>
                    <w:tr2bl w:val="nil"/>
                  </w:tcBorders>
                  <w:noWrap w:val="0"/>
                  <w:vAlign w:val="center"/>
                </w:tcPr>
                <w:p w14:paraId="4FB6C9A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0AA9D7B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62F110D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91.7</w:t>
                  </w:r>
                </w:p>
              </w:tc>
              <w:tc>
                <w:tcPr>
                  <w:tcW w:w="615" w:type="dxa"/>
                  <w:tcBorders>
                    <w:tl2br w:val="nil"/>
                    <w:tr2bl w:val="nil"/>
                  </w:tcBorders>
                  <w:noWrap w:val="0"/>
                  <w:vAlign w:val="center"/>
                </w:tcPr>
                <w:p w14:paraId="4C508DB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109.4</w:t>
                  </w:r>
                </w:p>
              </w:tc>
              <w:tc>
                <w:tcPr>
                  <w:tcW w:w="510" w:type="dxa"/>
                  <w:tcBorders>
                    <w:tl2br w:val="nil"/>
                    <w:tr2bl w:val="nil"/>
                  </w:tcBorders>
                  <w:noWrap w:val="0"/>
                  <w:vAlign w:val="center"/>
                </w:tcPr>
                <w:p w14:paraId="4BE7A0D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05C8D3F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258761D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16A3F0E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6F28C13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3CE1EDC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785BDB6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w:t>
                  </w:r>
                </w:p>
              </w:tc>
            </w:tr>
            <w:tr w14:paraId="7DB3F4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70105933">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394F11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AA7AE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4#</w:t>
                  </w:r>
                  <w:r>
                    <w:rPr>
                      <w:rFonts w:hint="default" w:ascii="Times New Roman" w:hAnsi="Times New Roman" w:eastAsia="宋体" w:cs="Times New Roman"/>
                      <w:kern w:val="0"/>
                      <w:sz w:val="21"/>
                      <w:szCs w:val="21"/>
                      <w:highlight w:val="none"/>
                    </w:rPr>
                    <w:t>全电动磁场成型压机</w:t>
                  </w:r>
                </w:p>
              </w:tc>
              <w:tc>
                <w:tcPr>
                  <w:tcW w:w="1275" w:type="dxa"/>
                  <w:tcBorders>
                    <w:tl2br w:val="nil"/>
                    <w:tr2bl w:val="nil"/>
                  </w:tcBorders>
                  <w:noWrap w:val="0"/>
                  <w:vAlign w:val="center"/>
                </w:tcPr>
                <w:p w14:paraId="26D3AA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BDES-350/400KN</w:t>
                  </w:r>
                </w:p>
              </w:tc>
              <w:tc>
                <w:tcPr>
                  <w:tcW w:w="765" w:type="dxa"/>
                  <w:tcBorders>
                    <w:tl2br w:val="nil"/>
                    <w:tr2bl w:val="nil"/>
                  </w:tcBorders>
                  <w:noWrap w:val="0"/>
                  <w:vAlign w:val="center"/>
                </w:tcPr>
                <w:p w14:paraId="042FA5B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48B08B5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5E28154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86.5</w:t>
                  </w:r>
                </w:p>
              </w:tc>
              <w:tc>
                <w:tcPr>
                  <w:tcW w:w="615" w:type="dxa"/>
                  <w:tcBorders>
                    <w:tl2br w:val="nil"/>
                    <w:tr2bl w:val="nil"/>
                  </w:tcBorders>
                  <w:noWrap w:val="0"/>
                  <w:vAlign w:val="center"/>
                </w:tcPr>
                <w:p w14:paraId="44B2C24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99.3</w:t>
                  </w:r>
                </w:p>
              </w:tc>
              <w:tc>
                <w:tcPr>
                  <w:tcW w:w="510" w:type="dxa"/>
                  <w:tcBorders>
                    <w:tl2br w:val="nil"/>
                    <w:tr2bl w:val="nil"/>
                  </w:tcBorders>
                  <w:noWrap w:val="0"/>
                  <w:vAlign w:val="center"/>
                </w:tcPr>
                <w:p w14:paraId="73641FD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7793468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7D759BB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57.60</w:t>
                  </w:r>
                </w:p>
              </w:tc>
              <w:tc>
                <w:tcPr>
                  <w:tcW w:w="765" w:type="dxa"/>
                  <w:vMerge w:val="continue"/>
                  <w:tcBorders>
                    <w:tl2br w:val="nil"/>
                    <w:tr2bl w:val="nil"/>
                  </w:tcBorders>
                  <w:noWrap w:val="0"/>
                  <w:vAlign w:val="center"/>
                </w:tcPr>
                <w:p w14:paraId="5B38774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779C499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333CA90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36.60</w:t>
                  </w:r>
                </w:p>
              </w:tc>
              <w:tc>
                <w:tcPr>
                  <w:tcW w:w="842" w:type="dxa"/>
                  <w:tcBorders>
                    <w:tl2br w:val="nil"/>
                    <w:tr2bl w:val="nil"/>
                  </w:tcBorders>
                  <w:noWrap w:val="0"/>
                  <w:vAlign w:val="center"/>
                </w:tcPr>
                <w:p w14:paraId="1A39E15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w:t>
                  </w:r>
                </w:p>
              </w:tc>
            </w:tr>
            <w:tr w14:paraId="20223F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52297C9A">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continue"/>
                  <w:tcBorders>
                    <w:tl2br w:val="nil"/>
                    <w:tr2bl w:val="nil"/>
                  </w:tcBorders>
                  <w:noWrap w:val="0"/>
                  <w:vAlign w:val="center"/>
                </w:tcPr>
                <w:p w14:paraId="744C0D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2C7C57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1</w:t>
                  </w:r>
                  <w:r>
                    <w:rPr>
                      <w:rFonts w:hint="eastAsia" w:ascii="Times New Roman" w:hAnsi="Times New Roman" w:eastAsia="宋体" w:cs="Times New Roman"/>
                      <w:kern w:val="0"/>
                      <w:sz w:val="21"/>
                      <w:szCs w:val="21"/>
                      <w:highlight w:val="none"/>
                      <w:lang w:val="en-US" w:eastAsia="zh-CN"/>
                    </w:rPr>
                    <w:t>#外循环真空烧结炉</w:t>
                  </w:r>
                </w:p>
              </w:tc>
              <w:tc>
                <w:tcPr>
                  <w:tcW w:w="1275" w:type="dxa"/>
                  <w:tcBorders>
                    <w:tl2br w:val="nil"/>
                    <w:tr2bl w:val="nil"/>
                  </w:tcBorders>
                  <w:noWrap w:val="0"/>
                  <w:vAlign w:val="center"/>
                </w:tcPr>
                <w:p w14:paraId="6DAD68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765" w:type="dxa"/>
                  <w:tcBorders>
                    <w:tl2br w:val="nil"/>
                    <w:tr2bl w:val="nil"/>
                  </w:tcBorders>
                  <w:noWrap w:val="0"/>
                  <w:vAlign w:val="center"/>
                </w:tcPr>
                <w:p w14:paraId="1AC5A86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7F3040F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345B6EC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53.6</w:t>
                  </w:r>
                </w:p>
              </w:tc>
              <w:tc>
                <w:tcPr>
                  <w:tcW w:w="615" w:type="dxa"/>
                  <w:tcBorders>
                    <w:tl2br w:val="nil"/>
                    <w:tr2bl w:val="nil"/>
                  </w:tcBorders>
                  <w:noWrap w:val="0"/>
                  <w:vAlign w:val="center"/>
                </w:tcPr>
                <w:p w14:paraId="55DBFC5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47.0</w:t>
                  </w:r>
                </w:p>
              </w:tc>
              <w:tc>
                <w:tcPr>
                  <w:tcW w:w="510" w:type="dxa"/>
                  <w:tcBorders>
                    <w:tl2br w:val="nil"/>
                    <w:tr2bl w:val="nil"/>
                  </w:tcBorders>
                  <w:noWrap w:val="0"/>
                  <w:vAlign w:val="center"/>
                </w:tcPr>
                <w:p w14:paraId="2481365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27FFEF4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20</w:t>
                  </w:r>
                </w:p>
              </w:tc>
              <w:tc>
                <w:tcPr>
                  <w:tcW w:w="945" w:type="dxa"/>
                  <w:tcBorders>
                    <w:tl2br w:val="nil"/>
                    <w:tr2bl w:val="nil"/>
                  </w:tcBorders>
                  <w:noWrap w:val="0"/>
                  <w:vAlign w:val="center"/>
                </w:tcPr>
                <w:p w14:paraId="1899158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57.58</w:t>
                  </w:r>
                </w:p>
              </w:tc>
              <w:tc>
                <w:tcPr>
                  <w:tcW w:w="765" w:type="dxa"/>
                  <w:vMerge w:val="restart"/>
                  <w:tcBorders>
                    <w:tl2br w:val="nil"/>
                    <w:tr2bl w:val="nil"/>
                  </w:tcBorders>
                  <w:noWrap w:val="0"/>
                  <w:vAlign w:val="center"/>
                </w:tcPr>
                <w:p w14:paraId="7A5D490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24小时</w:t>
                  </w:r>
                </w:p>
              </w:tc>
              <w:tc>
                <w:tcPr>
                  <w:tcW w:w="900" w:type="dxa"/>
                  <w:tcBorders>
                    <w:tl2br w:val="nil"/>
                    <w:tr2bl w:val="nil"/>
                  </w:tcBorders>
                  <w:shd w:val="clear" w:color="auto" w:fill="auto"/>
                  <w:noWrap w:val="0"/>
                  <w:vAlign w:val="center"/>
                </w:tcPr>
                <w:p w14:paraId="171AA66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1D16289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36.58</w:t>
                  </w:r>
                </w:p>
              </w:tc>
              <w:tc>
                <w:tcPr>
                  <w:tcW w:w="842" w:type="dxa"/>
                  <w:tcBorders>
                    <w:tl2br w:val="nil"/>
                    <w:tr2bl w:val="nil"/>
                  </w:tcBorders>
                  <w:noWrap w:val="0"/>
                  <w:vAlign w:val="center"/>
                </w:tcPr>
                <w:p w14:paraId="24A013B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6B11B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0FB9730B">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3E3878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9FE88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2</w:t>
                  </w:r>
                  <w:r>
                    <w:rPr>
                      <w:rFonts w:hint="eastAsia" w:ascii="Times New Roman" w:hAnsi="Times New Roman" w:eastAsia="宋体" w:cs="Times New Roman"/>
                      <w:kern w:val="0"/>
                      <w:sz w:val="21"/>
                      <w:szCs w:val="21"/>
                      <w:highlight w:val="none"/>
                      <w:lang w:val="en-US" w:eastAsia="zh-CN"/>
                    </w:rPr>
                    <w:t>#外循环真空烧结炉</w:t>
                  </w:r>
                </w:p>
              </w:tc>
              <w:tc>
                <w:tcPr>
                  <w:tcW w:w="1275" w:type="dxa"/>
                  <w:tcBorders>
                    <w:tl2br w:val="nil"/>
                    <w:tr2bl w:val="nil"/>
                  </w:tcBorders>
                  <w:noWrap w:val="0"/>
                  <w:vAlign w:val="center"/>
                </w:tcPr>
                <w:p w14:paraId="3ED442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765" w:type="dxa"/>
                  <w:tcBorders>
                    <w:tl2br w:val="nil"/>
                    <w:tr2bl w:val="nil"/>
                  </w:tcBorders>
                  <w:noWrap w:val="0"/>
                  <w:vAlign w:val="center"/>
                </w:tcPr>
                <w:p w14:paraId="3B91A90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0482A0B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41FEF49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45.6</w:t>
                  </w:r>
                </w:p>
              </w:tc>
              <w:tc>
                <w:tcPr>
                  <w:tcW w:w="615" w:type="dxa"/>
                  <w:tcBorders>
                    <w:tl2br w:val="nil"/>
                    <w:tr2bl w:val="nil"/>
                  </w:tcBorders>
                  <w:noWrap w:val="0"/>
                  <w:vAlign w:val="center"/>
                </w:tcPr>
                <w:p w14:paraId="6F07819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34.2</w:t>
                  </w:r>
                </w:p>
              </w:tc>
              <w:tc>
                <w:tcPr>
                  <w:tcW w:w="510" w:type="dxa"/>
                  <w:tcBorders>
                    <w:tl2br w:val="nil"/>
                    <w:tr2bl w:val="nil"/>
                  </w:tcBorders>
                  <w:noWrap w:val="0"/>
                  <w:vAlign w:val="center"/>
                </w:tcPr>
                <w:p w14:paraId="2C1B346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31ED19C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20</w:t>
                  </w:r>
                </w:p>
              </w:tc>
              <w:tc>
                <w:tcPr>
                  <w:tcW w:w="945" w:type="dxa"/>
                  <w:tcBorders>
                    <w:tl2br w:val="nil"/>
                    <w:tr2bl w:val="nil"/>
                  </w:tcBorders>
                  <w:noWrap w:val="0"/>
                  <w:vAlign w:val="center"/>
                </w:tcPr>
                <w:p w14:paraId="3C8F6A3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57.58</w:t>
                  </w:r>
                </w:p>
              </w:tc>
              <w:tc>
                <w:tcPr>
                  <w:tcW w:w="765" w:type="dxa"/>
                  <w:vMerge w:val="continue"/>
                  <w:tcBorders>
                    <w:tl2br w:val="nil"/>
                    <w:tr2bl w:val="nil"/>
                  </w:tcBorders>
                  <w:noWrap w:val="0"/>
                  <w:vAlign w:val="center"/>
                </w:tcPr>
                <w:p w14:paraId="75DB554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4837C0E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363D872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36.58</w:t>
                  </w:r>
                </w:p>
              </w:tc>
              <w:tc>
                <w:tcPr>
                  <w:tcW w:w="842" w:type="dxa"/>
                  <w:tcBorders>
                    <w:tl2br w:val="nil"/>
                    <w:tr2bl w:val="nil"/>
                  </w:tcBorders>
                  <w:noWrap w:val="0"/>
                  <w:vAlign w:val="center"/>
                </w:tcPr>
                <w:p w14:paraId="53CCBC4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381DC1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6EAB6F2D">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611EFD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6556DA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3</w:t>
                  </w:r>
                  <w:r>
                    <w:rPr>
                      <w:rFonts w:hint="eastAsia" w:ascii="Times New Roman" w:hAnsi="Times New Roman" w:eastAsia="宋体" w:cs="Times New Roman"/>
                      <w:kern w:val="0"/>
                      <w:sz w:val="21"/>
                      <w:szCs w:val="21"/>
                      <w:highlight w:val="none"/>
                      <w:lang w:val="en-US" w:eastAsia="zh-CN"/>
                    </w:rPr>
                    <w:t>#外循环真空烧结炉</w:t>
                  </w:r>
                </w:p>
              </w:tc>
              <w:tc>
                <w:tcPr>
                  <w:tcW w:w="1275" w:type="dxa"/>
                  <w:tcBorders>
                    <w:tl2br w:val="nil"/>
                    <w:tr2bl w:val="nil"/>
                  </w:tcBorders>
                  <w:noWrap w:val="0"/>
                  <w:vAlign w:val="center"/>
                </w:tcPr>
                <w:p w14:paraId="32D3E9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765" w:type="dxa"/>
                  <w:tcBorders>
                    <w:tl2br w:val="nil"/>
                    <w:tr2bl w:val="nil"/>
                  </w:tcBorders>
                  <w:noWrap w:val="0"/>
                  <w:vAlign w:val="center"/>
                </w:tcPr>
                <w:p w14:paraId="3991251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2E49AA5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7D71BBD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67.1</w:t>
                  </w:r>
                </w:p>
              </w:tc>
              <w:tc>
                <w:tcPr>
                  <w:tcW w:w="615" w:type="dxa"/>
                  <w:tcBorders>
                    <w:tl2br w:val="nil"/>
                    <w:tr2bl w:val="nil"/>
                  </w:tcBorders>
                  <w:noWrap w:val="0"/>
                  <w:vAlign w:val="center"/>
                </w:tcPr>
                <w:p w14:paraId="7FEA839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39.1</w:t>
                  </w:r>
                </w:p>
              </w:tc>
              <w:tc>
                <w:tcPr>
                  <w:tcW w:w="510" w:type="dxa"/>
                  <w:tcBorders>
                    <w:tl2br w:val="nil"/>
                    <w:tr2bl w:val="nil"/>
                  </w:tcBorders>
                  <w:noWrap w:val="0"/>
                  <w:vAlign w:val="center"/>
                </w:tcPr>
                <w:p w14:paraId="56FF766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05344A0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20</w:t>
                  </w:r>
                </w:p>
              </w:tc>
              <w:tc>
                <w:tcPr>
                  <w:tcW w:w="945" w:type="dxa"/>
                  <w:tcBorders>
                    <w:tl2br w:val="nil"/>
                    <w:tr2bl w:val="nil"/>
                  </w:tcBorders>
                  <w:noWrap w:val="0"/>
                  <w:vAlign w:val="center"/>
                </w:tcPr>
                <w:p w14:paraId="5BEEFC3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57.58</w:t>
                  </w:r>
                </w:p>
              </w:tc>
              <w:tc>
                <w:tcPr>
                  <w:tcW w:w="765" w:type="dxa"/>
                  <w:vMerge w:val="continue"/>
                  <w:tcBorders>
                    <w:tl2br w:val="nil"/>
                    <w:tr2bl w:val="nil"/>
                  </w:tcBorders>
                  <w:noWrap w:val="0"/>
                  <w:vAlign w:val="center"/>
                </w:tcPr>
                <w:p w14:paraId="27C7B9F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0C39A2B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023C95E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36.58</w:t>
                  </w:r>
                </w:p>
              </w:tc>
              <w:tc>
                <w:tcPr>
                  <w:tcW w:w="842" w:type="dxa"/>
                  <w:tcBorders>
                    <w:tl2br w:val="nil"/>
                    <w:tr2bl w:val="nil"/>
                  </w:tcBorders>
                  <w:noWrap w:val="0"/>
                  <w:vAlign w:val="center"/>
                </w:tcPr>
                <w:p w14:paraId="0980DA6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230C1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680F7FA1">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0F6871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3831A7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4</w:t>
                  </w:r>
                  <w:r>
                    <w:rPr>
                      <w:rFonts w:hint="eastAsia" w:ascii="Times New Roman" w:hAnsi="Times New Roman" w:eastAsia="宋体" w:cs="Times New Roman"/>
                      <w:kern w:val="0"/>
                      <w:sz w:val="21"/>
                      <w:szCs w:val="21"/>
                      <w:highlight w:val="none"/>
                      <w:lang w:val="en-US" w:eastAsia="zh-CN"/>
                    </w:rPr>
                    <w:t>#外循环真空烧结炉</w:t>
                  </w:r>
                </w:p>
              </w:tc>
              <w:tc>
                <w:tcPr>
                  <w:tcW w:w="1275" w:type="dxa"/>
                  <w:tcBorders>
                    <w:tl2br w:val="nil"/>
                    <w:tr2bl w:val="nil"/>
                  </w:tcBorders>
                  <w:noWrap w:val="0"/>
                  <w:vAlign w:val="center"/>
                </w:tcPr>
                <w:p w14:paraId="01726C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765" w:type="dxa"/>
                  <w:tcBorders>
                    <w:tl2br w:val="nil"/>
                    <w:tr2bl w:val="nil"/>
                  </w:tcBorders>
                  <w:noWrap w:val="0"/>
                  <w:vAlign w:val="center"/>
                </w:tcPr>
                <w:p w14:paraId="3120D8B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4460F33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224960D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59.4</w:t>
                  </w:r>
                </w:p>
              </w:tc>
              <w:tc>
                <w:tcPr>
                  <w:tcW w:w="615" w:type="dxa"/>
                  <w:tcBorders>
                    <w:tl2br w:val="nil"/>
                    <w:tr2bl w:val="nil"/>
                  </w:tcBorders>
                  <w:noWrap w:val="0"/>
                  <w:vAlign w:val="center"/>
                </w:tcPr>
                <w:p w14:paraId="106C4D8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28.3</w:t>
                  </w:r>
                </w:p>
              </w:tc>
              <w:tc>
                <w:tcPr>
                  <w:tcW w:w="510" w:type="dxa"/>
                  <w:tcBorders>
                    <w:tl2br w:val="nil"/>
                    <w:tr2bl w:val="nil"/>
                  </w:tcBorders>
                  <w:noWrap w:val="0"/>
                  <w:vAlign w:val="center"/>
                </w:tcPr>
                <w:p w14:paraId="7820748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47C8D1B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20</w:t>
                  </w:r>
                </w:p>
              </w:tc>
              <w:tc>
                <w:tcPr>
                  <w:tcW w:w="945" w:type="dxa"/>
                  <w:tcBorders>
                    <w:tl2br w:val="nil"/>
                    <w:tr2bl w:val="nil"/>
                  </w:tcBorders>
                  <w:noWrap w:val="0"/>
                  <w:vAlign w:val="center"/>
                </w:tcPr>
                <w:p w14:paraId="6EF97C5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57.58</w:t>
                  </w:r>
                </w:p>
              </w:tc>
              <w:tc>
                <w:tcPr>
                  <w:tcW w:w="765" w:type="dxa"/>
                  <w:vMerge w:val="continue"/>
                  <w:tcBorders>
                    <w:tl2br w:val="nil"/>
                    <w:tr2bl w:val="nil"/>
                  </w:tcBorders>
                  <w:noWrap w:val="0"/>
                  <w:vAlign w:val="center"/>
                </w:tcPr>
                <w:p w14:paraId="475C1D3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3744DB33">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203D714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36.58</w:t>
                  </w:r>
                </w:p>
              </w:tc>
              <w:tc>
                <w:tcPr>
                  <w:tcW w:w="842" w:type="dxa"/>
                  <w:tcBorders>
                    <w:tl2br w:val="nil"/>
                    <w:tr2bl w:val="nil"/>
                  </w:tcBorders>
                  <w:noWrap w:val="0"/>
                  <w:vAlign w:val="center"/>
                </w:tcPr>
                <w:p w14:paraId="0B64416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281545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68F14CC3">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0BBD49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DB5B3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5</w:t>
                  </w:r>
                  <w:r>
                    <w:rPr>
                      <w:rFonts w:hint="eastAsia" w:ascii="Times New Roman" w:hAnsi="Times New Roman" w:eastAsia="宋体" w:cs="Times New Roman"/>
                      <w:kern w:val="0"/>
                      <w:sz w:val="21"/>
                      <w:szCs w:val="21"/>
                      <w:highlight w:val="none"/>
                      <w:lang w:val="en-US" w:eastAsia="zh-CN"/>
                    </w:rPr>
                    <w:t>#外循环真空烧结炉</w:t>
                  </w:r>
                </w:p>
              </w:tc>
              <w:tc>
                <w:tcPr>
                  <w:tcW w:w="1275" w:type="dxa"/>
                  <w:tcBorders>
                    <w:tl2br w:val="nil"/>
                    <w:tr2bl w:val="nil"/>
                  </w:tcBorders>
                  <w:noWrap w:val="0"/>
                  <w:vAlign w:val="center"/>
                </w:tcPr>
                <w:p w14:paraId="19AFCC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765" w:type="dxa"/>
                  <w:tcBorders>
                    <w:tl2br w:val="nil"/>
                    <w:tr2bl w:val="nil"/>
                  </w:tcBorders>
                  <w:noWrap w:val="0"/>
                  <w:vAlign w:val="center"/>
                </w:tcPr>
                <w:p w14:paraId="23784C6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633A3AC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71D1733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76.6</w:t>
                  </w:r>
                </w:p>
              </w:tc>
              <w:tc>
                <w:tcPr>
                  <w:tcW w:w="615" w:type="dxa"/>
                  <w:tcBorders>
                    <w:tl2br w:val="nil"/>
                    <w:tr2bl w:val="nil"/>
                  </w:tcBorders>
                  <w:noWrap w:val="0"/>
                  <w:vAlign w:val="center"/>
                </w:tcPr>
                <w:p w14:paraId="2A80E43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34.2</w:t>
                  </w:r>
                </w:p>
              </w:tc>
              <w:tc>
                <w:tcPr>
                  <w:tcW w:w="510" w:type="dxa"/>
                  <w:tcBorders>
                    <w:tl2br w:val="nil"/>
                    <w:tr2bl w:val="nil"/>
                  </w:tcBorders>
                  <w:noWrap w:val="0"/>
                  <w:vAlign w:val="center"/>
                </w:tcPr>
                <w:p w14:paraId="660AADE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4F456A1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20</w:t>
                  </w:r>
                </w:p>
              </w:tc>
              <w:tc>
                <w:tcPr>
                  <w:tcW w:w="945" w:type="dxa"/>
                  <w:tcBorders>
                    <w:tl2br w:val="nil"/>
                    <w:tr2bl w:val="nil"/>
                  </w:tcBorders>
                  <w:noWrap w:val="0"/>
                  <w:vAlign w:val="center"/>
                </w:tcPr>
                <w:p w14:paraId="71727BD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57.58</w:t>
                  </w:r>
                </w:p>
              </w:tc>
              <w:tc>
                <w:tcPr>
                  <w:tcW w:w="765" w:type="dxa"/>
                  <w:vMerge w:val="continue"/>
                  <w:tcBorders>
                    <w:tl2br w:val="nil"/>
                    <w:tr2bl w:val="nil"/>
                  </w:tcBorders>
                  <w:noWrap w:val="0"/>
                  <w:vAlign w:val="center"/>
                </w:tcPr>
                <w:p w14:paraId="61A0670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3AE7302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6D45892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36.58</w:t>
                  </w:r>
                </w:p>
              </w:tc>
              <w:tc>
                <w:tcPr>
                  <w:tcW w:w="842" w:type="dxa"/>
                  <w:tcBorders>
                    <w:tl2br w:val="nil"/>
                    <w:tr2bl w:val="nil"/>
                  </w:tcBorders>
                  <w:noWrap w:val="0"/>
                  <w:vAlign w:val="center"/>
                </w:tcPr>
                <w:p w14:paraId="1F83A62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682B1E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53A7C3AF">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059A90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3A1246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6</w:t>
                  </w:r>
                  <w:r>
                    <w:rPr>
                      <w:rFonts w:hint="eastAsia" w:ascii="Times New Roman" w:hAnsi="Times New Roman" w:eastAsia="宋体" w:cs="Times New Roman"/>
                      <w:kern w:val="0"/>
                      <w:sz w:val="21"/>
                      <w:szCs w:val="21"/>
                      <w:highlight w:val="none"/>
                      <w:lang w:val="en-US" w:eastAsia="zh-CN"/>
                    </w:rPr>
                    <w:t>#外循环真空烧结炉</w:t>
                  </w:r>
                </w:p>
              </w:tc>
              <w:tc>
                <w:tcPr>
                  <w:tcW w:w="1275" w:type="dxa"/>
                  <w:tcBorders>
                    <w:tl2br w:val="nil"/>
                    <w:tr2bl w:val="nil"/>
                  </w:tcBorders>
                  <w:noWrap w:val="0"/>
                  <w:vAlign w:val="center"/>
                </w:tcPr>
                <w:p w14:paraId="5542B7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765" w:type="dxa"/>
                  <w:tcBorders>
                    <w:tl2br w:val="nil"/>
                    <w:tr2bl w:val="nil"/>
                  </w:tcBorders>
                  <w:noWrap w:val="0"/>
                  <w:vAlign w:val="center"/>
                </w:tcPr>
                <w:p w14:paraId="39D0B0E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102E28C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30E6E6D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72.3</w:t>
                  </w:r>
                </w:p>
              </w:tc>
              <w:tc>
                <w:tcPr>
                  <w:tcW w:w="615" w:type="dxa"/>
                  <w:tcBorders>
                    <w:tl2br w:val="nil"/>
                    <w:tr2bl w:val="nil"/>
                  </w:tcBorders>
                  <w:noWrap w:val="0"/>
                  <w:vAlign w:val="center"/>
                </w:tcPr>
                <w:p w14:paraId="011A95D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22.5</w:t>
                  </w:r>
                </w:p>
              </w:tc>
              <w:tc>
                <w:tcPr>
                  <w:tcW w:w="510" w:type="dxa"/>
                  <w:tcBorders>
                    <w:tl2br w:val="nil"/>
                    <w:tr2bl w:val="nil"/>
                  </w:tcBorders>
                  <w:noWrap w:val="0"/>
                  <w:vAlign w:val="center"/>
                </w:tcPr>
                <w:p w14:paraId="35C16BB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2856E1C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20</w:t>
                  </w:r>
                </w:p>
              </w:tc>
              <w:tc>
                <w:tcPr>
                  <w:tcW w:w="945" w:type="dxa"/>
                  <w:tcBorders>
                    <w:tl2br w:val="nil"/>
                    <w:tr2bl w:val="nil"/>
                  </w:tcBorders>
                  <w:noWrap w:val="0"/>
                  <w:vAlign w:val="center"/>
                </w:tcPr>
                <w:p w14:paraId="65EFDFC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57.58</w:t>
                  </w:r>
                </w:p>
              </w:tc>
              <w:tc>
                <w:tcPr>
                  <w:tcW w:w="765" w:type="dxa"/>
                  <w:vMerge w:val="continue"/>
                  <w:tcBorders>
                    <w:tl2br w:val="nil"/>
                    <w:tr2bl w:val="nil"/>
                  </w:tcBorders>
                  <w:noWrap w:val="0"/>
                  <w:vAlign w:val="center"/>
                </w:tcPr>
                <w:p w14:paraId="0CE647D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2A03C86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48C21BE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36.58</w:t>
                  </w:r>
                </w:p>
              </w:tc>
              <w:tc>
                <w:tcPr>
                  <w:tcW w:w="842" w:type="dxa"/>
                  <w:tcBorders>
                    <w:tl2br w:val="nil"/>
                    <w:tr2bl w:val="nil"/>
                  </w:tcBorders>
                  <w:noWrap w:val="0"/>
                  <w:vAlign w:val="center"/>
                </w:tcPr>
                <w:p w14:paraId="3E37C16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2DC886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2F6D2E29">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56154C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0A4503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7</w:t>
                  </w:r>
                  <w:r>
                    <w:rPr>
                      <w:rFonts w:hint="eastAsia" w:ascii="Times New Roman" w:hAnsi="Times New Roman" w:eastAsia="宋体" w:cs="Times New Roman"/>
                      <w:kern w:val="0"/>
                      <w:sz w:val="21"/>
                      <w:szCs w:val="21"/>
                      <w:highlight w:val="none"/>
                      <w:lang w:val="en-US" w:eastAsia="zh-CN"/>
                    </w:rPr>
                    <w:t>#外循环真空烧结炉</w:t>
                  </w:r>
                </w:p>
              </w:tc>
              <w:tc>
                <w:tcPr>
                  <w:tcW w:w="1275" w:type="dxa"/>
                  <w:tcBorders>
                    <w:tl2br w:val="nil"/>
                    <w:tr2bl w:val="nil"/>
                  </w:tcBorders>
                  <w:noWrap w:val="0"/>
                  <w:vAlign w:val="center"/>
                </w:tcPr>
                <w:p w14:paraId="3D7CA2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765" w:type="dxa"/>
                  <w:tcBorders>
                    <w:tl2br w:val="nil"/>
                    <w:tr2bl w:val="nil"/>
                  </w:tcBorders>
                  <w:noWrap w:val="0"/>
                  <w:vAlign w:val="center"/>
                </w:tcPr>
                <w:p w14:paraId="3936C2C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69456F0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4C23843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88.9</w:t>
                  </w:r>
                </w:p>
              </w:tc>
              <w:tc>
                <w:tcPr>
                  <w:tcW w:w="615" w:type="dxa"/>
                  <w:tcBorders>
                    <w:tl2br w:val="nil"/>
                    <w:tr2bl w:val="nil"/>
                  </w:tcBorders>
                  <w:noWrap w:val="0"/>
                  <w:vAlign w:val="center"/>
                </w:tcPr>
                <w:p w14:paraId="7E1EE71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28.0</w:t>
                  </w:r>
                </w:p>
              </w:tc>
              <w:tc>
                <w:tcPr>
                  <w:tcW w:w="510" w:type="dxa"/>
                  <w:tcBorders>
                    <w:tl2br w:val="nil"/>
                    <w:tr2bl w:val="nil"/>
                  </w:tcBorders>
                  <w:noWrap w:val="0"/>
                  <w:vAlign w:val="center"/>
                </w:tcPr>
                <w:p w14:paraId="4046585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00A978F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20</w:t>
                  </w:r>
                </w:p>
              </w:tc>
              <w:tc>
                <w:tcPr>
                  <w:tcW w:w="945" w:type="dxa"/>
                  <w:tcBorders>
                    <w:tl2br w:val="nil"/>
                    <w:tr2bl w:val="nil"/>
                  </w:tcBorders>
                  <w:noWrap w:val="0"/>
                  <w:vAlign w:val="center"/>
                </w:tcPr>
                <w:p w14:paraId="019DA39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57.58</w:t>
                  </w:r>
                </w:p>
              </w:tc>
              <w:tc>
                <w:tcPr>
                  <w:tcW w:w="765" w:type="dxa"/>
                  <w:vMerge w:val="continue"/>
                  <w:tcBorders>
                    <w:tl2br w:val="nil"/>
                    <w:tr2bl w:val="nil"/>
                  </w:tcBorders>
                  <w:noWrap w:val="0"/>
                  <w:vAlign w:val="center"/>
                </w:tcPr>
                <w:p w14:paraId="6846A79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50DC8D9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4246A07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36.58</w:t>
                  </w:r>
                </w:p>
              </w:tc>
              <w:tc>
                <w:tcPr>
                  <w:tcW w:w="842" w:type="dxa"/>
                  <w:tcBorders>
                    <w:tl2br w:val="nil"/>
                    <w:tr2bl w:val="nil"/>
                  </w:tcBorders>
                  <w:noWrap w:val="0"/>
                  <w:vAlign w:val="center"/>
                </w:tcPr>
                <w:p w14:paraId="717A9D3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516F0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77166C42">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29714D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3D2F1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8</w:t>
                  </w:r>
                  <w:r>
                    <w:rPr>
                      <w:rFonts w:hint="eastAsia" w:ascii="Times New Roman" w:hAnsi="Times New Roman" w:eastAsia="宋体" w:cs="Times New Roman"/>
                      <w:kern w:val="0"/>
                      <w:sz w:val="21"/>
                      <w:szCs w:val="21"/>
                      <w:highlight w:val="none"/>
                      <w:lang w:val="en-US" w:eastAsia="zh-CN"/>
                    </w:rPr>
                    <w:t>#外循环真空烧结炉</w:t>
                  </w:r>
                </w:p>
              </w:tc>
              <w:tc>
                <w:tcPr>
                  <w:tcW w:w="1275" w:type="dxa"/>
                  <w:tcBorders>
                    <w:tl2br w:val="nil"/>
                    <w:tr2bl w:val="nil"/>
                  </w:tcBorders>
                  <w:noWrap w:val="0"/>
                  <w:vAlign w:val="center"/>
                </w:tcPr>
                <w:p w14:paraId="7E5472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765" w:type="dxa"/>
                  <w:tcBorders>
                    <w:tl2br w:val="nil"/>
                    <w:tr2bl w:val="nil"/>
                  </w:tcBorders>
                  <w:noWrap w:val="0"/>
                  <w:vAlign w:val="center"/>
                </w:tcPr>
                <w:p w14:paraId="3AAAE74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70</w:t>
                  </w:r>
                </w:p>
              </w:tc>
              <w:tc>
                <w:tcPr>
                  <w:tcW w:w="825" w:type="dxa"/>
                  <w:vMerge w:val="continue"/>
                  <w:tcBorders>
                    <w:tl2br w:val="nil"/>
                    <w:tr2bl w:val="nil"/>
                  </w:tcBorders>
                  <w:noWrap w:val="0"/>
                  <w:vAlign w:val="center"/>
                </w:tcPr>
                <w:p w14:paraId="5BF7FBA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16AB18F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85.9</w:t>
                  </w:r>
                </w:p>
              </w:tc>
              <w:tc>
                <w:tcPr>
                  <w:tcW w:w="615" w:type="dxa"/>
                  <w:tcBorders>
                    <w:tl2br w:val="nil"/>
                    <w:tr2bl w:val="nil"/>
                  </w:tcBorders>
                  <w:noWrap w:val="0"/>
                  <w:vAlign w:val="center"/>
                </w:tcPr>
                <w:p w14:paraId="38C58A1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17.9</w:t>
                  </w:r>
                </w:p>
              </w:tc>
              <w:tc>
                <w:tcPr>
                  <w:tcW w:w="510" w:type="dxa"/>
                  <w:tcBorders>
                    <w:tl2br w:val="nil"/>
                    <w:tr2bl w:val="nil"/>
                  </w:tcBorders>
                  <w:noWrap w:val="0"/>
                  <w:vAlign w:val="center"/>
                </w:tcPr>
                <w:p w14:paraId="453872B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7553FAD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20</w:t>
                  </w:r>
                </w:p>
              </w:tc>
              <w:tc>
                <w:tcPr>
                  <w:tcW w:w="945" w:type="dxa"/>
                  <w:tcBorders>
                    <w:tl2br w:val="nil"/>
                    <w:tr2bl w:val="nil"/>
                  </w:tcBorders>
                  <w:noWrap w:val="0"/>
                  <w:vAlign w:val="center"/>
                </w:tcPr>
                <w:p w14:paraId="7809DB6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57.58</w:t>
                  </w:r>
                </w:p>
              </w:tc>
              <w:tc>
                <w:tcPr>
                  <w:tcW w:w="765" w:type="dxa"/>
                  <w:vMerge w:val="continue"/>
                  <w:tcBorders>
                    <w:tl2br w:val="nil"/>
                    <w:tr2bl w:val="nil"/>
                  </w:tcBorders>
                  <w:noWrap w:val="0"/>
                  <w:vAlign w:val="center"/>
                </w:tcPr>
                <w:p w14:paraId="5245626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25D3602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00425E23">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36.58</w:t>
                  </w:r>
                </w:p>
              </w:tc>
              <w:tc>
                <w:tcPr>
                  <w:tcW w:w="842" w:type="dxa"/>
                  <w:tcBorders>
                    <w:tl2br w:val="nil"/>
                    <w:tr2bl w:val="nil"/>
                  </w:tcBorders>
                  <w:noWrap w:val="0"/>
                  <w:vAlign w:val="center"/>
                </w:tcPr>
                <w:p w14:paraId="48ABE53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7FF574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2219B866">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continue"/>
                  <w:tcBorders>
                    <w:tl2br w:val="nil"/>
                    <w:tr2bl w:val="nil"/>
                  </w:tcBorders>
                  <w:noWrap w:val="0"/>
                  <w:vAlign w:val="center"/>
                </w:tcPr>
                <w:p w14:paraId="43F278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2356" w:type="dxa"/>
                  <w:tcBorders>
                    <w:tl2br w:val="nil"/>
                    <w:tr2bl w:val="nil"/>
                  </w:tcBorders>
                  <w:noWrap w:val="0"/>
                  <w:vAlign w:val="center"/>
                </w:tcPr>
                <w:p w14:paraId="7CFE52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无心磨床</w:t>
                  </w:r>
                </w:p>
              </w:tc>
              <w:tc>
                <w:tcPr>
                  <w:tcW w:w="1275" w:type="dxa"/>
                  <w:tcBorders>
                    <w:tl2br w:val="nil"/>
                    <w:tr2bl w:val="nil"/>
                  </w:tcBorders>
                  <w:noWrap w:val="0"/>
                  <w:vAlign w:val="center"/>
                </w:tcPr>
                <w:p w14:paraId="280D39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M1050A</w:t>
                  </w:r>
                </w:p>
              </w:tc>
              <w:tc>
                <w:tcPr>
                  <w:tcW w:w="765" w:type="dxa"/>
                  <w:tcBorders>
                    <w:tl2br w:val="nil"/>
                    <w:tr2bl w:val="nil"/>
                  </w:tcBorders>
                  <w:noWrap w:val="0"/>
                  <w:vAlign w:val="center"/>
                </w:tcPr>
                <w:p w14:paraId="18040FD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4A55226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7B6B958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128.5</w:t>
                  </w:r>
                </w:p>
              </w:tc>
              <w:tc>
                <w:tcPr>
                  <w:tcW w:w="615" w:type="dxa"/>
                  <w:tcBorders>
                    <w:tl2br w:val="nil"/>
                    <w:tr2bl w:val="nil"/>
                  </w:tcBorders>
                  <w:noWrap w:val="0"/>
                  <w:vAlign w:val="center"/>
                </w:tcPr>
                <w:p w14:paraId="099DBDE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21.6</w:t>
                  </w:r>
                </w:p>
              </w:tc>
              <w:tc>
                <w:tcPr>
                  <w:tcW w:w="510" w:type="dxa"/>
                  <w:tcBorders>
                    <w:tl2br w:val="nil"/>
                    <w:tr2bl w:val="nil"/>
                  </w:tcBorders>
                  <w:noWrap w:val="0"/>
                  <w:vAlign w:val="center"/>
                </w:tcPr>
                <w:p w14:paraId="634E9C0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54B1435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40FCD28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71.76</w:t>
                  </w:r>
                </w:p>
              </w:tc>
              <w:tc>
                <w:tcPr>
                  <w:tcW w:w="765" w:type="dxa"/>
                  <w:vMerge w:val="restart"/>
                  <w:tcBorders>
                    <w:tl2br w:val="nil"/>
                    <w:tr2bl w:val="nil"/>
                  </w:tcBorders>
                  <w:noWrap w:val="0"/>
                  <w:vAlign w:val="center"/>
                </w:tcPr>
                <w:p w14:paraId="401D92C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上午8点到12点，</w:t>
                  </w:r>
                  <w:r>
                    <w:rPr>
                      <w:rFonts w:hint="eastAsia" w:cs="Times New Roman"/>
                      <w:sz w:val="21"/>
                      <w:szCs w:val="21"/>
                      <w:highlight w:val="none"/>
                      <w:lang w:val="en-US" w:eastAsia="zh-CN"/>
                    </w:rPr>
                    <w:t>下午2点</w:t>
                  </w:r>
                  <w:r>
                    <w:rPr>
                      <w:rFonts w:hint="eastAsia" w:ascii="Times New Roman" w:hAnsi="Times New Roman" w:eastAsia="宋体" w:cs="Times New Roman"/>
                      <w:sz w:val="21"/>
                      <w:szCs w:val="21"/>
                      <w:highlight w:val="none"/>
                      <w:lang w:val="en-US" w:eastAsia="zh-CN"/>
                    </w:rPr>
                    <w:t>到18点</w:t>
                  </w:r>
                </w:p>
              </w:tc>
              <w:tc>
                <w:tcPr>
                  <w:tcW w:w="900" w:type="dxa"/>
                  <w:tcBorders>
                    <w:tl2br w:val="nil"/>
                    <w:tr2bl w:val="nil"/>
                  </w:tcBorders>
                  <w:shd w:val="clear" w:color="auto" w:fill="auto"/>
                  <w:noWrap w:val="0"/>
                  <w:vAlign w:val="center"/>
                </w:tcPr>
                <w:p w14:paraId="530B59E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037D9B0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50.76</w:t>
                  </w:r>
                </w:p>
              </w:tc>
              <w:tc>
                <w:tcPr>
                  <w:tcW w:w="842" w:type="dxa"/>
                  <w:tcBorders>
                    <w:tl2br w:val="nil"/>
                    <w:tr2bl w:val="nil"/>
                  </w:tcBorders>
                  <w:noWrap w:val="0"/>
                  <w:vAlign w:val="center"/>
                </w:tcPr>
                <w:p w14:paraId="231778B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7BC5E8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7EB79E91">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continue"/>
                  <w:tcBorders>
                    <w:tl2br w:val="nil"/>
                    <w:tr2bl w:val="nil"/>
                  </w:tcBorders>
                  <w:noWrap w:val="0"/>
                  <w:vAlign w:val="center"/>
                </w:tcPr>
                <w:p w14:paraId="734CE1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23F555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rPr>
                    <w:t>1#</w:t>
                  </w:r>
                  <w:r>
                    <w:rPr>
                      <w:rFonts w:hint="default" w:ascii="Times New Roman" w:hAnsi="Times New Roman" w:eastAsia="宋体" w:cs="Times New Roman"/>
                      <w:kern w:val="0"/>
                      <w:sz w:val="21"/>
                      <w:szCs w:val="21"/>
                      <w:highlight w:val="none"/>
                    </w:rPr>
                    <w:t>无心磨床</w:t>
                  </w:r>
                </w:p>
              </w:tc>
              <w:tc>
                <w:tcPr>
                  <w:tcW w:w="1275" w:type="dxa"/>
                  <w:tcBorders>
                    <w:tl2br w:val="nil"/>
                    <w:tr2bl w:val="nil"/>
                  </w:tcBorders>
                  <w:noWrap w:val="0"/>
                  <w:vAlign w:val="center"/>
                </w:tcPr>
                <w:p w14:paraId="4EBEF4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M1080</w:t>
                  </w:r>
                </w:p>
              </w:tc>
              <w:tc>
                <w:tcPr>
                  <w:tcW w:w="765" w:type="dxa"/>
                  <w:tcBorders>
                    <w:tl2br w:val="nil"/>
                    <w:tr2bl w:val="nil"/>
                  </w:tcBorders>
                  <w:noWrap w:val="0"/>
                  <w:vAlign w:val="center"/>
                </w:tcPr>
                <w:p w14:paraId="3CF9E23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76193FD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26AE40A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126.1</w:t>
                  </w:r>
                </w:p>
              </w:tc>
              <w:tc>
                <w:tcPr>
                  <w:tcW w:w="615" w:type="dxa"/>
                  <w:tcBorders>
                    <w:tl2br w:val="nil"/>
                    <w:tr2bl w:val="nil"/>
                  </w:tcBorders>
                  <w:noWrap w:val="0"/>
                  <w:vAlign w:val="center"/>
                </w:tcPr>
                <w:p w14:paraId="4E0576A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14.2</w:t>
                  </w:r>
                </w:p>
              </w:tc>
              <w:tc>
                <w:tcPr>
                  <w:tcW w:w="510" w:type="dxa"/>
                  <w:tcBorders>
                    <w:tl2br w:val="nil"/>
                    <w:tr2bl w:val="nil"/>
                  </w:tcBorders>
                  <w:noWrap w:val="0"/>
                  <w:vAlign w:val="center"/>
                </w:tcPr>
                <w:p w14:paraId="22C63C9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4902B8A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647285B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71.76</w:t>
                  </w:r>
                </w:p>
              </w:tc>
              <w:tc>
                <w:tcPr>
                  <w:tcW w:w="765" w:type="dxa"/>
                  <w:vMerge w:val="continue"/>
                  <w:tcBorders>
                    <w:tl2br w:val="nil"/>
                    <w:tr2bl w:val="nil"/>
                  </w:tcBorders>
                  <w:noWrap w:val="0"/>
                  <w:vAlign w:val="center"/>
                </w:tcPr>
                <w:p w14:paraId="626CF31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6F5E562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1F0380A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50.76</w:t>
                  </w:r>
                </w:p>
              </w:tc>
              <w:tc>
                <w:tcPr>
                  <w:tcW w:w="842" w:type="dxa"/>
                  <w:tcBorders>
                    <w:tl2br w:val="nil"/>
                    <w:tr2bl w:val="nil"/>
                  </w:tcBorders>
                  <w:noWrap w:val="0"/>
                  <w:vAlign w:val="center"/>
                </w:tcPr>
                <w:p w14:paraId="1C4E00C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5C1978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75C2F227">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076553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0508AA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2</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无心磨床</w:t>
                  </w:r>
                </w:p>
              </w:tc>
              <w:tc>
                <w:tcPr>
                  <w:tcW w:w="1275" w:type="dxa"/>
                  <w:tcBorders>
                    <w:tl2br w:val="nil"/>
                    <w:tr2bl w:val="nil"/>
                  </w:tcBorders>
                  <w:shd w:val="clear" w:color="auto" w:fill="auto"/>
                  <w:noWrap w:val="0"/>
                  <w:vAlign w:val="center"/>
                </w:tcPr>
                <w:p w14:paraId="00F489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M1080</w:t>
                  </w:r>
                </w:p>
              </w:tc>
              <w:tc>
                <w:tcPr>
                  <w:tcW w:w="765" w:type="dxa"/>
                  <w:tcBorders>
                    <w:tl2br w:val="nil"/>
                    <w:tr2bl w:val="nil"/>
                  </w:tcBorders>
                  <w:shd w:val="clear" w:color="auto" w:fill="auto"/>
                  <w:noWrap w:val="0"/>
                  <w:vAlign w:val="center"/>
                </w:tcPr>
                <w:p w14:paraId="395E28B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4802722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13F5DEE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122.1</w:t>
                  </w:r>
                </w:p>
              </w:tc>
              <w:tc>
                <w:tcPr>
                  <w:tcW w:w="615" w:type="dxa"/>
                  <w:tcBorders>
                    <w:tl2br w:val="nil"/>
                    <w:tr2bl w:val="nil"/>
                  </w:tcBorders>
                  <w:noWrap w:val="0"/>
                  <w:vAlign w:val="center"/>
                </w:tcPr>
                <w:p w14:paraId="7C21BAD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6.8</w:t>
                  </w:r>
                </w:p>
              </w:tc>
              <w:tc>
                <w:tcPr>
                  <w:tcW w:w="510" w:type="dxa"/>
                  <w:tcBorders>
                    <w:tl2br w:val="nil"/>
                    <w:tr2bl w:val="nil"/>
                  </w:tcBorders>
                  <w:shd w:val="clear" w:color="auto" w:fill="auto"/>
                  <w:noWrap w:val="0"/>
                  <w:vAlign w:val="center"/>
                </w:tcPr>
                <w:p w14:paraId="47F7EAB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shd w:val="clear" w:color="auto" w:fill="auto"/>
                  <w:noWrap w:val="0"/>
                  <w:vAlign w:val="center"/>
                </w:tcPr>
                <w:p w14:paraId="3D3031B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shd w:val="clear" w:color="auto" w:fill="auto"/>
                  <w:noWrap w:val="0"/>
                  <w:vAlign w:val="center"/>
                </w:tcPr>
                <w:p w14:paraId="72E4FC3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71.76</w:t>
                  </w:r>
                </w:p>
              </w:tc>
              <w:tc>
                <w:tcPr>
                  <w:tcW w:w="765" w:type="dxa"/>
                  <w:vMerge w:val="continue"/>
                  <w:tcBorders>
                    <w:tl2br w:val="nil"/>
                    <w:tr2bl w:val="nil"/>
                  </w:tcBorders>
                  <w:noWrap w:val="0"/>
                  <w:vAlign w:val="center"/>
                </w:tcPr>
                <w:p w14:paraId="04117E9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04B576C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shd w:val="clear" w:color="auto" w:fill="auto"/>
                  <w:noWrap w:val="0"/>
                  <w:vAlign w:val="center"/>
                </w:tcPr>
                <w:p w14:paraId="08A3B8C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50.76</w:t>
                  </w:r>
                </w:p>
              </w:tc>
              <w:tc>
                <w:tcPr>
                  <w:tcW w:w="842" w:type="dxa"/>
                  <w:tcBorders>
                    <w:tl2br w:val="nil"/>
                    <w:tr2bl w:val="nil"/>
                  </w:tcBorders>
                  <w:shd w:val="clear" w:color="auto" w:fill="auto"/>
                  <w:noWrap w:val="0"/>
                  <w:vAlign w:val="center"/>
                </w:tcPr>
                <w:p w14:paraId="36CA22D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77104A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5064EF34">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continue"/>
                  <w:tcBorders>
                    <w:tl2br w:val="nil"/>
                    <w:tr2bl w:val="nil"/>
                  </w:tcBorders>
                  <w:noWrap w:val="0"/>
                  <w:vAlign w:val="center"/>
                </w:tcPr>
                <w:p w14:paraId="30C430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2809D2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rPr>
                    <w:t>1</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平磨</w:t>
                  </w:r>
                </w:p>
              </w:tc>
              <w:tc>
                <w:tcPr>
                  <w:tcW w:w="1275" w:type="dxa"/>
                  <w:tcBorders>
                    <w:tl2br w:val="nil"/>
                    <w:tr2bl w:val="nil"/>
                  </w:tcBorders>
                  <w:noWrap w:val="0"/>
                  <w:vAlign w:val="center"/>
                </w:tcPr>
                <w:p w14:paraId="3C226F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M7475B</w:t>
                  </w:r>
                </w:p>
              </w:tc>
              <w:tc>
                <w:tcPr>
                  <w:tcW w:w="765" w:type="dxa"/>
                  <w:tcBorders>
                    <w:tl2br w:val="nil"/>
                    <w:tr2bl w:val="nil"/>
                  </w:tcBorders>
                  <w:noWrap w:val="0"/>
                  <w:vAlign w:val="center"/>
                </w:tcPr>
                <w:p w14:paraId="3E01468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7670E69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0DD47F4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117.5</w:t>
                  </w:r>
                </w:p>
              </w:tc>
              <w:tc>
                <w:tcPr>
                  <w:tcW w:w="615" w:type="dxa"/>
                  <w:tcBorders>
                    <w:tl2br w:val="nil"/>
                    <w:tr2bl w:val="nil"/>
                  </w:tcBorders>
                  <w:noWrap w:val="0"/>
                  <w:vAlign w:val="center"/>
                </w:tcPr>
                <w:p w14:paraId="4899051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-1.4</w:t>
                  </w:r>
                </w:p>
              </w:tc>
              <w:tc>
                <w:tcPr>
                  <w:tcW w:w="510" w:type="dxa"/>
                  <w:tcBorders>
                    <w:tl2br w:val="nil"/>
                    <w:tr2bl w:val="nil"/>
                  </w:tcBorders>
                  <w:noWrap w:val="0"/>
                  <w:vAlign w:val="center"/>
                </w:tcPr>
                <w:p w14:paraId="2E7312C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noWrap w:val="0"/>
                  <w:vAlign w:val="center"/>
                </w:tcPr>
                <w:p w14:paraId="14B1495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21</w:t>
                  </w:r>
                </w:p>
              </w:tc>
              <w:tc>
                <w:tcPr>
                  <w:tcW w:w="945" w:type="dxa"/>
                  <w:tcBorders>
                    <w:tl2br w:val="nil"/>
                    <w:tr2bl w:val="nil"/>
                  </w:tcBorders>
                  <w:noWrap w:val="0"/>
                  <w:vAlign w:val="center"/>
                </w:tcPr>
                <w:p w14:paraId="1AD90D5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71.74</w:t>
                  </w:r>
                </w:p>
              </w:tc>
              <w:tc>
                <w:tcPr>
                  <w:tcW w:w="765" w:type="dxa"/>
                  <w:vMerge w:val="continue"/>
                  <w:tcBorders>
                    <w:tl2br w:val="nil"/>
                    <w:tr2bl w:val="nil"/>
                  </w:tcBorders>
                  <w:noWrap w:val="0"/>
                  <w:vAlign w:val="center"/>
                </w:tcPr>
                <w:p w14:paraId="7E8388E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2CD40A1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57514FA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50.74</w:t>
                  </w:r>
                </w:p>
              </w:tc>
              <w:tc>
                <w:tcPr>
                  <w:tcW w:w="842" w:type="dxa"/>
                  <w:tcBorders>
                    <w:tl2br w:val="nil"/>
                    <w:tr2bl w:val="nil"/>
                  </w:tcBorders>
                  <w:noWrap w:val="0"/>
                  <w:vAlign w:val="center"/>
                </w:tcPr>
                <w:p w14:paraId="764196E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273AA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1EB4D73E">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3D6FE5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79497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2</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平磨</w:t>
                  </w:r>
                </w:p>
              </w:tc>
              <w:tc>
                <w:tcPr>
                  <w:tcW w:w="1275" w:type="dxa"/>
                  <w:tcBorders>
                    <w:tl2br w:val="nil"/>
                    <w:tr2bl w:val="nil"/>
                  </w:tcBorders>
                  <w:shd w:val="clear" w:color="auto" w:fill="auto"/>
                  <w:noWrap w:val="0"/>
                  <w:vAlign w:val="center"/>
                </w:tcPr>
                <w:p w14:paraId="182B31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M7475B</w:t>
                  </w:r>
                </w:p>
              </w:tc>
              <w:tc>
                <w:tcPr>
                  <w:tcW w:w="765" w:type="dxa"/>
                  <w:tcBorders>
                    <w:tl2br w:val="nil"/>
                    <w:tr2bl w:val="nil"/>
                  </w:tcBorders>
                  <w:shd w:val="clear" w:color="auto" w:fill="auto"/>
                  <w:noWrap w:val="0"/>
                  <w:vAlign w:val="center"/>
                </w:tcPr>
                <w:p w14:paraId="264B9C0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0F458C6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2B9306A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140.5</w:t>
                  </w:r>
                </w:p>
              </w:tc>
              <w:tc>
                <w:tcPr>
                  <w:tcW w:w="615" w:type="dxa"/>
                  <w:tcBorders>
                    <w:tl2br w:val="nil"/>
                    <w:tr2bl w:val="nil"/>
                  </w:tcBorders>
                  <w:noWrap w:val="0"/>
                  <w:vAlign w:val="center"/>
                </w:tcPr>
                <w:p w14:paraId="149C7D0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17.3</w:t>
                  </w:r>
                </w:p>
              </w:tc>
              <w:tc>
                <w:tcPr>
                  <w:tcW w:w="510" w:type="dxa"/>
                  <w:tcBorders>
                    <w:tl2br w:val="nil"/>
                    <w:tr2bl w:val="nil"/>
                  </w:tcBorders>
                  <w:shd w:val="clear" w:color="auto" w:fill="auto"/>
                  <w:noWrap w:val="0"/>
                  <w:vAlign w:val="center"/>
                </w:tcPr>
                <w:p w14:paraId="5F1B2FE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shd w:val="clear" w:color="auto" w:fill="auto"/>
                  <w:noWrap w:val="0"/>
                  <w:vAlign w:val="center"/>
                </w:tcPr>
                <w:p w14:paraId="5448A31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21</w:t>
                  </w:r>
                </w:p>
              </w:tc>
              <w:tc>
                <w:tcPr>
                  <w:tcW w:w="945" w:type="dxa"/>
                  <w:tcBorders>
                    <w:tl2br w:val="nil"/>
                    <w:tr2bl w:val="nil"/>
                  </w:tcBorders>
                  <w:shd w:val="clear" w:color="auto" w:fill="auto"/>
                  <w:noWrap w:val="0"/>
                  <w:vAlign w:val="center"/>
                </w:tcPr>
                <w:p w14:paraId="651DB5C1">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71.74</w:t>
                  </w:r>
                </w:p>
              </w:tc>
              <w:tc>
                <w:tcPr>
                  <w:tcW w:w="765" w:type="dxa"/>
                  <w:vMerge w:val="continue"/>
                  <w:tcBorders>
                    <w:tl2br w:val="nil"/>
                    <w:tr2bl w:val="nil"/>
                  </w:tcBorders>
                  <w:noWrap w:val="0"/>
                  <w:vAlign w:val="center"/>
                </w:tcPr>
                <w:p w14:paraId="6D9D4EB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0AFBE2B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5803C1C3">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50.74</w:t>
                  </w:r>
                </w:p>
              </w:tc>
              <w:tc>
                <w:tcPr>
                  <w:tcW w:w="842" w:type="dxa"/>
                  <w:tcBorders>
                    <w:tl2br w:val="nil"/>
                    <w:tr2bl w:val="nil"/>
                  </w:tcBorders>
                  <w:noWrap w:val="0"/>
                  <w:vAlign w:val="center"/>
                </w:tcPr>
                <w:p w14:paraId="285B156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53F9F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5CD3A940">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695EAB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2C092B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3</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平磨</w:t>
                  </w:r>
                </w:p>
              </w:tc>
              <w:tc>
                <w:tcPr>
                  <w:tcW w:w="1275" w:type="dxa"/>
                  <w:tcBorders>
                    <w:tl2br w:val="nil"/>
                    <w:tr2bl w:val="nil"/>
                  </w:tcBorders>
                  <w:shd w:val="clear" w:color="auto" w:fill="auto"/>
                  <w:noWrap w:val="0"/>
                  <w:vAlign w:val="center"/>
                </w:tcPr>
                <w:p w14:paraId="055A73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M7475B</w:t>
                  </w:r>
                </w:p>
              </w:tc>
              <w:tc>
                <w:tcPr>
                  <w:tcW w:w="765" w:type="dxa"/>
                  <w:tcBorders>
                    <w:tl2br w:val="nil"/>
                    <w:tr2bl w:val="nil"/>
                  </w:tcBorders>
                  <w:shd w:val="clear" w:color="auto" w:fill="auto"/>
                  <w:noWrap w:val="0"/>
                  <w:vAlign w:val="center"/>
                </w:tcPr>
                <w:p w14:paraId="4CCC1A03">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3EC28ED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60C642D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137.4</w:t>
                  </w:r>
                </w:p>
              </w:tc>
              <w:tc>
                <w:tcPr>
                  <w:tcW w:w="615" w:type="dxa"/>
                  <w:tcBorders>
                    <w:tl2br w:val="nil"/>
                    <w:tr2bl w:val="nil"/>
                  </w:tcBorders>
                  <w:noWrap w:val="0"/>
                  <w:vAlign w:val="center"/>
                </w:tcPr>
                <w:p w14:paraId="2379AEE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9.0</w:t>
                  </w:r>
                </w:p>
              </w:tc>
              <w:tc>
                <w:tcPr>
                  <w:tcW w:w="510" w:type="dxa"/>
                  <w:tcBorders>
                    <w:tl2br w:val="nil"/>
                    <w:tr2bl w:val="nil"/>
                  </w:tcBorders>
                  <w:shd w:val="clear" w:color="auto" w:fill="auto"/>
                  <w:noWrap w:val="0"/>
                  <w:vAlign w:val="center"/>
                </w:tcPr>
                <w:p w14:paraId="6406234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shd w:val="clear" w:color="auto" w:fill="auto"/>
                  <w:noWrap w:val="0"/>
                  <w:vAlign w:val="center"/>
                </w:tcPr>
                <w:p w14:paraId="5274834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21</w:t>
                  </w:r>
                </w:p>
              </w:tc>
              <w:tc>
                <w:tcPr>
                  <w:tcW w:w="945" w:type="dxa"/>
                  <w:tcBorders>
                    <w:tl2br w:val="nil"/>
                    <w:tr2bl w:val="nil"/>
                  </w:tcBorders>
                  <w:shd w:val="clear" w:color="auto" w:fill="auto"/>
                  <w:noWrap w:val="0"/>
                  <w:vAlign w:val="center"/>
                </w:tcPr>
                <w:p w14:paraId="56A438E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71.74</w:t>
                  </w:r>
                </w:p>
              </w:tc>
              <w:tc>
                <w:tcPr>
                  <w:tcW w:w="765" w:type="dxa"/>
                  <w:vMerge w:val="continue"/>
                  <w:tcBorders>
                    <w:tl2br w:val="nil"/>
                    <w:tr2bl w:val="nil"/>
                  </w:tcBorders>
                  <w:noWrap w:val="0"/>
                  <w:vAlign w:val="center"/>
                </w:tcPr>
                <w:p w14:paraId="5B0DF2C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3FDC3A9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0B23499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50.74</w:t>
                  </w:r>
                </w:p>
              </w:tc>
              <w:tc>
                <w:tcPr>
                  <w:tcW w:w="842" w:type="dxa"/>
                  <w:tcBorders>
                    <w:tl2br w:val="nil"/>
                    <w:tr2bl w:val="nil"/>
                  </w:tcBorders>
                  <w:noWrap w:val="0"/>
                  <w:vAlign w:val="center"/>
                </w:tcPr>
                <w:p w14:paraId="42DB576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1FEF3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3B8445E6">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569ACF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3046DA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4</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平磨</w:t>
                  </w:r>
                </w:p>
              </w:tc>
              <w:tc>
                <w:tcPr>
                  <w:tcW w:w="1275" w:type="dxa"/>
                  <w:tcBorders>
                    <w:tl2br w:val="nil"/>
                    <w:tr2bl w:val="nil"/>
                  </w:tcBorders>
                  <w:shd w:val="clear" w:color="auto" w:fill="auto"/>
                  <w:noWrap w:val="0"/>
                  <w:vAlign w:val="center"/>
                </w:tcPr>
                <w:p w14:paraId="327245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M7475B</w:t>
                  </w:r>
                </w:p>
              </w:tc>
              <w:tc>
                <w:tcPr>
                  <w:tcW w:w="765" w:type="dxa"/>
                  <w:tcBorders>
                    <w:tl2br w:val="nil"/>
                    <w:tr2bl w:val="nil"/>
                  </w:tcBorders>
                  <w:shd w:val="clear" w:color="auto" w:fill="auto"/>
                  <w:noWrap w:val="0"/>
                  <w:vAlign w:val="center"/>
                </w:tcPr>
                <w:p w14:paraId="6449720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2FA0C54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4DC0D0E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135.0</w:t>
                  </w:r>
                </w:p>
              </w:tc>
              <w:tc>
                <w:tcPr>
                  <w:tcW w:w="615" w:type="dxa"/>
                  <w:tcBorders>
                    <w:tl2br w:val="nil"/>
                    <w:tr2bl w:val="nil"/>
                  </w:tcBorders>
                  <w:noWrap w:val="0"/>
                  <w:vAlign w:val="center"/>
                </w:tcPr>
                <w:p w14:paraId="56C33F4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1.64</w:t>
                  </w:r>
                </w:p>
              </w:tc>
              <w:tc>
                <w:tcPr>
                  <w:tcW w:w="510" w:type="dxa"/>
                  <w:tcBorders>
                    <w:tl2br w:val="nil"/>
                    <w:tr2bl w:val="nil"/>
                  </w:tcBorders>
                  <w:shd w:val="clear" w:color="auto" w:fill="auto"/>
                  <w:noWrap w:val="0"/>
                  <w:vAlign w:val="center"/>
                </w:tcPr>
                <w:p w14:paraId="625ED6D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w:t>
                  </w:r>
                </w:p>
              </w:tc>
              <w:tc>
                <w:tcPr>
                  <w:tcW w:w="735" w:type="dxa"/>
                  <w:tcBorders>
                    <w:tl2br w:val="nil"/>
                    <w:tr2bl w:val="nil"/>
                  </w:tcBorders>
                  <w:shd w:val="clear" w:color="auto" w:fill="auto"/>
                  <w:noWrap w:val="0"/>
                  <w:vAlign w:val="center"/>
                </w:tcPr>
                <w:p w14:paraId="3B4A39F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21</w:t>
                  </w:r>
                </w:p>
              </w:tc>
              <w:tc>
                <w:tcPr>
                  <w:tcW w:w="945" w:type="dxa"/>
                  <w:tcBorders>
                    <w:tl2br w:val="nil"/>
                    <w:tr2bl w:val="nil"/>
                  </w:tcBorders>
                  <w:shd w:val="clear" w:color="auto" w:fill="auto"/>
                  <w:noWrap w:val="0"/>
                  <w:vAlign w:val="center"/>
                </w:tcPr>
                <w:p w14:paraId="1EBE78C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71.74</w:t>
                  </w:r>
                </w:p>
              </w:tc>
              <w:tc>
                <w:tcPr>
                  <w:tcW w:w="765" w:type="dxa"/>
                  <w:vMerge w:val="continue"/>
                  <w:tcBorders>
                    <w:tl2br w:val="nil"/>
                    <w:tr2bl w:val="nil"/>
                  </w:tcBorders>
                  <w:noWrap w:val="0"/>
                  <w:vAlign w:val="center"/>
                </w:tcPr>
                <w:p w14:paraId="1BF41FF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5314FDF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020DE69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50.74</w:t>
                  </w:r>
                </w:p>
              </w:tc>
              <w:tc>
                <w:tcPr>
                  <w:tcW w:w="842" w:type="dxa"/>
                  <w:tcBorders>
                    <w:tl2br w:val="nil"/>
                    <w:tr2bl w:val="nil"/>
                  </w:tcBorders>
                  <w:noWrap w:val="0"/>
                  <w:vAlign w:val="center"/>
                </w:tcPr>
                <w:p w14:paraId="69CDB60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2FBFAF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11BC5C26">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continue"/>
                  <w:tcBorders>
                    <w:tl2br w:val="nil"/>
                    <w:tr2bl w:val="nil"/>
                  </w:tcBorders>
                  <w:noWrap w:val="0"/>
                  <w:vAlign w:val="center"/>
                </w:tcPr>
                <w:p w14:paraId="132472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2356" w:type="dxa"/>
                  <w:tcBorders>
                    <w:tl2br w:val="nil"/>
                    <w:tr2bl w:val="nil"/>
                  </w:tcBorders>
                  <w:noWrap w:val="0"/>
                  <w:vAlign w:val="center"/>
                </w:tcPr>
                <w:p w14:paraId="4CFFD8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平磨</w:t>
                  </w:r>
                </w:p>
              </w:tc>
              <w:tc>
                <w:tcPr>
                  <w:tcW w:w="1275" w:type="dxa"/>
                  <w:tcBorders>
                    <w:tl2br w:val="nil"/>
                    <w:tr2bl w:val="nil"/>
                  </w:tcBorders>
                  <w:noWrap w:val="0"/>
                  <w:vAlign w:val="center"/>
                </w:tcPr>
                <w:p w14:paraId="2A7410A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M7130H</w:t>
                  </w:r>
                </w:p>
              </w:tc>
              <w:tc>
                <w:tcPr>
                  <w:tcW w:w="765" w:type="dxa"/>
                  <w:tcBorders>
                    <w:tl2br w:val="nil"/>
                    <w:tr2bl w:val="nil"/>
                  </w:tcBorders>
                  <w:noWrap w:val="0"/>
                  <w:vAlign w:val="center"/>
                </w:tcPr>
                <w:p w14:paraId="3A401F9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303EB1F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7A4D60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127.6</w:t>
                  </w:r>
                </w:p>
              </w:tc>
              <w:tc>
                <w:tcPr>
                  <w:tcW w:w="615" w:type="dxa"/>
                  <w:tcBorders>
                    <w:tl2br w:val="nil"/>
                    <w:tr2bl w:val="nil"/>
                  </w:tcBorders>
                  <w:noWrap w:val="0"/>
                  <w:vAlign w:val="center"/>
                </w:tcPr>
                <w:p w14:paraId="1C8F5B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-5.4</w:t>
                  </w:r>
                </w:p>
              </w:tc>
              <w:tc>
                <w:tcPr>
                  <w:tcW w:w="510" w:type="dxa"/>
                  <w:tcBorders>
                    <w:tl2br w:val="nil"/>
                    <w:tr2bl w:val="nil"/>
                  </w:tcBorders>
                  <w:noWrap w:val="0"/>
                  <w:vAlign w:val="center"/>
                </w:tcPr>
                <w:p w14:paraId="15628D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1A133EA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15</w:t>
                  </w:r>
                </w:p>
              </w:tc>
              <w:tc>
                <w:tcPr>
                  <w:tcW w:w="945" w:type="dxa"/>
                  <w:tcBorders>
                    <w:tl2br w:val="nil"/>
                    <w:tr2bl w:val="nil"/>
                  </w:tcBorders>
                  <w:noWrap w:val="0"/>
                  <w:vAlign w:val="center"/>
                </w:tcPr>
                <w:p w14:paraId="454955F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71.76</w:t>
                  </w:r>
                </w:p>
              </w:tc>
              <w:tc>
                <w:tcPr>
                  <w:tcW w:w="765" w:type="dxa"/>
                  <w:vMerge w:val="continue"/>
                  <w:tcBorders>
                    <w:tl2br w:val="nil"/>
                    <w:tr2bl w:val="nil"/>
                  </w:tcBorders>
                  <w:noWrap w:val="0"/>
                  <w:vAlign w:val="center"/>
                </w:tcPr>
                <w:p w14:paraId="410CF9E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53B7D5C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2136462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50.76</w:t>
                  </w:r>
                </w:p>
              </w:tc>
              <w:tc>
                <w:tcPr>
                  <w:tcW w:w="842" w:type="dxa"/>
                  <w:tcBorders>
                    <w:tl2br w:val="nil"/>
                    <w:tr2bl w:val="nil"/>
                  </w:tcBorders>
                  <w:noWrap w:val="0"/>
                  <w:vAlign w:val="center"/>
                </w:tcPr>
                <w:p w14:paraId="1A18A59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11A652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34908681">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continue"/>
                  <w:tcBorders>
                    <w:tl2br w:val="nil"/>
                    <w:tr2bl w:val="nil"/>
                  </w:tcBorders>
                  <w:noWrap w:val="0"/>
                  <w:vAlign w:val="center"/>
                </w:tcPr>
                <w:p w14:paraId="42DB8A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2356" w:type="dxa"/>
                  <w:tcBorders>
                    <w:tl2br w:val="nil"/>
                    <w:tr2bl w:val="nil"/>
                  </w:tcBorders>
                  <w:noWrap w:val="0"/>
                  <w:vAlign w:val="center"/>
                </w:tcPr>
                <w:p w14:paraId="6BEBE3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磨床</w:t>
                  </w:r>
                </w:p>
              </w:tc>
              <w:tc>
                <w:tcPr>
                  <w:tcW w:w="1275" w:type="dxa"/>
                  <w:tcBorders>
                    <w:tl2br w:val="nil"/>
                    <w:tr2bl w:val="nil"/>
                  </w:tcBorders>
                  <w:noWrap w:val="0"/>
                  <w:vAlign w:val="center"/>
                </w:tcPr>
                <w:p w14:paraId="7893A6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M1080B</w:t>
                  </w:r>
                </w:p>
              </w:tc>
              <w:tc>
                <w:tcPr>
                  <w:tcW w:w="765" w:type="dxa"/>
                  <w:tcBorders>
                    <w:tl2br w:val="nil"/>
                    <w:tr2bl w:val="nil"/>
                  </w:tcBorders>
                  <w:noWrap w:val="0"/>
                  <w:vAlign w:val="center"/>
                </w:tcPr>
                <w:p w14:paraId="0BE7375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63617E6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4238856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151.6</w:t>
                  </w:r>
                </w:p>
              </w:tc>
              <w:tc>
                <w:tcPr>
                  <w:tcW w:w="615" w:type="dxa"/>
                  <w:tcBorders>
                    <w:tl2br w:val="nil"/>
                    <w:tr2bl w:val="nil"/>
                  </w:tcBorders>
                  <w:noWrap w:val="0"/>
                  <w:vAlign w:val="center"/>
                </w:tcPr>
                <w:p w14:paraId="183888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10.2</w:t>
                  </w:r>
                </w:p>
              </w:tc>
              <w:tc>
                <w:tcPr>
                  <w:tcW w:w="510" w:type="dxa"/>
                  <w:tcBorders>
                    <w:tl2br w:val="nil"/>
                    <w:tr2bl w:val="nil"/>
                  </w:tcBorders>
                  <w:noWrap w:val="0"/>
                  <w:vAlign w:val="center"/>
                </w:tcPr>
                <w:p w14:paraId="765BD5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0EF2311E">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5B9F6FA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54DC5ED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181CB11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0F7BF01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7B26A46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p>
              </w:tc>
            </w:tr>
            <w:tr w14:paraId="436945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0F53E34D">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continue"/>
                  <w:tcBorders>
                    <w:tl2br w:val="nil"/>
                    <w:tr2bl w:val="nil"/>
                  </w:tcBorders>
                  <w:noWrap w:val="0"/>
                  <w:vAlign w:val="center"/>
                </w:tcPr>
                <w:p w14:paraId="3840CF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7FCC0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rPr>
                    <w:t>1</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直通式双端面磨床</w:t>
                  </w:r>
                </w:p>
              </w:tc>
              <w:tc>
                <w:tcPr>
                  <w:tcW w:w="1275" w:type="dxa"/>
                  <w:tcBorders>
                    <w:tl2br w:val="nil"/>
                    <w:tr2bl w:val="nil"/>
                  </w:tcBorders>
                  <w:noWrap w:val="0"/>
                  <w:vAlign w:val="center"/>
                </w:tcPr>
                <w:p w14:paraId="639DCF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MD7660</w:t>
                  </w:r>
                </w:p>
              </w:tc>
              <w:tc>
                <w:tcPr>
                  <w:tcW w:w="765" w:type="dxa"/>
                  <w:tcBorders>
                    <w:tl2br w:val="nil"/>
                    <w:tr2bl w:val="nil"/>
                  </w:tcBorders>
                  <w:noWrap w:val="0"/>
                  <w:vAlign w:val="center"/>
                </w:tcPr>
                <w:p w14:paraId="7B386E5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3A1AB7A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6F7590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148.5</w:t>
                  </w:r>
                </w:p>
              </w:tc>
              <w:tc>
                <w:tcPr>
                  <w:tcW w:w="615" w:type="dxa"/>
                  <w:tcBorders>
                    <w:tl2br w:val="nil"/>
                    <w:tr2bl w:val="nil"/>
                  </w:tcBorders>
                  <w:noWrap w:val="0"/>
                  <w:vAlign w:val="center"/>
                </w:tcPr>
                <w:p w14:paraId="7218BA9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4.4</w:t>
                  </w:r>
                </w:p>
              </w:tc>
              <w:tc>
                <w:tcPr>
                  <w:tcW w:w="510" w:type="dxa"/>
                  <w:tcBorders>
                    <w:tl2br w:val="nil"/>
                    <w:tr2bl w:val="nil"/>
                  </w:tcBorders>
                  <w:noWrap w:val="0"/>
                  <w:vAlign w:val="center"/>
                </w:tcPr>
                <w:p w14:paraId="2266EC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711CA7F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7CED712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34F908C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7F67D78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23936EF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76D2EFE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3CEE8B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19BF545E">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5AD2D7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6559DC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2</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直通式双端面磨床</w:t>
                  </w:r>
                </w:p>
              </w:tc>
              <w:tc>
                <w:tcPr>
                  <w:tcW w:w="1275" w:type="dxa"/>
                  <w:tcBorders>
                    <w:tl2br w:val="nil"/>
                    <w:tr2bl w:val="nil"/>
                  </w:tcBorders>
                  <w:shd w:val="clear" w:color="auto" w:fill="auto"/>
                  <w:noWrap w:val="0"/>
                  <w:vAlign w:val="center"/>
                </w:tcPr>
                <w:p w14:paraId="412B0C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MD7660</w:t>
                  </w:r>
                </w:p>
              </w:tc>
              <w:tc>
                <w:tcPr>
                  <w:tcW w:w="765" w:type="dxa"/>
                  <w:tcBorders>
                    <w:tl2br w:val="nil"/>
                    <w:tr2bl w:val="nil"/>
                  </w:tcBorders>
                  <w:shd w:val="clear" w:color="auto" w:fill="auto"/>
                  <w:noWrap w:val="0"/>
                  <w:vAlign w:val="center"/>
                </w:tcPr>
                <w:p w14:paraId="71DB7E3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1DF0CC7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6EF8C3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144.8</w:t>
                  </w:r>
                </w:p>
              </w:tc>
              <w:tc>
                <w:tcPr>
                  <w:tcW w:w="615" w:type="dxa"/>
                  <w:tcBorders>
                    <w:tl2br w:val="nil"/>
                    <w:tr2bl w:val="nil"/>
                  </w:tcBorders>
                  <w:noWrap w:val="0"/>
                  <w:vAlign w:val="center"/>
                </w:tcPr>
                <w:p w14:paraId="0D95C9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-2.6</w:t>
                  </w:r>
                </w:p>
              </w:tc>
              <w:tc>
                <w:tcPr>
                  <w:tcW w:w="510" w:type="dxa"/>
                  <w:tcBorders>
                    <w:tl2br w:val="nil"/>
                    <w:tr2bl w:val="nil"/>
                  </w:tcBorders>
                  <w:noWrap w:val="0"/>
                  <w:vAlign w:val="center"/>
                </w:tcPr>
                <w:p w14:paraId="2470B5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28B9EBB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4A0788F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39EC5AF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13D6041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61AA317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5E2CE08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18DC0C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756FCC10">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4E1212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2DD3A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3</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直通式双端面磨床</w:t>
                  </w:r>
                </w:p>
              </w:tc>
              <w:tc>
                <w:tcPr>
                  <w:tcW w:w="1275" w:type="dxa"/>
                  <w:tcBorders>
                    <w:tl2br w:val="nil"/>
                    <w:tr2bl w:val="nil"/>
                  </w:tcBorders>
                  <w:shd w:val="clear" w:color="auto" w:fill="auto"/>
                  <w:noWrap w:val="0"/>
                  <w:vAlign w:val="center"/>
                </w:tcPr>
                <w:p w14:paraId="675C67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MD7660</w:t>
                  </w:r>
                </w:p>
              </w:tc>
              <w:tc>
                <w:tcPr>
                  <w:tcW w:w="765" w:type="dxa"/>
                  <w:tcBorders>
                    <w:tl2br w:val="nil"/>
                    <w:tr2bl w:val="nil"/>
                  </w:tcBorders>
                  <w:shd w:val="clear" w:color="auto" w:fill="auto"/>
                  <w:noWrap w:val="0"/>
                  <w:vAlign w:val="center"/>
                </w:tcPr>
                <w:p w14:paraId="3860F93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7EB9B80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7B6544D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140.8</w:t>
                  </w:r>
                </w:p>
              </w:tc>
              <w:tc>
                <w:tcPr>
                  <w:tcW w:w="615" w:type="dxa"/>
                  <w:tcBorders>
                    <w:tl2br w:val="nil"/>
                    <w:tr2bl w:val="nil"/>
                  </w:tcBorders>
                  <w:noWrap w:val="0"/>
                  <w:vAlign w:val="center"/>
                </w:tcPr>
                <w:p w14:paraId="606B77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-9.4</w:t>
                  </w:r>
                </w:p>
              </w:tc>
              <w:tc>
                <w:tcPr>
                  <w:tcW w:w="510" w:type="dxa"/>
                  <w:tcBorders>
                    <w:tl2br w:val="nil"/>
                    <w:tr2bl w:val="nil"/>
                  </w:tcBorders>
                  <w:noWrap w:val="0"/>
                  <w:vAlign w:val="center"/>
                </w:tcPr>
                <w:p w14:paraId="57A30F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71DBA862">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68E547B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753C727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3A50746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763DDAE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63E2641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005E87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59B0B6D2">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0DD318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50CE15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4</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直通式双端面磨床</w:t>
                  </w:r>
                </w:p>
              </w:tc>
              <w:tc>
                <w:tcPr>
                  <w:tcW w:w="1275" w:type="dxa"/>
                  <w:tcBorders>
                    <w:tl2br w:val="nil"/>
                    <w:tr2bl w:val="nil"/>
                  </w:tcBorders>
                  <w:shd w:val="clear" w:color="auto" w:fill="auto"/>
                  <w:noWrap w:val="0"/>
                  <w:vAlign w:val="center"/>
                </w:tcPr>
                <w:p w14:paraId="294395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MD7660</w:t>
                  </w:r>
                </w:p>
              </w:tc>
              <w:tc>
                <w:tcPr>
                  <w:tcW w:w="765" w:type="dxa"/>
                  <w:tcBorders>
                    <w:tl2br w:val="nil"/>
                    <w:tr2bl w:val="nil"/>
                  </w:tcBorders>
                  <w:shd w:val="clear" w:color="auto" w:fill="auto"/>
                  <w:noWrap w:val="0"/>
                  <w:vAlign w:val="center"/>
                </w:tcPr>
                <w:p w14:paraId="7FA4505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5E93CE6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040B2D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160.5</w:t>
                  </w:r>
                </w:p>
              </w:tc>
              <w:tc>
                <w:tcPr>
                  <w:tcW w:w="615" w:type="dxa"/>
                  <w:tcBorders>
                    <w:tl2br w:val="nil"/>
                    <w:tr2bl w:val="nil"/>
                  </w:tcBorders>
                  <w:noWrap w:val="0"/>
                  <w:vAlign w:val="center"/>
                </w:tcPr>
                <w:p w14:paraId="21767B0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5.6</w:t>
                  </w:r>
                </w:p>
              </w:tc>
              <w:tc>
                <w:tcPr>
                  <w:tcW w:w="510" w:type="dxa"/>
                  <w:tcBorders>
                    <w:tl2br w:val="nil"/>
                    <w:tr2bl w:val="nil"/>
                  </w:tcBorders>
                  <w:noWrap w:val="0"/>
                  <w:vAlign w:val="center"/>
                </w:tcPr>
                <w:p w14:paraId="451E73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145C16C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3E379EC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0173E16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2B7BCD6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60EA4D9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660C0C0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574A3E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0E4A1E51">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829" w:type="dxa"/>
                  <w:vMerge w:val="continue"/>
                  <w:tcBorders>
                    <w:tl2br w:val="nil"/>
                    <w:tr2bl w:val="nil"/>
                  </w:tcBorders>
                  <w:noWrap w:val="0"/>
                  <w:vAlign w:val="center"/>
                </w:tcPr>
                <w:p w14:paraId="417A61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2356" w:type="dxa"/>
                  <w:tcBorders>
                    <w:tl2br w:val="nil"/>
                    <w:tr2bl w:val="nil"/>
                  </w:tcBorders>
                  <w:noWrap w:val="0"/>
                  <w:vAlign w:val="center"/>
                </w:tcPr>
                <w:p w14:paraId="232F80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双端面磨床</w:t>
                  </w:r>
                </w:p>
              </w:tc>
              <w:tc>
                <w:tcPr>
                  <w:tcW w:w="1275" w:type="dxa"/>
                  <w:tcBorders>
                    <w:tl2br w:val="nil"/>
                    <w:tr2bl w:val="nil"/>
                  </w:tcBorders>
                  <w:noWrap w:val="0"/>
                  <w:vAlign w:val="center"/>
                </w:tcPr>
                <w:p w14:paraId="20DC1C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M7640-B</w:t>
                  </w:r>
                </w:p>
              </w:tc>
              <w:tc>
                <w:tcPr>
                  <w:tcW w:w="765" w:type="dxa"/>
                  <w:tcBorders>
                    <w:tl2br w:val="nil"/>
                    <w:tr2bl w:val="nil"/>
                  </w:tcBorders>
                  <w:noWrap w:val="0"/>
                  <w:vAlign w:val="center"/>
                </w:tcPr>
                <w:p w14:paraId="114CCF7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5A13295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0F1D59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156.2</w:t>
                  </w:r>
                </w:p>
              </w:tc>
              <w:tc>
                <w:tcPr>
                  <w:tcW w:w="615" w:type="dxa"/>
                  <w:tcBorders>
                    <w:tl2br w:val="nil"/>
                    <w:tr2bl w:val="nil"/>
                  </w:tcBorders>
                  <w:noWrap w:val="0"/>
                  <w:vAlign w:val="center"/>
                </w:tcPr>
                <w:p w14:paraId="0C7AA2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-1.4</w:t>
                  </w:r>
                </w:p>
              </w:tc>
              <w:tc>
                <w:tcPr>
                  <w:tcW w:w="510" w:type="dxa"/>
                  <w:tcBorders>
                    <w:tl2br w:val="nil"/>
                    <w:tr2bl w:val="nil"/>
                  </w:tcBorders>
                  <w:noWrap w:val="0"/>
                  <w:vAlign w:val="center"/>
                </w:tcPr>
                <w:p w14:paraId="1ACF9C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00EB14AA">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035181F9">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7210D60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2CD9B53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0087352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6776805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7CDA1B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658D1331">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2755F8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0F1540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rPr>
                    <w:t>1#</w:t>
                  </w:r>
                  <w:r>
                    <w:rPr>
                      <w:rFonts w:hint="default" w:ascii="Times New Roman" w:hAnsi="Times New Roman" w:eastAsia="宋体" w:cs="Times New Roman"/>
                      <w:kern w:val="0"/>
                      <w:sz w:val="21"/>
                      <w:szCs w:val="21"/>
                      <w:highlight w:val="none"/>
                    </w:rPr>
                    <w:t>卧式双端面磨床</w:t>
                  </w:r>
                </w:p>
              </w:tc>
              <w:tc>
                <w:tcPr>
                  <w:tcW w:w="1275" w:type="dxa"/>
                  <w:tcBorders>
                    <w:tl2br w:val="nil"/>
                    <w:tr2bl w:val="nil"/>
                  </w:tcBorders>
                  <w:noWrap w:val="0"/>
                  <w:vAlign w:val="center"/>
                </w:tcPr>
                <w:p w14:paraId="1A00A2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M7640B-</w:t>
                  </w:r>
                  <w:r>
                    <w:rPr>
                      <w:rFonts w:hint="eastAsia" w:cs="Times New Roman"/>
                      <w:kern w:val="0"/>
                      <w:sz w:val="21"/>
                      <w:szCs w:val="21"/>
                      <w:highlight w:val="none"/>
                      <w:lang w:eastAsia="zh-CN"/>
                    </w:rPr>
                    <w:t>Ⅲ</w:t>
                  </w:r>
                </w:p>
              </w:tc>
              <w:tc>
                <w:tcPr>
                  <w:tcW w:w="765" w:type="dxa"/>
                  <w:tcBorders>
                    <w:tl2br w:val="nil"/>
                    <w:tr2bl w:val="nil"/>
                  </w:tcBorders>
                  <w:noWrap w:val="0"/>
                  <w:vAlign w:val="center"/>
                </w:tcPr>
                <w:p w14:paraId="3532029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64756EB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1B49B8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150.7</w:t>
                  </w:r>
                </w:p>
              </w:tc>
              <w:tc>
                <w:tcPr>
                  <w:tcW w:w="615" w:type="dxa"/>
                  <w:tcBorders>
                    <w:tl2br w:val="nil"/>
                    <w:tr2bl w:val="nil"/>
                  </w:tcBorders>
                  <w:noWrap w:val="0"/>
                  <w:vAlign w:val="center"/>
                </w:tcPr>
                <w:p w14:paraId="7F8A25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-13.4</w:t>
                  </w:r>
                </w:p>
              </w:tc>
              <w:tc>
                <w:tcPr>
                  <w:tcW w:w="510" w:type="dxa"/>
                  <w:tcBorders>
                    <w:tl2br w:val="nil"/>
                    <w:tr2bl w:val="nil"/>
                  </w:tcBorders>
                  <w:noWrap w:val="0"/>
                  <w:vAlign w:val="center"/>
                </w:tcPr>
                <w:p w14:paraId="5F3E4A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232B5F64">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43B1E3A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0E58414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37FE858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58970CA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310D21A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10BB2A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45FDF099">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6E183B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6D2546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w:t>
                  </w:r>
                  <w:r>
                    <w:rPr>
                      <w:rFonts w:hint="default" w:ascii="Times New Roman" w:hAnsi="Times New Roman" w:eastAsia="宋体" w:cs="Times New Roman"/>
                      <w:kern w:val="0"/>
                      <w:sz w:val="21"/>
                      <w:szCs w:val="21"/>
                      <w:highlight w:val="none"/>
                    </w:rPr>
                    <w:t>卧式双端面磨床</w:t>
                  </w:r>
                </w:p>
              </w:tc>
              <w:tc>
                <w:tcPr>
                  <w:tcW w:w="1275" w:type="dxa"/>
                  <w:tcBorders>
                    <w:tl2br w:val="nil"/>
                    <w:tr2bl w:val="nil"/>
                  </w:tcBorders>
                  <w:shd w:val="clear" w:color="auto" w:fill="auto"/>
                  <w:noWrap w:val="0"/>
                  <w:vAlign w:val="center"/>
                </w:tcPr>
                <w:p w14:paraId="267F51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M7640B-</w:t>
                  </w:r>
                  <w:r>
                    <w:rPr>
                      <w:rFonts w:hint="eastAsia" w:cs="Times New Roman"/>
                      <w:kern w:val="0"/>
                      <w:sz w:val="21"/>
                      <w:szCs w:val="21"/>
                      <w:highlight w:val="none"/>
                      <w:lang w:eastAsia="zh-CN"/>
                    </w:rPr>
                    <w:t>Ⅲ</w:t>
                  </w:r>
                </w:p>
              </w:tc>
              <w:tc>
                <w:tcPr>
                  <w:tcW w:w="765" w:type="dxa"/>
                  <w:tcBorders>
                    <w:tl2br w:val="nil"/>
                    <w:tr2bl w:val="nil"/>
                  </w:tcBorders>
                  <w:shd w:val="clear" w:color="auto" w:fill="auto"/>
                  <w:noWrap w:val="0"/>
                  <w:vAlign w:val="center"/>
                </w:tcPr>
                <w:p w14:paraId="04729AC3">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5E4BB6A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214475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168.5</w:t>
                  </w:r>
                </w:p>
              </w:tc>
              <w:tc>
                <w:tcPr>
                  <w:tcW w:w="615" w:type="dxa"/>
                  <w:tcBorders>
                    <w:tl2br w:val="nil"/>
                    <w:tr2bl w:val="nil"/>
                  </w:tcBorders>
                  <w:noWrap w:val="0"/>
                  <w:vAlign w:val="center"/>
                </w:tcPr>
                <w:p w14:paraId="283D00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w:t>
                  </w:r>
                </w:p>
              </w:tc>
              <w:tc>
                <w:tcPr>
                  <w:tcW w:w="510" w:type="dxa"/>
                  <w:tcBorders>
                    <w:tl2br w:val="nil"/>
                    <w:tr2bl w:val="nil"/>
                  </w:tcBorders>
                  <w:shd w:val="clear" w:color="auto" w:fill="auto"/>
                  <w:noWrap w:val="0"/>
                  <w:vAlign w:val="center"/>
                </w:tcPr>
                <w:p w14:paraId="47FF15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shd w:val="clear" w:color="auto" w:fill="auto"/>
                  <w:noWrap w:val="0"/>
                  <w:vAlign w:val="center"/>
                </w:tcPr>
                <w:p w14:paraId="6897CE2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shd w:val="clear" w:color="auto" w:fill="auto"/>
                  <w:noWrap w:val="0"/>
                  <w:vAlign w:val="center"/>
                </w:tcPr>
                <w:p w14:paraId="6B609ADB">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6DA3F3E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65AEFC2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shd w:val="clear" w:color="auto" w:fill="auto"/>
                  <w:noWrap w:val="0"/>
                  <w:vAlign w:val="center"/>
                </w:tcPr>
                <w:p w14:paraId="3F27225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shd w:val="clear" w:color="auto" w:fill="auto"/>
                  <w:noWrap w:val="0"/>
                  <w:vAlign w:val="center"/>
                </w:tcPr>
                <w:p w14:paraId="3FDFE62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2E9B1B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554CB68F">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1C27C2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rPr>
                  </w:pPr>
                </w:p>
              </w:tc>
              <w:tc>
                <w:tcPr>
                  <w:tcW w:w="2356" w:type="dxa"/>
                  <w:tcBorders>
                    <w:tl2br w:val="nil"/>
                    <w:tr2bl w:val="nil"/>
                  </w:tcBorders>
                  <w:noWrap w:val="0"/>
                  <w:vAlign w:val="center"/>
                </w:tcPr>
                <w:p w14:paraId="7F1616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平面磨床</w:t>
                  </w:r>
                </w:p>
              </w:tc>
              <w:tc>
                <w:tcPr>
                  <w:tcW w:w="1275" w:type="dxa"/>
                  <w:tcBorders>
                    <w:tl2br w:val="nil"/>
                    <w:tr2bl w:val="nil"/>
                  </w:tcBorders>
                  <w:noWrap w:val="0"/>
                  <w:vAlign w:val="center"/>
                </w:tcPr>
                <w:p w14:paraId="5F80EF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M7130S/1000</w:t>
                  </w:r>
                </w:p>
              </w:tc>
              <w:tc>
                <w:tcPr>
                  <w:tcW w:w="765" w:type="dxa"/>
                  <w:tcBorders>
                    <w:tl2br w:val="nil"/>
                    <w:tr2bl w:val="nil"/>
                  </w:tcBorders>
                  <w:noWrap w:val="0"/>
                  <w:vAlign w:val="center"/>
                </w:tcPr>
                <w:p w14:paraId="31F95B6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2D7C68A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38CF2C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166.3</w:t>
                  </w:r>
                </w:p>
              </w:tc>
              <w:tc>
                <w:tcPr>
                  <w:tcW w:w="615" w:type="dxa"/>
                  <w:tcBorders>
                    <w:tl2br w:val="nil"/>
                    <w:tr2bl w:val="nil"/>
                  </w:tcBorders>
                  <w:noWrap w:val="0"/>
                  <w:vAlign w:val="center"/>
                </w:tcPr>
                <w:p w14:paraId="19644F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-4.5</w:t>
                  </w:r>
                </w:p>
              </w:tc>
              <w:tc>
                <w:tcPr>
                  <w:tcW w:w="510" w:type="dxa"/>
                  <w:tcBorders>
                    <w:tl2br w:val="nil"/>
                    <w:tr2bl w:val="nil"/>
                  </w:tcBorders>
                  <w:noWrap w:val="0"/>
                  <w:vAlign w:val="center"/>
                </w:tcPr>
                <w:p w14:paraId="7AE9981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1EA9C190">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08D86F38">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4B9DC94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0595B1A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15</w:t>
                  </w:r>
                </w:p>
              </w:tc>
              <w:tc>
                <w:tcPr>
                  <w:tcW w:w="915" w:type="dxa"/>
                  <w:tcBorders>
                    <w:tl2br w:val="nil"/>
                    <w:tr2bl w:val="nil"/>
                  </w:tcBorders>
                  <w:noWrap w:val="0"/>
                  <w:vAlign w:val="center"/>
                </w:tcPr>
                <w:p w14:paraId="54E026F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21ECC3A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13AA67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48E0E3C7">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011CD3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6A8B66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rPr>
                    <w:t>1#</w:t>
                  </w:r>
                  <w:r>
                    <w:rPr>
                      <w:rFonts w:hint="default" w:ascii="Times New Roman" w:hAnsi="Times New Roman" w:eastAsia="宋体" w:cs="Times New Roman"/>
                      <w:kern w:val="0"/>
                      <w:sz w:val="21"/>
                      <w:szCs w:val="21"/>
                      <w:highlight w:val="none"/>
                    </w:rPr>
                    <w:t>金刚线多功能切割机</w:t>
                  </w:r>
                </w:p>
              </w:tc>
              <w:tc>
                <w:tcPr>
                  <w:tcW w:w="1275" w:type="dxa"/>
                  <w:tcBorders>
                    <w:tl2br w:val="nil"/>
                    <w:tr2bl w:val="nil"/>
                  </w:tcBorders>
                  <w:noWrap w:val="0"/>
                  <w:vAlign w:val="center"/>
                </w:tcPr>
                <w:p w14:paraId="08A770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CU-1200B</w:t>
                  </w:r>
                </w:p>
              </w:tc>
              <w:tc>
                <w:tcPr>
                  <w:tcW w:w="765" w:type="dxa"/>
                  <w:tcBorders>
                    <w:tl2br w:val="nil"/>
                    <w:tr2bl w:val="nil"/>
                  </w:tcBorders>
                  <w:noWrap w:val="0"/>
                  <w:vAlign w:val="center"/>
                </w:tcPr>
                <w:p w14:paraId="3538485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38D5DAB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4EB2E46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163.5</w:t>
                  </w:r>
                </w:p>
              </w:tc>
              <w:tc>
                <w:tcPr>
                  <w:tcW w:w="615" w:type="dxa"/>
                  <w:tcBorders>
                    <w:tl2br w:val="nil"/>
                    <w:tr2bl w:val="nil"/>
                  </w:tcBorders>
                  <w:noWrap w:val="0"/>
                  <w:vAlign w:val="center"/>
                </w:tcPr>
                <w:p w14:paraId="458BF0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-11.26</w:t>
                  </w:r>
                </w:p>
              </w:tc>
              <w:tc>
                <w:tcPr>
                  <w:tcW w:w="510" w:type="dxa"/>
                  <w:tcBorders>
                    <w:tl2br w:val="nil"/>
                    <w:tr2bl w:val="nil"/>
                  </w:tcBorders>
                  <w:noWrap w:val="0"/>
                  <w:vAlign w:val="center"/>
                </w:tcPr>
                <w:p w14:paraId="517997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noWrap w:val="0"/>
                  <w:vAlign w:val="center"/>
                </w:tcPr>
                <w:p w14:paraId="64A187E3">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noWrap w:val="0"/>
                  <w:vAlign w:val="center"/>
                </w:tcPr>
                <w:p w14:paraId="311D476C">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2676CB4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7450805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noWrap w:val="0"/>
                  <w:vAlign w:val="center"/>
                </w:tcPr>
                <w:p w14:paraId="0E0353E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noWrap w:val="0"/>
                  <w:vAlign w:val="center"/>
                </w:tcPr>
                <w:p w14:paraId="32EED4A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r w14:paraId="521001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325" w:type="dxa"/>
                  <w:tcBorders>
                    <w:tl2br w:val="nil"/>
                    <w:tr2bl w:val="nil"/>
                  </w:tcBorders>
                  <w:noWrap w:val="0"/>
                  <w:vAlign w:val="center"/>
                </w:tcPr>
                <w:p w14:paraId="706A670E">
                  <w:pPr>
                    <w:keepNext w:val="0"/>
                    <w:keepLines w:val="0"/>
                    <w:pageBreakBefore w:val="0"/>
                    <w:widowControl/>
                    <w:numPr>
                      <w:ilvl w:val="0"/>
                      <w:numId w:val="9"/>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z w:val="21"/>
                      <w:szCs w:val="21"/>
                      <w:highlight w:val="none"/>
                      <w:lang w:val="en-US" w:eastAsia="zh-CN"/>
                    </w:rPr>
                  </w:pPr>
                </w:p>
              </w:tc>
              <w:tc>
                <w:tcPr>
                  <w:tcW w:w="829" w:type="dxa"/>
                  <w:vMerge w:val="continue"/>
                  <w:tcBorders>
                    <w:tl2br w:val="nil"/>
                    <w:tr2bl w:val="nil"/>
                  </w:tcBorders>
                  <w:noWrap w:val="0"/>
                  <w:vAlign w:val="center"/>
                </w:tcPr>
                <w:p w14:paraId="614E47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p>
              </w:tc>
              <w:tc>
                <w:tcPr>
                  <w:tcW w:w="2356" w:type="dxa"/>
                  <w:tcBorders>
                    <w:tl2br w:val="nil"/>
                    <w:tr2bl w:val="nil"/>
                  </w:tcBorders>
                  <w:noWrap w:val="0"/>
                  <w:vAlign w:val="center"/>
                </w:tcPr>
                <w:p w14:paraId="38CE50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0"/>
                      <w:sz w:val="21"/>
                      <w:szCs w:val="21"/>
                      <w:highlight w:val="none"/>
                      <w:lang w:val="en-US" w:eastAsia="zh-CN"/>
                    </w:rPr>
                  </w:pPr>
                  <w:r>
                    <w:rPr>
                      <w:rFonts w:hint="eastAsia" w:cs="Times New Roman"/>
                      <w:kern w:val="0"/>
                      <w:sz w:val="21"/>
                      <w:szCs w:val="21"/>
                      <w:highlight w:val="none"/>
                      <w:lang w:val="en-US" w:eastAsia="zh-CN"/>
                    </w:rPr>
                    <w:t>2</w:t>
                  </w:r>
                  <w:r>
                    <w:rPr>
                      <w:rFonts w:hint="eastAsia" w:ascii="Times New Roman" w:hAnsi="Times New Roman" w:eastAsia="宋体" w:cs="Times New Roman"/>
                      <w:kern w:val="0"/>
                      <w:sz w:val="21"/>
                      <w:szCs w:val="21"/>
                      <w:highlight w:val="none"/>
                      <w:lang w:val="en-US" w:eastAsia="zh-CN"/>
                    </w:rPr>
                    <w:t>#</w:t>
                  </w:r>
                  <w:r>
                    <w:rPr>
                      <w:rFonts w:hint="default" w:ascii="Times New Roman" w:hAnsi="Times New Roman" w:eastAsia="宋体" w:cs="Times New Roman"/>
                      <w:kern w:val="0"/>
                      <w:sz w:val="21"/>
                      <w:szCs w:val="21"/>
                      <w:highlight w:val="none"/>
                    </w:rPr>
                    <w:t>金刚线多功能切割机</w:t>
                  </w:r>
                </w:p>
              </w:tc>
              <w:tc>
                <w:tcPr>
                  <w:tcW w:w="1275" w:type="dxa"/>
                  <w:tcBorders>
                    <w:tl2br w:val="nil"/>
                    <w:tr2bl w:val="nil"/>
                  </w:tcBorders>
                  <w:shd w:val="clear" w:color="auto" w:fill="auto"/>
                  <w:noWrap w:val="0"/>
                  <w:vAlign w:val="center"/>
                </w:tcPr>
                <w:p w14:paraId="241E39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rPr>
                    <w:t>CU-1200B</w:t>
                  </w:r>
                </w:p>
              </w:tc>
              <w:tc>
                <w:tcPr>
                  <w:tcW w:w="765" w:type="dxa"/>
                  <w:tcBorders>
                    <w:tl2br w:val="nil"/>
                    <w:tr2bl w:val="nil"/>
                  </w:tcBorders>
                  <w:shd w:val="clear" w:color="auto" w:fill="auto"/>
                  <w:noWrap w:val="0"/>
                  <w:vAlign w:val="center"/>
                </w:tcPr>
                <w:p w14:paraId="6216BC3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85</w:t>
                  </w:r>
                </w:p>
              </w:tc>
              <w:tc>
                <w:tcPr>
                  <w:tcW w:w="825" w:type="dxa"/>
                  <w:vMerge w:val="continue"/>
                  <w:tcBorders>
                    <w:tl2br w:val="nil"/>
                    <w:tr2bl w:val="nil"/>
                  </w:tcBorders>
                  <w:noWrap w:val="0"/>
                  <w:vAlign w:val="center"/>
                </w:tcPr>
                <w:p w14:paraId="0DDE94B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540" w:type="dxa"/>
                  <w:tcBorders>
                    <w:tl2br w:val="nil"/>
                    <w:tr2bl w:val="nil"/>
                  </w:tcBorders>
                  <w:noWrap w:val="0"/>
                  <w:vAlign w:val="center"/>
                </w:tcPr>
                <w:p w14:paraId="682057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158.9</w:t>
                  </w:r>
                </w:p>
              </w:tc>
              <w:tc>
                <w:tcPr>
                  <w:tcW w:w="615" w:type="dxa"/>
                  <w:tcBorders>
                    <w:tl2br w:val="nil"/>
                    <w:tr2bl w:val="nil"/>
                  </w:tcBorders>
                  <w:noWrap w:val="0"/>
                  <w:vAlign w:val="center"/>
                </w:tcPr>
                <w:p w14:paraId="246D01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-15.8</w:t>
                  </w:r>
                </w:p>
              </w:tc>
              <w:tc>
                <w:tcPr>
                  <w:tcW w:w="510" w:type="dxa"/>
                  <w:tcBorders>
                    <w:tl2br w:val="nil"/>
                    <w:tr2bl w:val="nil"/>
                  </w:tcBorders>
                  <w:shd w:val="clear" w:color="auto" w:fill="auto"/>
                  <w:noWrap w:val="0"/>
                  <w:vAlign w:val="center"/>
                </w:tcPr>
                <w:p w14:paraId="168EB2F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w:t>
                  </w:r>
                </w:p>
              </w:tc>
              <w:tc>
                <w:tcPr>
                  <w:tcW w:w="735" w:type="dxa"/>
                  <w:tcBorders>
                    <w:tl2br w:val="nil"/>
                    <w:tr2bl w:val="nil"/>
                  </w:tcBorders>
                  <w:shd w:val="clear" w:color="auto" w:fill="auto"/>
                  <w:noWrap w:val="0"/>
                  <w:vAlign w:val="center"/>
                </w:tcPr>
                <w:p w14:paraId="7379992F">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18</w:t>
                  </w:r>
                </w:p>
              </w:tc>
              <w:tc>
                <w:tcPr>
                  <w:tcW w:w="945" w:type="dxa"/>
                  <w:tcBorders>
                    <w:tl2br w:val="nil"/>
                    <w:tr2bl w:val="nil"/>
                  </w:tcBorders>
                  <w:shd w:val="clear" w:color="auto" w:fill="auto"/>
                  <w:noWrap w:val="0"/>
                  <w:vAlign w:val="center"/>
                </w:tcPr>
                <w:p w14:paraId="517ED6A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sz w:val="21"/>
                      <w:szCs w:val="21"/>
                      <w:highlight w:val="none"/>
                      <w:vertAlign w:val="baseline"/>
                      <w:lang w:val="en-US" w:eastAsia="zh-CN"/>
                    </w:rPr>
                    <w:t>71.75</w:t>
                  </w:r>
                </w:p>
              </w:tc>
              <w:tc>
                <w:tcPr>
                  <w:tcW w:w="765" w:type="dxa"/>
                  <w:vMerge w:val="continue"/>
                  <w:tcBorders>
                    <w:tl2br w:val="nil"/>
                    <w:tr2bl w:val="nil"/>
                  </w:tcBorders>
                  <w:noWrap w:val="0"/>
                  <w:vAlign w:val="center"/>
                </w:tcPr>
                <w:p w14:paraId="0BA1472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highlight w:val="none"/>
                      <w:lang w:val="en-US" w:eastAsia="zh-CN" w:bidi="ar-SA"/>
                    </w:rPr>
                  </w:pPr>
                </w:p>
              </w:tc>
              <w:tc>
                <w:tcPr>
                  <w:tcW w:w="900" w:type="dxa"/>
                  <w:tcBorders>
                    <w:tl2br w:val="nil"/>
                    <w:tr2bl w:val="nil"/>
                  </w:tcBorders>
                  <w:shd w:val="clear" w:color="auto" w:fill="auto"/>
                  <w:noWrap w:val="0"/>
                  <w:vAlign w:val="center"/>
                </w:tcPr>
                <w:p w14:paraId="77CDD6D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15</w:t>
                  </w:r>
                </w:p>
              </w:tc>
              <w:tc>
                <w:tcPr>
                  <w:tcW w:w="915" w:type="dxa"/>
                  <w:tcBorders>
                    <w:tl2br w:val="nil"/>
                    <w:tr2bl w:val="nil"/>
                  </w:tcBorders>
                  <w:shd w:val="clear" w:color="auto" w:fill="auto"/>
                  <w:noWrap w:val="0"/>
                  <w:vAlign w:val="center"/>
                </w:tcPr>
                <w:p w14:paraId="42085CDB">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50.75</w:t>
                  </w:r>
                </w:p>
              </w:tc>
              <w:tc>
                <w:tcPr>
                  <w:tcW w:w="842" w:type="dxa"/>
                  <w:tcBorders>
                    <w:tl2br w:val="nil"/>
                    <w:tr2bl w:val="nil"/>
                  </w:tcBorders>
                  <w:shd w:val="clear" w:color="auto" w:fill="auto"/>
                  <w:noWrap w:val="0"/>
                  <w:vAlign w:val="center"/>
                </w:tcPr>
                <w:p w14:paraId="745678B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w:t>
                  </w:r>
                </w:p>
              </w:tc>
            </w:tr>
          </w:tbl>
          <w:p w14:paraId="0C9F0A4C">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注：以</w:t>
            </w:r>
            <w:r>
              <w:rPr>
                <w:rFonts w:hint="eastAsia" w:cs="Times New Roman"/>
                <w:color w:val="auto"/>
                <w:kern w:val="2"/>
                <w:sz w:val="18"/>
                <w:szCs w:val="18"/>
                <w:highlight w:val="none"/>
                <w:lang w:val="en-US" w:eastAsia="zh-CN" w:bidi="ar-SA"/>
              </w:rPr>
              <w:t>场地最西侧</w:t>
            </w:r>
            <w:r>
              <w:rPr>
                <w:rFonts w:hint="eastAsia" w:ascii="Times New Roman" w:hAnsi="Times New Roman" w:eastAsia="宋体" w:cs="Times New Roman"/>
                <w:color w:val="auto"/>
                <w:kern w:val="2"/>
                <w:sz w:val="18"/>
                <w:szCs w:val="18"/>
                <w:highlight w:val="none"/>
                <w:lang w:val="en-US" w:eastAsia="zh-CN" w:bidi="ar-SA"/>
              </w:rPr>
              <w:t>坐标为（0，0，0）。</w:t>
            </w:r>
          </w:p>
          <w:p w14:paraId="096E62FC">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76007150">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080E3F6F">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2BF1EB5B">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19264481">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3B15C712">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2EBEF42B">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3F03FFA7">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53E7245A">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0E1CD0B3">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1534BA1C">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cs="Times New Roman"/>
                <w:color w:val="auto"/>
                <w:kern w:val="2"/>
                <w:sz w:val="18"/>
                <w:szCs w:val="18"/>
                <w:highlight w:val="none"/>
                <w:lang w:val="en-US" w:eastAsia="zh-CN" w:bidi="ar-SA"/>
              </w:rPr>
            </w:pPr>
          </w:p>
          <w:p w14:paraId="529B1FD4">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default" w:ascii="Times New Roman" w:hAnsi="Times New Roman" w:eastAsia="宋体" w:cs="Times New Roman"/>
                <w:color w:val="auto"/>
                <w:kern w:val="2"/>
                <w:sz w:val="18"/>
                <w:szCs w:val="18"/>
                <w:highlight w:val="none"/>
                <w:lang w:val="en-US" w:eastAsia="zh-CN" w:bidi="ar-SA"/>
              </w:rPr>
            </w:pPr>
          </w:p>
        </w:tc>
      </w:tr>
    </w:tbl>
    <w:p w14:paraId="3F9F27E8">
      <w:pPr>
        <w:rPr>
          <w:highlight w:val="none"/>
        </w:rPr>
        <w:sectPr>
          <w:footerReference r:id="rId7" w:type="default"/>
          <w:pgSz w:w="16840" w:h="11907" w:orient="landscape"/>
          <w:pgMar w:top="1134" w:right="1417" w:bottom="1134" w:left="1417" w:header="851" w:footer="850" w:gutter="0"/>
          <w:pgBorders>
            <w:top w:val="none" w:sz="0" w:space="0"/>
            <w:left w:val="none" w:sz="0" w:space="0"/>
            <w:bottom w:val="none" w:sz="0" w:space="0"/>
            <w:right w:val="none" w:sz="0" w:space="0"/>
          </w:pgBorders>
          <w:pgNumType w:fmt="decimal"/>
          <w:cols w:space="720" w:num="1"/>
          <w:docGrid w:linePitch="312" w:charSpace="0"/>
        </w:sectPr>
      </w:pPr>
    </w:p>
    <w:tbl>
      <w:tblPr>
        <w:tblStyle w:val="22"/>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8162"/>
      </w:tblGrid>
      <w:tr w14:paraId="3391DF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8" w:hRule="atLeast"/>
          <w:jc w:val="center"/>
        </w:trPr>
        <w:tc>
          <w:tcPr>
            <w:tcW w:w="746" w:type="dxa"/>
            <w:noWrap w:val="0"/>
            <w:tcMar>
              <w:left w:w="28" w:type="dxa"/>
              <w:right w:w="28" w:type="dxa"/>
            </w:tcMar>
            <w:vAlign w:val="center"/>
          </w:tcPr>
          <w:p w14:paraId="1D0F1F69">
            <w:pPr>
              <w:adjustRightInd w:val="0"/>
              <w:snapToGrid w:val="0"/>
              <w:jc w:val="center"/>
              <w:rPr>
                <w:rFonts w:hint="eastAsia" w:ascii="宋体" w:hAnsi="宋体" w:cs="宋体"/>
                <w:bCs/>
                <w:szCs w:val="21"/>
                <w:highlight w:val="none"/>
              </w:rPr>
            </w:pPr>
          </w:p>
        </w:tc>
        <w:tc>
          <w:tcPr>
            <w:tcW w:w="8162" w:type="dxa"/>
            <w:noWrap w:val="0"/>
            <w:vAlign w:val="center"/>
          </w:tcPr>
          <w:p w14:paraId="749270FB">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3.2 噪声影响分析</w:t>
            </w:r>
          </w:p>
          <w:p w14:paraId="0FF2DCE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本次评价拟采用《环境影响评价技术导则 声环境》（</w:t>
            </w:r>
            <w:r>
              <w:rPr>
                <w:rFonts w:hint="default" w:ascii="Times New Roman" w:hAnsi="Times New Roman" w:eastAsia="宋体" w:cs="Times New Roman"/>
                <w:color w:val="auto"/>
                <w:kern w:val="2"/>
                <w:sz w:val="24"/>
                <w:szCs w:val="24"/>
                <w:highlight w:val="none"/>
                <w:lang w:val="en-US" w:eastAsia="zh-CN" w:bidi="ar-SA"/>
              </w:rPr>
              <w:t>HJ2.4-2021</w:t>
            </w:r>
            <w:r>
              <w:rPr>
                <w:rFonts w:hint="eastAsia" w:ascii="Times New Roman" w:hAnsi="Times New Roman" w:eastAsia="宋体" w:cs="Times New Roman"/>
                <w:color w:val="auto"/>
                <w:kern w:val="2"/>
                <w:sz w:val="24"/>
                <w:szCs w:val="24"/>
                <w:highlight w:val="none"/>
                <w:lang w:val="en-US" w:eastAsia="zh-CN" w:bidi="ar-SA"/>
              </w:rPr>
              <w:t>）推荐的室内声源进行预测，预测模式如下：</w:t>
            </w:r>
          </w:p>
          <w:p w14:paraId="6B2ACD3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噪声贡献值（Leqg）计算公式为：</w:t>
            </w:r>
          </w:p>
          <w:p w14:paraId="613B0F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object>
                <v:shape id="_x0000_i1025" o:spt="75" type="#_x0000_t75" style="height:32.75pt;width:126.05pt;" o:ole="t" filled="f" o:preferrelative="t" stroked="f" coordsize="21600,21600">
                  <v:path/>
                  <v:fill on="f" focussize="0,0"/>
                  <v:stroke on="f"/>
                  <v:imagedata r:id="rId14" o:title=""/>
                  <o:lock v:ext="edit" aspectratio="t"/>
                  <w10:wrap type="none"/>
                  <w10:anchorlock/>
                </v:shape>
                <o:OLEObject Type="Embed" ProgID="Equation.KSEE3" ShapeID="_x0000_i1025" DrawAspect="Content" ObjectID="_1468075725" r:id="rId13">
                  <o:LockedField>false</o:LockedField>
                </o:OLEObject>
              </w:object>
            </w:r>
          </w:p>
          <w:p w14:paraId="328C39F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式中：L</w:t>
            </w:r>
            <w:r>
              <w:rPr>
                <w:rFonts w:hint="eastAsia" w:ascii="Times New Roman" w:hAnsi="Times New Roman" w:eastAsia="宋体" w:cs="Times New Roman"/>
                <w:color w:val="auto"/>
                <w:kern w:val="2"/>
                <w:sz w:val="24"/>
                <w:szCs w:val="24"/>
                <w:highlight w:val="none"/>
                <w:vertAlign w:val="subscript"/>
                <w:lang w:val="en-US" w:eastAsia="zh-CN" w:bidi="ar-SA"/>
              </w:rPr>
              <w:t>eqg</w:t>
            </w:r>
            <w:r>
              <w:rPr>
                <w:rFonts w:hint="eastAsia" w:ascii="Times New Roman" w:hAnsi="Times New Roman" w:eastAsia="宋体" w:cs="Times New Roman"/>
                <w:color w:val="auto"/>
                <w:kern w:val="2"/>
                <w:sz w:val="24"/>
                <w:szCs w:val="24"/>
                <w:highlight w:val="none"/>
                <w:lang w:val="en-US" w:eastAsia="zh-CN" w:bidi="ar-SA"/>
              </w:rPr>
              <w:t>——噪声贡献值，dB；</w:t>
            </w:r>
          </w:p>
          <w:p w14:paraId="19BC5540">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T：预测计算的时间段，s；</w:t>
            </w:r>
          </w:p>
          <w:p w14:paraId="1AF1E91F">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Ti：i声源在T时段内的运行时间，s；</w:t>
            </w:r>
          </w:p>
          <w:p w14:paraId="3CC7E464">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LAi：i声源在预测点产生的等效连续A声级，dB。</w:t>
            </w:r>
          </w:p>
          <w:p w14:paraId="7DE4E38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噪声预测值：预测点的贡献值和背景值按能量叠加方法计算得到的声级。</w:t>
            </w:r>
          </w:p>
          <w:p w14:paraId="068FA83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噪声预测值（Leq）计算公式为：</w:t>
            </w:r>
          </w:p>
          <w:p w14:paraId="7B1DD0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object>
                <v:shape id="_x0000_i1026" o:spt="75" type="#_x0000_t75" style="height:21pt;width:137pt;" o:ole="t" filled="f" o:preferrelative="t" stroked="f" coordsize="21600,21600">
                  <v:path/>
                  <v:fill on="f" focussize="0,0"/>
                  <v:stroke on="f"/>
                  <v:imagedata r:id="rId16" o:title=""/>
                  <o:lock v:ext="edit" aspectratio="t"/>
                  <w10:wrap type="none"/>
                  <w10:anchorlock/>
                </v:shape>
                <o:OLEObject Type="Embed" ProgID="Equation.KSEE3" ShapeID="_x0000_i1026" DrawAspect="Content" ObjectID="_1468075726" r:id="rId15">
                  <o:LockedField>false</o:LockedField>
                </o:OLEObject>
              </w:object>
            </w:r>
          </w:p>
          <w:p w14:paraId="56326A1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式中：Leq：预测点的噪声预测值，dB；</w:t>
            </w:r>
          </w:p>
          <w:p w14:paraId="6A0FF7CE">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Leqg：建设项目声源在预测点产生的噪声贡献值，dB；</w:t>
            </w:r>
          </w:p>
          <w:p w14:paraId="6B675979">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Leqb：预测点的背景噪声值，dB。</w:t>
            </w:r>
          </w:p>
          <w:p w14:paraId="0A602A2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根据声源声功率级或参考位置处的声压级、户外声传播衰减，预测点的声级按以下公式计算：</w:t>
            </w:r>
          </w:p>
          <w:p w14:paraId="35AA24D8">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Lp</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r</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=Lw+Dc-</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Adiv+Aatm+Agr+Abar+Amisc</w:t>
            </w:r>
            <w:r>
              <w:rPr>
                <w:rFonts w:hint="eastAsia" w:cs="Times New Roman"/>
                <w:color w:val="auto"/>
                <w:kern w:val="2"/>
                <w:sz w:val="24"/>
                <w:szCs w:val="24"/>
                <w:highlight w:val="none"/>
                <w:lang w:val="en-US" w:eastAsia="zh-CN" w:bidi="ar-SA"/>
              </w:rPr>
              <w:t>）</w:t>
            </w:r>
          </w:p>
          <w:p w14:paraId="45D81CA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对单个点声源的几何衰减用以下公式计算：</w:t>
            </w:r>
          </w:p>
          <w:p w14:paraId="2F78BD94">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Lp</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r</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=Lp</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r0</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-20lg</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r/r0</w:t>
            </w:r>
            <w:r>
              <w:rPr>
                <w:rFonts w:hint="eastAsia" w:cs="Times New Roman"/>
                <w:color w:val="auto"/>
                <w:kern w:val="2"/>
                <w:sz w:val="24"/>
                <w:szCs w:val="24"/>
                <w:highlight w:val="none"/>
                <w:lang w:val="en-US" w:eastAsia="zh-CN" w:bidi="ar-SA"/>
              </w:rPr>
              <w:t>）</w:t>
            </w:r>
          </w:p>
          <w:p w14:paraId="34A3990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两个以上的多个噪声源同时存在时，总声级计算公式为：</w:t>
            </w:r>
          </w:p>
          <w:p w14:paraId="5FC563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object>
                <v:shape id="_x0000_i1027" o:spt="75" type="#_x0000_t75" style="height:32.55pt;width:95.6pt;" o:ole="t" filled="f" o:preferrelative="t" stroked="f" coordsize="21600,21600">
                  <v:path/>
                  <v:fill on="f" focussize="0,0"/>
                  <v:stroke on="f"/>
                  <v:imagedata r:id="rId18" o:title=""/>
                  <o:lock v:ext="edit" aspectratio="t"/>
                  <w10:wrap type="none"/>
                  <w10:anchorlock/>
                </v:shape>
                <o:OLEObject Type="Embed" ProgID="Equation.3" ShapeID="_x0000_i1027" DrawAspect="Content" ObjectID="_1468075727" r:id="rId17">
                  <o:LockedField>false</o:LockedField>
                </o:OLEObject>
              </w:object>
            </w:r>
          </w:p>
          <w:p w14:paraId="0589624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现状监测值与预测贡献值叠加的预测总声级计算公式为：</w:t>
            </w:r>
          </w:p>
          <w:p w14:paraId="69D334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object>
                <v:shape id="_x0000_i1028" o:spt="75" type="#_x0000_t75" style="height:18pt;width:120pt;" o:ole="t" filled="f" o:preferrelative="t" stroked="f" coordsize="21600,21600">
                  <v:path/>
                  <v:fill on="f" focussize="0,0"/>
                  <v:stroke on="f"/>
                  <v:imagedata r:id="rId20" o:title=""/>
                  <o:lock v:ext="edit" aspectratio="t"/>
                  <w10:wrap type="none"/>
                  <w10:anchorlock/>
                </v:shape>
                <o:OLEObject Type="Embed" ProgID="Equation.3" ShapeID="_x0000_i1028" DrawAspect="Content" ObjectID="_1468075728" r:id="rId19">
                  <o:LockedField>false</o:LockedField>
                </o:OLEObject>
              </w:object>
            </w:r>
          </w:p>
          <w:p w14:paraId="428E6E9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以上式中：</w:t>
            </w:r>
          </w:p>
          <w:p w14:paraId="35EC436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r：预测点到声源的距离；</w:t>
            </w:r>
          </w:p>
          <w:p w14:paraId="610C264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Adiv：几何发散引起的衰减，dB；</w:t>
            </w:r>
          </w:p>
          <w:p w14:paraId="2838B1B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Abar：障碍物屏蔽引起的衰减，dB；</w:t>
            </w:r>
          </w:p>
          <w:p w14:paraId="56455E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Aatm：空气吸收衰减，dB；</w:t>
            </w:r>
          </w:p>
          <w:p w14:paraId="75C57B6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Agr：地面效应引起的衰减，dB；</w:t>
            </w:r>
          </w:p>
          <w:p w14:paraId="35FC8C0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Amisc：其他多方面效应引起的衰减，dB；</w:t>
            </w:r>
          </w:p>
          <w:p w14:paraId="7135169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Lp</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r</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：预测点处声压级，dB；</w:t>
            </w:r>
          </w:p>
          <w:p w14:paraId="44F0F54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Lp</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r0</w:t>
            </w:r>
            <w:r>
              <w:rPr>
                <w:rFonts w:hint="eastAsia"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：参考位置r0处的声压级，dB；</w:t>
            </w:r>
          </w:p>
          <w:p w14:paraId="572B89A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r0：参考位置距离声源的距离，m；</w:t>
            </w:r>
          </w:p>
          <w:p w14:paraId="07A8F8B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Lw：由点声源产生的声功率级（A计权或倍频带），dB；</w:t>
            </w:r>
          </w:p>
          <w:p w14:paraId="6104286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Dc：指向性校正，它描述点声源的等效连续声压级与产生声功率级Lw的全向点声源在规定方向的声级的偏差程度，dB。</w:t>
            </w:r>
          </w:p>
          <w:p w14:paraId="308E0FD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室内声源等效室外声源声功率级计算方法：</w:t>
            </w:r>
          </w:p>
          <w:p w14:paraId="640BB9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object>
                <v:shape id="_x0000_i1029" o:spt="75" type="#_x0000_t75" style="height:18.9pt;width:112.2pt;" o:ole="t" filled="f" o:preferrelative="t" stroked="f" coordsize="21600,21600">
                  <v:path/>
                  <v:fill on="f" focussize="0,0"/>
                  <v:stroke on="f"/>
                  <v:imagedata r:id="rId22" o:title=""/>
                  <o:lock v:ext="edit" aspectratio="t"/>
                  <w10:wrap type="none"/>
                  <w10:anchorlock/>
                </v:shape>
                <o:OLEObject Type="Embed" ProgID="Equation.KSEE3" ShapeID="_x0000_i1029" DrawAspect="Content" ObjectID="_1468075729" r:id="rId21">
                  <o:LockedField>false</o:LockedField>
                </o:OLEObject>
              </w:object>
            </w:r>
          </w:p>
          <w:p w14:paraId="046E07B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式中：</w:t>
            </w:r>
          </w:p>
          <w:p w14:paraId="3A9F25C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Lp</w:t>
            </w:r>
            <w:r>
              <w:rPr>
                <w:rFonts w:hint="eastAsia" w:ascii="Times New Roman" w:hAnsi="Times New Roman" w:eastAsia="宋体" w:cs="Times New Roman"/>
                <w:color w:val="auto"/>
                <w:kern w:val="2"/>
                <w:sz w:val="24"/>
                <w:szCs w:val="24"/>
                <w:highlight w:val="none"/>
                <w:vertAlign w:val="subscript"/>
                <w:lang w:val="en-US" w:eastAsia="zh-CN" w:bidi="ar-SA"/>
              </w:rPr>
              <w:t>1</w:t>
            </w:r>
            <w:r>
              <w:rPr>
                <w:rFonts w:hint="eastAsia" w:ascii="Times New Roman" w:hAnsi="Times New Roman" w:eastAsia="宋体" w:cs="Times New Roman"/>
                <w:color w:val="auto"/>
                <w:kern w:val="2"/>
                <w:sz w:val="24"/>
                <w:szCs w:val="24"/>
                <w:highlight w:val="none"/>
                <w:lang w:val="en-US" w:eastAsia="zh-CN" w:bidi="ar-SA"/>
              </w:rPr>
              <w:t>：靠近开口处（或窗户）室内某倍频带的声压级或A声级，dB；</w:t>
            </w:r>
          </w:p>
          <w:p w14:paraId="5D853A5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Lp2：靠近开口处（或窗户）室外某倍频带的声压级或A声级，dB；</w:t>
            </w:r>
          </w:p>
          <w:p w14:paraId="54FFC54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TL：隔墙（或窗户）倍频带或A声级的隔声量，dB。</w:t>
            </w:r>
          </w:p>
          <w:p w14:paraId="6AEC533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（2）预测结果</w:t>
            </w:r>
          </w:p>
          <w:p w14:paraId="6E903B8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sz w:val="24"/>
                <w:szCs w:val="24"/>
                <w:highlight w:val="none"/>
              </w:rPr>
              <w:t>因此预测噪声源对各预测点昼</w:t>
            </w:r>
            <w:r>
              <w:rPr>
                <w:rFonts w:hint="eastAsia"/>
                <w:sz w:val="24"/>
                <w:szCs w:val="24"/>
                <w:highlight w:val="none"/>
                <w:lang w:val="en-US" w:eastAsia="zh-CN"/>
              </w:rPr>
              <w:t>夜</w:t>
            </w:r>
            <w:r>
              <w:rPr>
                <w:sz w:val="24"/>
                <w:szCs w:val="24"/>
                <w:highlight w:val="none"/>
              </w:rPr>
              <w:t>的影响预测结果见下表</w:t>
            </w:r>
            <w:r>
              <w:rPr>
                <w:rFonts w:hint="eastAsia" w:ascii="Times New Roman" w:hAnsi="Times New Roman" w:eastAsia="宋体" w:cs="Times New Roman"/>
                <w:color w:val="auto"/>
                <w:kern w:val="2"/>
                <w:sz w:val="24"/>
                <w:szCs w:val="24"/>
                <w:highlight w:val="none"/>
                <w:lang w:val="en-US" w:eastAsia="zh-CN" w:bidi="ar-SA"/>
              </w:rPr>
              <w:t>。</w:t>
            </w:r>
          </w:p>
          <w:p w14:paraId="6FA0ABD6">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w:t>
            </w:r>
            <w:r>
              <w:rPr>
                <w:rFonts w:hint="eastAsia" w:cs="Times New Roman"/>
                <w:b/>
                <w:bCs/>
                <w:color w:val="000000"/>
                <w:kern w:val="2"/>
                <w:sz w:val="21"/>
                <w:szCs w:val="21"/>
                <w:highlight w:val="none"/>
                <w:lang w:val="en-US" w:eastAsia="zh-CN" w:bidi="ar-SA"/>
              </w:rPr>
              <w:t>13</w:t>
            </w:r>
            <w:r>
              <w:rPr>
                <w:rFonts w:hint="eastAsia" w:ascii="Times New Roman" w:hAnsi="Times New Roman" w:eastAsia="宋体" w:cs="Times New Roman"/>
                <w:b/>
                <w:bCs/>
                <w:color w:val="000000"/>
                <w:kern w:val="2"/>
                <w:sz w:val="21"/>
                <w:szCs w:val="21"/>
                <w:highlight w:val="none"/>
                <w:lang w:val="en-US" w:eastAsia="zh-CN" w:bidi="ar-SA"/>
              </w:rPr>
              <w:t xml:space="preserve">  厂界噪声影响预测结果  单位dB（A）</w:t>
            </w:r>
          </w:p>
          <w:tbl>
            <w:tblPr>
              <w:tblStyle w:val="2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788"/>
              <w:gridCol w:w="1187"/>
              <w:gridCol w:w="1554"/>
              <w:gridCol w:w="1567"/>
              <w:gridCol w:w="1568"/>
              <w:gridCol w:w="1277"/>
            </w:tblGrid>
            <w:tr w14:paraId="338A4E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96" w:type="pct"/>
                  <w:tcBorders>
                    <w:tl2br w:val="nil"/>
                    <w:tr2bl w:val="nil"/>
                  </w:tcBorders>
                  <w:noWrap w:val="0"/>
                  <w:vAlign w:val="center"/>
                </w:tcPr>
                <w:p w14:paraId="775B12B9">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编号</w:t>
                  </w:r>
                </w:p>
              </w:tc>
              <w:tc>
                <w:tcPr>
                  <w:tcW w:w="747" w:type="pct"/>
                  <w:tcBorders>
                    <w:tl2br w:val="nil"/>
                    <w:tr2bl w:val="nil"/>
                  </w:tcBorders>
                  <w:noWrap w:val="0"/>
                  <w:vAlign w:val="center"/>
                </w:tcPr>
                <w:p w14:paraId="361862B5">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点位</w:t>
                  </w:r>
                </w:p>
              </w:tc>
              <w:tc>
                <w:tcPr>
                  <w:tcW w:w="978" w:type="pct"/>
                  <w:tcBorders>
                    <w:tl2br w:val="nil"/>
                    <w:tr2bl w:val="nil"/>
                  </w:tcBorders>
                  <w:noWrap w:val="0"/>
                  <w:vAlign w:val="center"/>
                </w:tcPr>
                <w:p w14:paraId="2A35D967">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val="en-US" w:eastAsia="zh-CN"/>
                    </w:rPr>
                    <w:t>昼间</w:t>
                  </w:r>
                  <w:r>
                    <w:rPr>
                      <w:rFonts w:hint="default" w:ascii="Times New Roman" w:hAnsi="Times New Roman" w:eastAsia="宋体" w:cs="Times New Roman"/>
                      <w:sz w:val="21"/>
                      <w:szCs w:val="21"/>
                      <w:highlight w:val="none"/>
                    </w:rPr>
                    <w:t>贡献值dB</w:t>
                  </w:r>
                  <w:r>
                    <w:rPr>
                      <w:rFonts w:hint="eastAsia" w:ascii="Times New Roman" w:hAnsi="Times New Roman" w:cs="Times New Roman"/>
                      <w:sz w:val="21"/>
                      <w:szCs w:val="21"/>
                      <w:highlight w:val="none"/>
                      <w:lang w:eastAsia="zh-CN"/>
                    </w:rPr>
                    <w:t>（</w:t>
                  </w:r>
                  <w:r>
                    <w:rPr>
                      <w:rFonts w:hint="default" w:ascii="Times New Roman" w:hAnsi="Times New Roman" w:eastAsia="宋体" w:cs="Times New Roman"/>
                      <w:sz w:val="21"/>
                      <w:szCs w:val="21"/>
                      <w:highlight w:val="none"/>
                    </w:rPr>
                    <w:t>A</w:t>
                  </w:r>
                  <w:r>
                    <w:rPr>
                      <w:rFonts w:hint="eastAsia" w:ascii="Times New Roman" w:hAnsi="Times New Roman" w:cs="Times New Roman"/>
                      <w:sz w:val="21"/>
                      <w:szCs w:val="21"/>
                      <w:highlight w:val="none"/>
                      <w:lang w:eastAsia="zh-CN"/>
                    </w:rPr>
                    <w:t>）</w:t>
                  </w:r>
                </w:p>
              </w:tc>
              <w:tc>
                <w:tcPr>
                  <w:tcW w:w="986" w:type="pct"/>
                  <w:tcBorders>
                    <w:tl2br w:val="nil"/>
                    <w:tr2bl w:val="nil"/>
                  </w:tcBorders>
                  <w:noWrap w:val="0"/>
                  <w:vAlign w:val="center"/>
                </w:tcPr>
                <w:p w14:paraId="464C0750">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夜间</w:t>
                  </w:r>
                  <w:r>
                    <w:rPr>
                      <w:rFonts w:hint="default" w:ascii="Times New Roman" w:hAnsi="Times New Roman" w:eastAsia="宋体" w:cs="Times New Roman"/>
                      <w:sz w:val="21"/>
                      <w:szCs w:val="21"/>
                      <w:highlight w:val="none"/>
                    </w:rPr>
                    <w:t>贡献值dB</w:t>
                  </w:r>
                  <w:r>
                    <w:rPr>
                      <w:rFonts w:hint="eastAsia" w:ascii="Times New Roman" w:hAnsi="Times New Roman" w:cs="Times New Roman"/>
                      <w:sz w:val="21"/>
                      <w:szCs w:val="21"/>
                      <w:highlight w:val="none"/>
                      <w:lang w:eastAsia="zh-CN"/>
                    </w:rPr>
                    <w:t>（</w:t>
                  </w:r>
                  <w:r>
                    <w:rPr>
                      <w:rFonts w:hint="default" w:ascii="Times New Roman" w:hAnsi="Times New Roman" w:eastAsia="宋体" w:cs="Times New Roman"/>
                      <w:sz w:val="21"/>
                      <w:szCs w:val="21"/>
                      <w:highlight w:val="none"/>
                    </w:rPr>
                    <w:t>A</w:t>
                  </w:r>
                  <w:r>
                    <w:rPr>
                      <w:rFonts w:hint="eastAsia" w:ascii="Times New Roman" w:hAnsi="Times New Roman" w:cs="Times New Roman"/>
                      <w:sz w:val="21"/>
                      <w:szCs w:val="21"/>
                      <w:highlight w:val="none"/>
                      <w:lang w:eastAsia="zh-CN"/>
                    </w:rPr>
                    <w:t>）</w:t>
                  </w:r>
                </w:p>
              </w:tc>
              <w:tc>
                <w:tcPr>
                  <w:tcW w:w="986" w:type="pct"/>
                  <w:tcBorders>
                    <w:tl2br w:val="nil"/>
                    <w:tr2bl w:val="nil"/>
                  </w:tcBorders>
                  <w:noWrap w:val="0"/>
                  <w:vAlign w:val="center"/>
                </w:tcPr>
                <w:p w14:paraId="1E0257D8">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标准值dB</w:t>
                  </w:r>
                  <w:r>
                    <w:rPr>
                      <w:rFonts w:hint="eastAsia" w:ascii="Times New Roman" w:hAnsi="Times New Roman" w:cs="Times New Roman"/>
                      <w:sz w:val="21"/>
                      <w:szCs w:val="21"/>
                      <w:highlight w:val="none"/>
                      <w:lang w:eastAsia="zh-CN"/>
                    </w:rPr>
                    <w:t>（</w:t>
                  </w:r>
                  <w:r>
                    <w:rPr>
                      <w:rFonts w:hint="default" w:ascii="Times New Roman" w:hAnsi="Times New Roman" w:eastAsia="宋体" w:cs="Times New Roman"/>
                      <w:sz w:val="21"/>
                      <w:szCs w:val="21"/>
                      <w:highlight w:val="none"/>
                    </w:rPr>
                    <w:t>A</w:t>
                  </w:r>
                  <w:r>
                    <w:rPr>
                      <w:rFonts w:hint="eastAsia" w:ascii="Times New Roman" w:hAnsi="Times New Roman" w:cs="Times New Roman"/>
                      <w:sz w:val="21"/>
                      <w:szCs w:val="21"/>
                      <w:highlight w:val="none"/>
                      <w:lang w:eastAsia="zh-CN"/>
                    </w:rPr>
                    <w:t>）</w:t>
                  </w:r>
                </w:p>
              </w:tc>
              <w:tc>
                <w:tcPr>
                  <w:tcW w:w="803" w:type="pct"/>
                  <w:tcBorders>
                    <w:tl2br w:val="nil"/>
                    <w:tr2bl w:val="nil"/>
                  </w:tcBorders>
                  <w:noWrap w:val="0"/>
                  <w:vAlign w:val="center"/>
                </w:tcPr>
                <w:p w14:paraId="0F74AD2B">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是否</w:t>
                  </w:r>
                  <w:r>
                    <w:rPr>
                      <w:rFonts w:hint="eastAsia" w:ascii="Times New Roman" w:hAnsi="Times New Roman" w:eastAsia="宋体" w:cs="Times New Roman"/>
                      <w:sz w:val="21"/>
                      <w:szCs w:val="21"/>
                      <w:highlight w:val="none"/>
                      <w:lang w:val="en-US" w:eastAsia="zh-CN"/>
                    </w:rPr>
                    <w:t>达标</w:t>
                  </w:r>
                </w:p>
              </w:tc>
            </w:tr>
            <w:tr w14:paraId="70551F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96" w:type="pct"/>
                  <w:tcBorders>
                    <w:tl2br w:val="nil"/>
                    <w:tr2bl w:val="nil"/>
                  </w:tcBorders>
                  <w:noWrap w:val="0"/>
                  <w:vAlign w:val="center"/>
                </w:tcPr>
                <w:p w14:paraId="4399F9D7">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p>
              </w:tc>
              <w:tc>
                <w:tcPr>
                  <w:tcW w:w="747" w:type="pct"/>
                  <w:tcBorders>
                    <w:tl2br w:val="nil"/>
                    <w:tr2bl w:val="nil"/>
                  </w:tcBorders>
                  <w:noWrap w:val="0"/>
                  <w:vAlign w:val="center"/>
                </w:tcPr>
                <w:p w14:paraId="349F62FC">
                  <w:pPr>
                    <w:keepNext w:val="0"/>
                    <w:keepLines w:val="0"/>
                    <w:pageBreakBefore w:val="0"/>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厂界北</w:t>
                  </w:r>
                </w:p>
              </w:tc>
              <w:tc>
                <w:tcPr>
                  <w:tcW w:w="978" w:type="pct"/>
                  <w:tcBorders>
                    <w:tl2br w:val="nil"/>
                    <w:tr2bl w:val="nil"/>
                  </w:tcBorders>
                  <w:noWrap w:val="0"/>
                  <w:vAlign w:val="center"/>
                </w:tcPr>
                <w:p w14:paraId="06572D50">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53.63</w:t>
                  </w:r>
                </w:p>
              </w:tc>
              <w:tc>
                <w:tcPr>
                  <w:tcW w:w="986" w:type="pct"/>
                  <w:tcBorders>
                    <w:tl2br w:val="nil"/>
                    <w:tr2bl w:val="nil"/>
                  </w:tcBorders>
                  <w:noWrap w:val="0"/>
                  <w:vAlign w:val="center"/>
                </w:tcPr>
                <w:p w14:paraId="46ADDA36">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50.72</w:t>
                  </w:r>
                </w:p>
              </w:tc>
              <w:tc>
                <w:tcPr>
                  <w:tcW w:w="986" w:type="pct"/>
                  <w:vMerge w:val="restart"/>
                  <w:tcBorders>
                    <w:tl2br w:val="nil"/>
                    <w:tr2bl w:val="nil"/>
                  </w:tcBorders>
                  <w:noWrap w:val="0"/>
                  <w:vAlign w:val="center"/>
                </w:tcPr>
                <w:p w14:paraId="23777E34">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昼间：</w:t>
                  </w:r>
                  <w:r>
                    <w:rPr>
                      <w:rFonts w:hint="eastAsia" w:ascii="Times New Roman" w:hAnsi="Times New Roman" w:eastAsia="宋体" w:cs="Times New Roman"/>
                      <w:sz w:val="21"/>
                      <w:szCs w:val="21"/>
                      <w:highlight w:val="none"/>
                      <w:lang w:val="en-US" w:eastAsia="zh-CN"/>
                    </w:rPr>
                    <w:t>60</w:t>
                  </w:r>
                </w:p>
                <w:p w14:paraId="6C4C6E9E">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夜间：55</w:t>
                  </w:r>
                </w:p>
              </w:tc>
              <w:tc>
                <w:tcPr>
                  <w:tcW w:w="803" w:type="pct"/>
                  <w:tcBorders>
                    <w:tl2br w:val="nil"/>
                    <w:tr2bl w:val="nil"/>
                  </w:tcBorders>
                  <w:noWrap w:val="0"/>
                  <w:vAlign w:val="center"/>
                </w:tcPr>
                <w:p w14:paraId="1BDF1E0E">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达标</w:t>
                  </w:r>
                </w:p>
              </w:tc>
            </w:tr>
            <w:tr w14:paraId="56579E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96" w:type="pct"/>
                  <w:tcBorders>
                    <w:tl2br w:val="nil"/>
                    <w:tr2bl w:val="nil"/>
                  </w:tcBorders>
                  <w:noWrap w:val="0"/>
                  <w:vAlign w:val="center"/>
                </w:tcPr>
                <w:p w14:paraId="049E5A52">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w:t>
                  </w:r>
                </w:p>
              </w:tc>
              <w:tc>
                <w:tcPr>
                  <w:tcW w:w="747" w:type="pct"/>
                  <w:tcBorders>
                    <w:tl2br w:val="nil"/>
                    <w:tr2bl w:val="nil"/>
                  </w:tcBorders>
                  <w:noWrap w:val="0"/>
                  <w:vAlign w:val="center"/>
                </w:tcPr>
                <w:p w14:paraId="6ADBF583">
                  <w:pPr>
                    <w:keepNext w:val="0"/>
                    <w:keepLines w:val="0"/>
                    <w:pageBreakBefore w:val="0"/>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厂界东</w:t>
                  </w:r>
                </w:p>
              </w:tc>
              <w:tc>
                <w:tcPr>
                  <w:tcW w:w="978" w:type="pct"/>
                  <w:tcBorders>
                    <w:tl2br w:val="nil"/>
                    <w:tr2bl w:val="nil"/>
                  </w:tcBorders>
                  <w:noWrap w:val="0"/>
                  <w:vAlign w:val="center"/>
                </w:tcPr>
                <w:p w14:paraId="7A30910A">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57.13</w:t>
                  </w:r>
                </w:p>
              </w:tc>
              <w:tc>
                <w:tcPr>
                  <w:tcW w:w="986" w:type="pct"/>
                  <w:tcBorders>
                    <w:tl2br w:val="nil"/>
                    <w:tr2bl w:val="nil"/>
                  </w:tcBorders>
                  <w:noWrap w:val="0"/>
                  <w:vAlign w:val="center"/>
                </w:tcPr>
                <w:p w14:paraId="1C9978E7">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53.13</w:t>
                  </w:r>
                </w:p>
              </w:tc>
              <w:tc>
                <w:tcPr>
                  <w:tcW w:w="986" w:type="pct"/>
                  <w:vMerge w:val="continue"/>
                  <w:tcBorders>
                    <w:tl2br w:val="nil"/>
                    <w:tr2bl w:val="nil"/>
                  </w:tcBorders>
                  <w:noWrap w:val="0"/>
                  <w:vAlign w:val="center"/>
                </w:tcPr>
                <w:p w14:paraId="1A91080C">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p>
              </w:tc>
              <w:tc>
                <w:tcPr>
                  <w:tcW w:w="803" w:type="pct"/>
                  <w:tcBorders>
                    <w:tl2br w:val="nil"/>
                    <w:tr2bl w:val="nil"/>
                  </w:tcBorders>
                  <w:noWrap w:val="0"/>
                  <w:vAlign w:val="center"/>
                </w:tcPr>
                <w:p w14:paraId="5D0C9CC1">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达标</w:t>
                  </w:r>
                </w:p>
              </w:tc>
            </w:tr>
            <w:tr w14:paraId="19C42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96" w:type="pct"/>
                  <w:tcBorders>
                    <w:tl2br w:val="nil"/>
                    <w:tr2bl w:val="nil"/>
                  </w:tcBorders>
                  <w:noWrap w:val="0"/>
                  <w:vAlign w:val="center"/>
                </w:tcPr>
                <w:p w14:paraId="73EB4FA0">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w:t>
                  </w:r>
                </w:p>
              </w:tc>
              <w:tc>
                <w:tcPr>
                  <w:tcW w:w="747" w:type="pct"/>
                  <w:tcBorders>
                    <w:tl2br w:val="nil"/>
                    <w:tr2bl w:val="nil"/>
                  </w:tcBorders>
                  <w:noWrap w:val="0"/>
                  <w:vAlign w:val="center"/>
                </w:tcPr>
                <w:p w14:paraId="66606B7F">
                  <w:pPr>
                    <w:keepNext w:val="0"/>
                    <w:keepLines w:val="0"/>
                    <w:pageBreakBefore w:val="0"/>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厂界南</w:t>
                  </w:r>
                </w:p>
              </w:tc>
              <w:tc>
                <w:tcPr>
                  <w:tcW w:w="978" w:type="pct"/>
                  <w:tcBorders>
                    <w:tl2br w:val="nil"/>
                    <w:tr2bl w:val="nil"/>
                  </w:tcBorders>
                  <w:noWrap w:val="0"/>
                  <w:vAlign w:val="center"/>
                </w:tcPr>
                <w:p w14:paraId="058AE595">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56.49</w:t>
                  </w:r>
                </w:p>
              </w:tc>
              <w:tc>
                <w:tcPr>
                  <w:tcW w:w="986" w:type="pct"/>
                  <w:tcBorders>
                    <w:tl2br w:val="nil"/>
                    <w:tr2bl w:val="nil"/>
                  </w:tcBorders>
                  <w:noWrap w:val="0"/>
                  <w:vAlign w:val="center"/>
                </w:tcPr>
                <w:p w14:paraId="5E72DED3">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52.16</w:t>
                  </w:r>
                </w:p>
              </w:tc>
              <w:tc>
                <w:tcPr>
                  <w:tcW w:w="986" w:type="pct"/>
                  <w:vMerge w:val="continue"/>
                  <w:tcBorders>
                    <w:tl2br w:val="nil"/>
                    <w:tr2bl w:val="nil"/>
                  </w:tcBorders>
                  <w:noWrap w:val="0"/>
                  <w:vAlign w:val="center"/>
                </w:tcPr>
                <w:p w14:paraId="0117F00F">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p>
              </w:tc>
              <w:tc>
                <w:tcPr>
                  <w:tcW w:w="803" w:type="pct"/>
                  <w:tcBorders>
                    <w:tl2br w:val="nil"/>
                    <w:tr2bl w:val="nil"/>
                  </w:tcBorders>
                  <w:noWrap w:val="0"/>
                  <w:vAlign w:val="center"/>
                </w:tcPr>
                <w:p w14:paraId="165779DB">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达标</w:t>
                  </w:r>
                </w:p>
              </w:tc>
            </w:tr>
            <w:tr w14:paraId="03C0F3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96" w:type="pct"/>
                  <w:tcBorders>
                    <w:tl2br w:val="nil"/>
                    <w:tr2bl w:val="nil"/>
                  </w:tcBorders>
                  <w:noWrap w:val="0"/>
                  <w:vAlign w:val="center"/>
                </w:tcPr>
                <w:p w14:paraId="10E48C9C">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w:t>
                  </w:r>
                </w:p>
              </w:tc>
              <w:tc>
                <w:tcPr>
                  <w:tcW w:w="747" w:type="pct"/>
                  <w:tcBorders>
                    <w:tl2br w:val="nil"/>
                    <w:tr2bl w:val="nil"/>
                  </w:tcBorders>
                  <w:noWrap w:val="0"/>
                  <w:vAlign w:val="center"/>
                </w:tcPr>
                <w:p w14:paraId="51C4DF2C">
                  <w:pPr>
                    <w:keepNext w:val="0"/>
                    <w:keepLines w:val="0"/>
                    <w:pageBreakBefore w:val="0"/>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厂界西</w:t>
                  </w:r>
                </w:p>
              </w:tc>
              <w:tc>
                <w:tcPr>
                  <w:tcW w:w="978" w:type="pct"/>
                  <w:tcBorders>
                    <w:tl2br w:val="nil"/>
                    <w:tr2bl w:val="nil"/>
                  </w:tcBorders>
                  <w:noWrap w:val="0"/>
                  <w:vAlign w:val="center"/>
                </w:tcPr>
                <w:p w14:paraId="1AE469B4">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53.51</w:t>
                  </w:r>
                </w:p>
              </w:tc>
              <w:tc>
                <w:tcPr>
                  <w:tcW w:w="986" w:type="pct"/>
                  <w:tcBorders>
                    <w:tl2br w:val="nil"/>
                    <w:tr2bl w:val="nil"/>
                  </w:tcBorders>
                  <w:noWrap w:val="0"/>
                  <w:vAlign w:val="center"/>
                </w:tcPr>
                <w:p w14:paraId="71A98D6D">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41.78</w:t>
                  </w:r>
                </w:p>
              </w:tc>
              <w:tc>
                <w:tcPr>
                  <w:tcW w:w="986" w:type="pct"/>
                  <w:vMerge w:val="continue"/>
                  <w:tcBorders>
                    <w:tl2br w:val="nil"/>
                    <w:tr2bl w:val="nil"/>
                  </w:tcBorders>
                  <w:noWrap w:val="0"/>
                  <w:vAlign w:val="center"/>
                </w:tcPr>
                <w:p w14:paraId="71B1633E">
                  <w:pPr>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default" w:ascii="Times New Roman" w:hAnsi="Times New Roman" w:eastAsia="宋体" w:cs="Times New Roman"/>
                      <w:sz w:val="21"/>
                      <w:szCs w:val="21"/>
                      <w:highlight w:val="none"/>
                      <w:lang w:val="en-US" w:eastAsia="zh-CN"/>
                    </w:rPr>
                  </w:pPr>
                </w:p>
              </w:tc>
              <w:tc>
                <w:tcPr>
                  <w:tcW w:w="803" w:type="pct"/>
                  <w:tcBorders>
                    <w:tl2br w:val="nil"/>
                    <w:tr2bl w:val="nil"/>
                  </w:tcBorders>
                  <w:noWrap w:val="0"/>
                  <w:vAlign w:val="center"/>
                </w:tcPr>
                <w:p w14:paraId="0D48FFDB">
                  <w:pPr>
                    <w:pStyle w:val="19"/>
                    <w:keepNext w:val="0"/>
                    <w:keepLines w:val="0"/>
                    <w:pageBreakBefore w:val="0"/>
                    <w:kinsoku/>
                    <w:wordWrap/>
                    <w:overflowPunct/>
                    <w:topLinePunct w:val="0"/>
                    <w:autoSpaceDE/>
                    <w:autoSpaceDN/>
                    <w:bidi w:val="0"/>
                    <w:adjustRightInd/>
                    <w:snapToGrid/>
                    <w:spacing w:before="0" w:beforeAutospacing="0" w:after="0" w:afterAutospacing="0" w:line="300" w:lineRule="exact"/>
                    <w:jc w:val="center"/>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达标</w:t>
                  </w:r>
                </w:p>
              </w:tc>
            </w:tr>
          </w:tbl>
          <w:p w14:paraId="5B7DB28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sz w:val="24"/>
                <w:szCs w:val="24"/>
                <w:highlight w:val="none"/>
              </w:rPr>
              <w:t>由上表预测结果可以看出，项目厂界昼间</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夜间</w:t>
            </w:r>
            <w:r>
              <w:rPr>
                <w:rFonts w:ascii="Times New Roman" w:hAnsi="Times New Roman" w:eastAsia="宋体" w:cs="Times New Roman"/>
                <w:sz w:val="24"/>
                <w:szCs w:val="24"/>
                <w:highlight w:val="none"/>
              </w:rPr>
              <w:t>贡献值均达到《工业企业厂界环境噪声排放标准》（GB12348-2008）中</w:t>
            </w:r>
            <w:r>
              <w:rPr>
                <w:rFonts w:hint="eastAsia" w:ascii="Times New Roman" w:hAnsi="Times New Roman" w:eastAsia="宋体" w:cs="Times New Roman"/>
                <w:sz w:val="24"/>
                <w:szCs w:val="24"/>
                <w:highlight w:val="none"/>
                <w:lang w:val="en-US" w:eastAsia="zh-CN"/>
              </w:rPr>
              <w:t>2</w:t>
            </w:r>
            <w:r>
              <w:rPr>
                <w:rFonts w:ascii="Times New Roman" w:hAnsi="Times New Roman" w:eastAsia="宋体" w:cs="Times New Roman"/>
                <w:sz w:val="24"/>
                <w:szCs w:val="24"/>
                <w:highlight w:val="none"/>
              </w:rPr>
              <w:t>类标准要求</w:t>
            </w:r>
            <w:r>
              <w:rPr>
                <w:rFonts w:hint="eastAsia" w:ascii="Times New Roman" w:hAnsi="Times New Roman" w:eastAsia="宋体" w:cs="Times New Roman"/>
                <w:sz w:val="24"/>
                <w:szCs w:val="24"/>
                <w:highlight w:val="none"/>
                <w:lang w:eastAsia="zh-CN"/>
              </w:rPr>
              <w:t>，</w:t>
            </w:r>
            <w:r>
              <w:rPr>
                <w:rFonts w:ascii="Times New Roman" w:hAnsi="Times New Roman" w:eastAsia="宋体" w:cs="Times New Roman"/>
                <w:sz w:val="24"/>
                <w:szCs w:val="24"/>
                <w:highlight w:val="none"/>
              </w:rPr>
              <w:t>对周边声环境造成影响较小。</w:t>
            </w:r>
          </w:p>
          <w:p w14:paraId="0C78E22D">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3.3 噪声监测要求</w:t>
            </w:r>
          </w:p>
          <w:p w14:paraId="739BC04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lang w:val="en-US" w:eastAsia="zh-CN"/>
              </w:rPr>
              <w:t>参照《排污单位自行监测技术指南总则》（</w:t>
            </w:r>
            <w:r>
              <w:rPr>
                <w:rFonts w:hint="default" w:ascii="Times New Roman" w:hAnsi="Times New Roman" w:eastAsia="宋体" w:cs="Times New Roman"/>
                <w:sz w:val="24"/>
                <w:szCs w:val="24"/>
                <w:highlight w:val="none"/>
                <w:lang w:val="en-US" w:eastAsia="zh-CN"/>
              </w:rPr>
              <w:t>HJ 819-2017</w:t>
            </w:r>
            <w:r>
              <w:rPr>
                <w:rFonts w:hint="eastAsia" w:ascii="Times New Roman" w:hAnsi="Times New Roman" w:eastAsia="宋体" w:cs="Times New Roman"/>
                <w:sz w:val="24"/>
                <w:szCs w:val="24"/>
                <w:highlight w:val="none"/>
                <w:lang w:val="en-US" w:eastAsia="zh-CN"/>
              </w:rPr>
              <w:t>）</w:t>
            </w:r>
            <w:r>
              <w:rPr>
                <w:rFonts w:hint="eastAsia" w:ascii="Times New Roman" w:hAnsi="Times New Roman" w:eastAsia="宋体" w:cs="Times New Roman"/>
                <w:color w:val="auto"/>
                <w:kern w:val="2"/>
                <w:sz w:val="24"/>
                <w:szCs w:val="24"/>
                <w:highlight w:val="none"/>
                <w:lang w:val="en-US" w:eastAsia="zh-CN" w:bidi="ar-SA"/>
              </w:rPr>
              <w:t>、《排污单位自行监测技术指南 电子工业》（HJ1253-2022）</w:t>
            </w:r>
            <w:r>
              <w:rPr>
                <w:rFonts w:hint="eastAsia" w:ascii="Times New Roman" w:hAnsi="Times New Roman" w:eastAsia="宋体" w:cs="Times New Roman"/>
                <w:sz w:val="24"/>
                <w:szCs w:val="24"/>
                <w:highlight w:val="none"/>
                <w:lang w:val="en-US" w:eastAsia="zh-CN"/>
              </w:rPr>
              <w:t>，本项目运营期噪声环境监测计划见下表。</w:t>
            </w:r>
          </w:p>
          <w:p w14:paraId="35F41268">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表4-1</w:t>
            </w:r>
            <w:r>
              <w:rPr>
                <w:rFonts w:hint="eastAsia" w:cs="Times New Roman"/>
                <w:b/>
                <w:bCs/>
                <w:color w:val="000000"/>
                <w:kern w:val="2"/>
                <w:sz w:val="21"/>
                <w:szCs w:val="21"/>
                <w:highlight w:val="none"/>
                <w:lang w:val="en-US" w:eastAsia="zh-CN" w:bidi="ar-SA"/>
              </w:rPr>
              <w:t>4</w:t>
            </w:r>
            <w:r>
              <w:rPr>
                <w:rFonts w:hint="eastAsia" w:ascii="Times New Roman" w:hAnsi="Times New Roman" w:eastAsia="宋体" w:cs="Times New Roman"/>
                <w:b/>
                <w:bCs/>
                <w:color w:val="000000"/>
                <w:kern w:val="2"/>
                <w:sz w:val="21"/>
                <w:szCs w:val="21"/>
                <w:highlight w:val="none"/>
                <w:lang w:val="en-US" w:eastAsia="zh-CN" w:bidi="ar-SA"/>
              </w:rPr>
              <w:t xml:space="preserve">  项目运营期噪声监测计划</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476"/>
              <w:gridCol w:w="895"/>
              <w:gridCol w:w="955"/>
              <w:gridCol w:w="901"/>
              <w:gridCol w:w="4719"/>
            </w:tblGrid>
            <w:tr w14:paraId="0A245D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2B49A424">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类型</w:t>
                  </w:r>
                </w:p>
              </w:tc>
              <w:tc>
                <w:tcPr>
                  <w:tcW w:w="0" w:type="auto"/>
                  <w:tcBorders>
                    <w:tl2br w:val="nil"/>
                    <w:tr2bl w:val="nil"/>
                  </w:tcBorders>
                  <w:noWrap w:val="0"/>
                  <w:vAlign w:val="center"/>
                </w:tcPr>
                <w:p w14:paraId="02A87639">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监测点位</w:t>
                  </w:r>
                </w:p>
              </w:tc>
              <w:tc>
                <w:tcPr>
                  <w:tcW w:w="0" w:type="auto"/>
                  <w:tcBorders>
                    <w:tl2br w:val="nil"/>
                    <w:tr2bl w:val="nil"/>
                  </w:tcBorders>
                  <w:noWrap w:val="0"/>
                  <w:vAlign w:val="center"/>
                </w:tcPr>
                <w:p w14:paraId="05C08397">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监测项目</w:t>
                  </w:r>
                </w:p>
              </w:tc>
              <w:tc>
                <w:tcPr>
                  <w:tcW w:w="0" w:type="auto"/>
                  <w:tcBorders>
                    <w:tl2br w:val="nil"/>
                    <w:tr2bl w:val="nil"/>
                  </w:tcBorders>
                  <w:noWrap w:val="0"/>
                  <w:vAlign w:val="center"/>
                </w:tcPr>
                <w:p w14:paraId="325A7D36">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监测频次</w:t>
                  </w:r>
                </w:p>
              </w:tc>
              <w:tc>
                <w:tcPr>
                  <w:tcW w:w="0" w:type="auto"/>
                  <w:tcBorders>
                    <w:tl2br w:val="nil"/>
                    <w:tr2bl w:val="nil"/>
                  </w:tcBorders>
                  <w:noWrap w:val="0"/>
                  <w:vAlign w:val="center"/>
                </w:tcPr>
                <w:p w14:paraId="6EFA6A13">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执行标准</w:t>
                  </w:r>
                </w:p>
              </w:tc>
            </w:tr>
            <w:tr w14:paraId="50956D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0AE0C015">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噪声</w:t>
                  </w:r>
                </w:p>
              </w:tc>
              <w:tc>
                <w:tcPr>
                  <w:tcW w:w="0" w:type="auto"/>
                  <w:tcBorders>
                    <w:tl2br w:val="nil"/>
                    <w:tr2bl w:val="nil"/>
                  </w:tcBorders>
                  <w:noWrap w:val="0"/>
                  <w:vAlign w:val="center"/>
                </w:tcPr>
                <w:p w14:paraId="5B189002">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厂界四周</w:t>
                  </w:r>
                </w:p>
              </w:tc>
              <w:tc>
                <w:tcPr>
                  <w:tcW w:w="0" w:type="auto"/>
                  <w:tcBorders>
                    <w:tl2br w:val="nil"/>
                    <w:tr2bl w:val="nil"/>
                  </w:tcBorders>
                  <w:noWrap w:val="0"/>
                  <w:vAlign w:val="center"/>
                </w:tcPr>
                <w:p w14:paraId="5D2F2E1C">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Leq（A）</w:t>
                  </w:r>
                </w:p>
              </w:tc>
              <w:tc>
                <w:tcPr>
                  <w:tcW w:w="0" w:type="auto"/>
                  <w:tcBorders>
                    <w:tl2br w:val="nil"/>
                    <w:tr2bl w:val="nil"/>
                  </w:tcBorders>
                  <w:noWrap w:val="0"/>
                  <w:vAlign w:val="center"/>
                </w:tcPr>
                <w:p w14:paraId="017B54E5">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1次/季度</w:t>
                  </w:r>
                </w:p>
              </w:tc>
              <w:tc>
                <w:tcPr>
                  <w:tcW w:w="0" w:type="auto"/>
                  <w:tcBorders>
                    <w:tl2br w:val="nil"/>
                    <w:tr2bl w:val="nil"/>
                  </w:tcBorders>
                  <w:noWrap w:val="0"/>
                  <w:vAlign w:val="center"/>
                </w:tcPr>
                <w:p w14:paraId="50DEDCE0">
                  <w:pPr>
                    <w:pStyle w:val="5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《工业企业厂界环境噪声排放标准》GB12348-2008</w:t>
                  </w:r>
                </w:p>
              </w:tc>
            </w:tr>
          </w:tbl>
          <w:p w14:paraId="1D2E8696">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四、固废</w:t>
            </w:r>
          </w:p>
          <w:p w14:paraId="5B3ACEC4">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4.1 固废产生及处置情况</w:t>
            </w:r>
          </w:p>
          <w:p w14:paraId="52A412C4">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bCs/>
                <w:color w:val="000000"/>
                <w:kern w:val="2"/>
                <w:sz w:val="21"/>
                <w:szCs w:val="21"/>
                <w:highlight w:val="none"/>
                <w:lang w:val="en-US" w:eastAsia="zh-CN" w:bidi="ar-SA"/>
              </w:rPr>
              <w:t>表</w:t>
            </w:r>
            <w:r>
              <w:rPr>
                <w:rFonts w:hint="eastAsia" w:ascii="Times New Roman" w:hAnsi="Times New Roman" w:eastAsia="宋体" w:cs="Times New Roman"/>
                <w:b/>
                <w:bCs/>
                <w:color w:val="000000"/>
                <w:kern w:val="2"/>
                <w:sz w:val="21"/>
                <w:szCs w:val="21"/>
                <w:highlight w:val="none"/>
                <w:lang w:val="en-US" w:eastAsia="zh-CN" w:bidi="ar-SA"/>
              </w:rPr>
              <w:t>4-1</w:t>
            </w:r>
            <w:r>
              <w:rPr>
                <w:rFonts w:hint="eastAsia" w:cs="Times New Roman"/>
                <w:b/>
                <w:bCs/>
                <w:color w:val="000000"/>
                <w:kern w:val="2"/>
                <w:sz w:val="21"/>
                <w:szCs w:val="21"/>
                <w:highlight w:val="none"/>
                <w:lang w:val="en-US" w:eastAsia="zh-CN" w:bidi="ar-SA"/>
              </w:rPr>
              <w:t>5</w:t>
            </w:r>
            <w:r>
              <w:rPr>
                <w:rFonts w:hint="eastAsia" w:ascii="Times New Roman" w:hAnsi="Times New Roman" w:eastAsia="宋体" w:cs="Times New Roman"/>
                <w:b/>
                <w:bCs/>
                <w:color w:val="000000"/>
                <w:kern w:val="2"/>
                <w:sz w:val="21"/>
                <w:szCs w:val="21"/>
                <w:highlight w:val="none"/>
                <w:lang w:val="en-US" w:eastAsia="zh-CN" w:bidi="ar-SA"/>
              </w:rPr>
              <w:t xml:space="preserve">  项目固体废物产生及处置情况汇总表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75"/>
              <w:gridCol w:w="994"/>
              <w:gridCol w:w="509"/>
              <w:gridCol w:w="1482"/>
              <w:gridCol w:w="909"/>
              <w:gridCol w:w="1233"/>
              <w:gridCol w:w="855"/>
              <w:gridCol w:w="789"/>
            </w:tblGrid>
            <w:tr w14:paraId="71E45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539FA9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主要生产单元</w:t>
                  </w:r>
                </w:p>
              </w:tc>
              <w:tc>
                <w:tcPr>
                  <w:tcW w:w="0" w:type="auto"/>
                  <w:tcBorders>
                    <w:tl2br w:val="nil"/>
                    <w:tr2bl w:val="nil"/>
                  </w:tcBorders>
                  <w:noWrap w:val="0"/>
                  <w:vAlign w:val="center"/>
                </w:tcPr>
                <w:p w14:paraId="4F7F8A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名称</w:t>
                  </w:r>
                </w:p>
              </w:tc>
              <w:tc>
                <w:tcPr>
                  <w:tcW w:w="509" w:type="dxa"/>
                  <w:tcBorders>
                    <w:tl2br w:val="nil"/>
                    <w:tr2bl w:val="nil"/>
                  </w:tcBorders>
                  <w:noWrap w:val="0"/>
                  <w:vAlign w:val="center"/>
                </w:tcPr>
                <w:p w14:paraId="255A56F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属性</w:t>
                  </w:r>
                </w:p>
              </w:tc>
              <w:tc>
                <w:tcPr>
                  <w:tcW w:w="1482" w:type="dxa"/>
                  <w:tcBorders>
                    <w:tl2br w:val="nil"/>
                    <w:tr2bl w:val="nil"/>
                  </w:tcBorders>
                  <w:noWrap w:val="0"/>
                  <w:vAlign w:val="center"/>
                </w:tcPr>
                <w:p w14:paraId="0B1A35D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代码</w:t>
                  </w:r>
                </w:p>
              </w:tc>
              <w:tc>
                <w:tcPr>
                  <w:tcW w:w="909" w:type="dxa"/>
                  <w:tcBorders>
                    <w:tl2br w:val="nil"/>
                    <w:tr2bl w:val="nil"/>
                  </w:tcBorders>
                  <w:noWrap w:val="0"/>
                  <w:vAlign w:val="center"/>
                </w:tcPr>
                <w:p w14:paraId="1483082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产生量</w:t>
                  </w:r>
                  <w:r>
                    <w:rPr>
                      <w:rFonts w:hint="eastAsia" w:ascii="Times New Roman" w:hAnsi="Times New Roman" w:eastAsia="宋体" w:cs="Times New Roman"/>
                      <w:color w:val="auto"/>
                      <w:kern w:val="2"/>
                      <w:sz w:val="21"/>
                      <w:szCs w:val="21"/>
                      <w:highlight w:val="none"/>
                      <w:vertAlign w:val="baseline"/>
                      <w:lang w:val="en-US" w:eastAsia="zh-CN" w:bidi="ar-SA"/>
                    </w:rPr>
                    <w:t>t/a</w:t>
                  </w:r>
                </w:p>
              </w:tc>
              <w:tc>
                <w:tcPr>
                  <w:tcW w:w="1233" w:type="dxa"/>
                  <w:tcBorders>
                    <w:tl2br w:val="nil"/>
                    <w:tr2bl w:val="nil"/>
                  </w:tcBorders>
                  <w:noWrap w:val="0"/>
                  <w:vAlign w:val="center"/>
                </w:tcPr>
                <w:p w14:paraId="33A45D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处置方式</w:t>
                  </w:r>
                </w:p>
              </w:tc>
              <w:tc>
                <w:tcPr>
                  <w:tcW w:w="855" w:type="dxa"/>
                  <w:tcBorders>
                    <w:tl2br w:val="nil"/>
                    <w:tr2bl w:val="nil"/>
                  </w:tcBorders>
                  <w:noWrap w:val="0"/>
                  <w:vAlign w:val="center"/>
                </w:tcPr>
                <w:p w14:paraId="073441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处置量t/a</w:t>
                  </w:r>
                </w:p>
              </w:tc>
              <w:tc>
                <w:tcPr>
                  <w:tcW w:w="789" w:type="dxa"/>
                  <w:tcBorders>
                    <w:tl2br w:val="nil"/>
                    <w:tr2bl w:val="nil"/>
                  </w:tcBorders>
                  <w:noWrap w:val="0"/>
                  <w:vAlign w:val="center"/>
                </w:tcPr>
                <w:p w14:paraId="0F2C055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产废周期</w:t>
                  </w:r>
                </w:p>
              </w:tc>
            </w:tr>
            <w:tr w14:paraId="7CE1F5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1873BD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烧结工序</w:t>
                  </w:r>
                </w:p>
              </w:tc>
              <w:tc>
                <w:tcPr>
                  <w:tcW w:w="0" w:type="auto"/>
                  <w:tcBorders>
                    <w:tl2br w:val="nil"/>
                    <w:tr2bl w:val="nil"/>
                  </w:tcBorders>
                  <w:noWrap w:val="0"/>
                  <w:vAlign w:val="center"/>
                </w:tcPr>
                <w:p w14:paraId="71DE3CB4">
                  <w:pPr>
                    <w:keepNext w:val="0"/>
                    <w:keepLines w:val="0"/>
                    <w:widowControl/>
                    <w:suppressLineNumbers w:val="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真空泵废油</w:t>
                  </w:r>
                </w:p>
              </w:tc>
              <w:tc>
                <w:tcPr>
                  <w:tcW w:w="509" w:type="dxa"/>
                  <w:vMerge w:val="restart"/>
                  <w:tcBorders>
                    <w:tl2br w:val="nil"/>
                    <w:tr2bl w:val="nil"/>
                  </w:tcBorders>
                  <w:noWrap w:val="0"/>
                  <w:vAlign w:val="center"/>
                </w:tcPr>
                <w:p w14:paraId="3A68B36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危险废物</w:t>
                  </w:r>
                </w:p>
              </w:tc>
              <w:tc>
                <w:tcPr>
                  <w:tcW w:w="1482" w:type="dxa"/>
                  <w:tcBorders>
                    <w:tl2br w:val="nil"/>
                    <w:tr2bl w:val="nil"/>
                  </w:tcBorders>
                  <w:noWrap w:val="0"/>
                  <w:vAlign w:val="center"/>
                </w:tcPr>
                <w:p w14:paraId="4E86ED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HW</w:t>
                  </w:r>
                  <w:r>
                    <w:rPr>
                      <w:rFonts w:hint="eastAsia" w:ascii="Times New Roman" w:hAnsi="Times New Roman" w:eastAsia="宋体" w:cs="Times New Roman"/>
                      <w:color w:val="auto"/>
                      <w:kern w:val="2"/>
                      <w:sz w:val="21"/>
                      <w:szCs w:val="21"/>
                      <w:highlight w:val="none"/>
                      <w:vertAlign w:val="baseline"/>
                      <w:lang w:val="en-US" w:eastAsia="zh-CN" w:bidi="ar-SA"/>
                    </w:rPr>
                    <w:t xml:space="preserve">08 </w:t>
                  </w:r>
                  <w:r>
                    <w:rPr>
                      <w:rFonts w:hint="default" w:ascii="Times New Roman" w:hAnsi="Times New Roman" w:eastAsia="宋体" w:cs="Times New Roman"/>
                      <w:color w:val="auto"/>
                      <w:kern w:val="2"/>
                      <w:sz w:val="21"/>
                      <w:szCs w:val="21"/>
                      <w:highlight w:val="none"/>
                      <w:vertAlign w:val="baseline"/>
                      <w:lang w:val="en-US" w:eastAsia="zh-CN" w:bidi="ar-SA"/>
                    </w:rPr>
                    <w:t>900-249-08</w:t>
                  </w:r>
                </w:p>
              </w:tc>
              <w:tc>
                <w:tcPr>
                  <w:tcW w:w="909" w:type="dxa"/>
                  <w:tcBorders>
                    <w:tl2br w:val="nil"/>
                    <w:tr2bl w:val="nil"/>
                  </w:tcBorders>
                  <w:noWrap w:val="0"/>
                  <w:vAlign w:val="center"/>
                </w:tcPr>
                <w:p w14:paraId="2A8D18B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0.2</w:t>
                  </w:r>
                  <w:r>
                    <w:rPr>
                      <w:rFonts w:hint="eastAsia" w:cs="Times New Roman"/>
                      <w:color w:val="auto"/>
                      <w:kern w:val="2"/>
                      <w:sz w:val="21"/>
                      <w:szCs w:val="21"/>
                      <w:highlight w:val="none"/>
                      <w:vertAlign w:val="baseline"/>
                      <w:lang w:val="en-US" w:eastAsia="zh-CN" w:bidi="ar-SA"/>
                    </w:rPr>
                    <w:t>25</w:t>
                  </w:r>
                </w:p>
              </w:tc>
              <w:tc>
                <w:tcPr>
                  <w:tcW w:w="1233" w:type="dxa"/>
                  <w:vMerge w:val="restart"/>
                  <w:tcBorders>
                    <w:tl2br w:val="nil"/>
                    <w:tr2bl w:val="nil"/>
                  </w:tcBorders>
                  <w:noWrap w:val="0"/>
                  <w:vAlign w:val="center"/>
                </w:tcPr>
                <w:p w14:paraId="3448D9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委托有资质单位处置</w:t>
                  </w:r>
                </w:p>
              </w:tc>
              <w:tc>
                <w:tcPr>
                  <w:tcW w:w="855" w:type="dxa"/>
                  <w:tcBorders>
                    <w:tl2br w:val="nil"/>
                    <w:tr2bl w:val="nil"/>
                  </w:tcBorders>
                  <w:noWrap w:val="0"/>
                  <w:vAlign w:val="center"/>
                </w:tcPr>
                <w:p w14:paraId="0AC47B5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0.2</w:t>
                  </w:r>
                  <w:r>
                    <w:rPr>
                      <w:rFonts w:hint="eastAsia" w:cs="Times New Roman"/>
                      <w:color w:val="auto"/>
                      <w:kern w:val="2"/>
                      <w:sz w:val="21"/>
                      <w:szCs w:val="21"/>
                      <w:highlight w:val="none"/>
                      <w:vertAlign w:val="baseline"/>
                      <w:lang w:val="en-US" w:eastAsia="zh-CN" w:bidi="ar-SA"/>
                    </w:rPr>
                    <w:t>25</w:t>
                  </w:r>
                </w:p>
              </w:tc>
              <w:tc>
                <w:tcPr>
                  <w:tcW w:w="789" w:type="dxa"/>
                  <w:vMerge w:val="restart"/>
                  <w:tcBorders>
                    <w:tl2br w:val="nil"/>
                    <w:tr2bl w:val="nil"/>
                  </w:tcBorders>
                  <w:noWrap w:val="0"/>
                  <w:vAlign w:val="center"/>
                </w:tcPr>
                <w:p w14:paraId="0C1F202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半年一次</w:t>
                  </w:r>
                </w:p>
              </w:tc>
            </w:tr>
            <w:tr w14:paraId="7403FA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0662F75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废气处理</w:t>
                  </w:r>
                </w:p>
              </w:tc>
              <w:tc>
                <w:tcPr>
                  <w:tcW w:w="0" w:type="auto"/>
                  <w:tcBorders>
                    <w:tl2br w:val="nil"/>
                    <w:tr2bl w:val="nil"/>
                  </w:tcBorders>
                  <w:noWrap w:val="0"/>
                  <w:vAlign w:val="center"/>
                </w:tcPr>
                <w:p w14:paraId="5D270D93">
                  <w:pPr>
                    <w:keepNext w:val="0"/>
                    <w:keepLines w:val="0"/>
                    <w:widowControl/>
                    <w:suppressLineNumbers w:val="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废活性炭</w:t>
                  </w:r>
                </w:p>
              </w:tc>
              <w:tc>
                <w:tcPr>
                  <w:tcW w:w="509" w:type="dxa"/>
                  <w:vMerge w:val="continue"/>
                  <w:tcBorders>
                    <w:tl2br w:val="nil"/>
                    <w:tr2bl w:val="nil"/>
                  </w:tcBorders>
                  <w:noWrap w:val="0"/>
                  <w:vAlign w:val="center"/>
                </w:tcPr>
                <w:p w14:paraId="0C5C796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1482" w:type="dxa"/>
                  <w:tcBorders>
                    <w:tl2br w:val="nil"/>
                    <w:tr2bl w:val="nil"/>
                  </w:tcBorders>
                  <w:noWrap w:val="0"/>
                  <w:vAlign w:val="center"/>
                </w:tcPr>
                <w:p w14:paraId="463BAF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HW49 900-039-49</w:t>
                  </w:r>
                </w:p>
              </w:tc>
              <w:tc>
                <w:tcPr>
                  <w:tcW w:w="909" w:type="dxa"/>
                  <w:tcBorders>
                    <w:tl2br w:val="nil"/>
                    <w:tr2bl w:val="nil"/>
                  </w:tcBorders>
                  <w:noWrap w:val="0"/>
                  <w:vAlign w:val="center"/>
                </w:tcPr>
                <w:p w14:paraId="2073E0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2.48</w:t>
                  </w:r>
                </w:p>
              </w:tc>
              <w:tc>
                <w:tcPr>
                  <w:tcW w:w="1233" w:type="dxa"/>
                  <w:vMerge w:val="continue"/>
                  <w:tcBorders>
                    <w:tl2br w:val="nil"/>
                    <w:tr2bl w:val="nil"/>
                  </w:tcBorders>
                  <w:noWrap w:val="0"/>
                  <w:vAlign w:val="center"/>
                </w:tcPr>
                <w:p w14:paraId="09CABA9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855" w:type="dxa"/>
                  <w:tcBorders>
                    <w:tl2br w:val="nil"/>
                    <w:tr2bl w:val="nil"/>
                  </w:tcBorders>
                  <w:noWrap w:val="0"/>
                  <w:vAlign w:val="center"/>
                </w:tcPr>
                <w:p w14:paraId="3A9140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2.48</w:t>
                  </w:r>
                </w:p>
              </w:tc>
              <w:tc>
                <w:tcPr>
                  <w:tcW w:w="789" w:type="dxa"/>
                  <w:vMerge w:val="continue"/>
                  <w:tcBorders>
                    <w:tl2br w:val="nil"/>
                    <w:tr2bl w:val="nil"/>
                  </w:tcBorders>
                  <w:noWrap w:val="0"/>
                  <w:vAlign w:val="center"/>
                </w:tcPr>
                <w:p w14:paraId="53FCA5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r>
            <w:tr w14:paraId="2D5D62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3D8F3C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机修</w:t>
                  </w:r>
                </w:p>
              </w:tc>
              <w:tc>
                <w:tcPr>
                  <w:tcW w:w="0" w:type="auto"/>
                  <w:tcBorders>
                    <w:tl2br w:val="nil"/>
                    <w:tr2bl w:val="nil"/>
                  </w:tcBorders>
                  <w:noWrap w:val="0"/>
                  <w:vAlign w:val="center"/>
                </w:tcPr>
                <w:p w14:paraId="734264ED">
                  <w:pPr>
                    <w:keepNext w:val="0"/>
                    <w:keepLines w:val="0"/>
                    <w:widowControl/>
                    <w:suppressLineNumbers w:val="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废润滑油</w:t>
                  </w:r>
                </w:p>
              </w:tc>
              <w:tc>
                <w:tcPr>
                  <w:tcW w:w="509" w:type="dxa"/>
                  <w:vMerge w:val="continue"/>
                  <w:tcBorders>
                    <w:tl2br w:val="nil"/>
                    <w:tr2bl w:val="nil"/>
                  </w:tcBorders>
                  <w:noWrap w:val="0"/>
                  <w:vAlign w:val="center"/>
                </w:tcPr>
                <w:p w14:paraId="3F4528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1482" w:type="dxa"/>
                  <w:tcBorders>
                    <w:tl2br w:val="nil"/>
                    <w:tr2bl w:val="nil"/>
                  </w:tcBorders>
                  <w:noWrap w:val="0"/>
                  <w:vAlign w:val="center"/>
                </w:tcPr>
                <w:p w14:paraId="192FA9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HW</w:t>
                  </w:r>
                  <w:r>
                    <w:rPr>
                      <w:rFonts w:hint="eastAsia" w:ascii="Times New Roman" w:hAnsi="Times New Roman" w:eastAsia="宋体" w:cs="Times New Roman"/>
                      <w:color w:val="auto"/>
                      <w:kern w:val="2"/>
                      <w:sz w:val="21"/>
                      <w:szCs w:val="21"/>
                      <w:highlight w:val="none"/>
                      <w:vertAlign w:val="baseline"/>
                      <w:lang w:val="en-US" w:eastAsia="zh-CN" w:bidi="ar-SA"/>
                    </w:rPr>
                    <w:t xml:space="preserve">08 </w:t>
                  </w:r>
                  <w:r>
                    <w:rPr>
                      <w:rFonts w:hint="default" w:ascii="Times New Roman" w:hAnsi="Times New Roman" w:eastAsia="宋体" w:cs="Times New Roman"/>
                      <w:color w:val="auto"/>
                      <w:kern w:val="2"/>
                      <w:sz w:val="21"/>
                      <w:szCs w:val="21"/>
                      <w:highlight w:val="none"/>
                      <w:vertAlign w:val="baseline"/>
                      <w:lang w:val="en-US" w:eastAsia="zh-CN" w:bidi="ar-SA"/>
                    </w:rPr>
                    <w:t>900-</w:t>
                  </w:r>
                  <w:r>
                    <w:rPr>
                      <w:rFonts w:hint="eastAsia" w:ascii="Times New Roman" w:hAnsi="Times New Roman" w:eastAsia="宋体" w:cs="Times New Roman"/>
                      <w:color w:val="auto"/>
                      <w:kern w:val="2"/>
                      <w:sz w:val="21"/>
                      <w:szCs w:val="21"/>
                      <w:highlight w:val="none"/>
                      <w:vertAlign w:val="baseline"/>
                      <w:lang w:val="en-US" w:eastAsia="zh-CN" w:bidi="ar-SA"/>
                    </w:rPr>
                    <w:t>214</w:t>
                  </w:r>
                  <w:r>
                    <w:rPr>
                      <w:rFonts w:hint="default" w:ascii="Times New Roman" w:hAnsi="Times New Roman" w:eastAsia="宋体" w:cs="Times New Roman"/>
                      <w:color w:val="auto"/>
                      <w:kern w:val="2"/>
                      <w:sz w:val="21"/>
                      <w:szCs w:val="21"/>
                      <w:highlight w:val="none"/>
                      <w:vertAlign w:val="baseline"/>
                      <w:lang w:val="en-US" w:eastAsia="zh-CN" w:bidi="ar-SA"/>
                    </w:rPr>
                    <w:t>-</w:t>
                  </w:r>
                  <w:r>
                    <w:rPr>
                      <w:rFonts w:hint="eastAsia" w:ascii="Times New Roman" w:hAnsi="Times New Roman" w:eastAsia="宋体" w:cs="Times New Roman"/>
                      <w:color w:val="auto"/>
                      <w:kern w:val="2"/>
                      <w:sz w:val="21"/>
                      <w:szCs w:val="21"/>
                      <w:highlight w:val="none"/>
                      <w:vertAlign w:val="baseline"/>
                      <w:lang w:val="en-US" w:eastAsia="zh-CN" w:bidi="ar-SA"/>
                    </w:rPr>
                    <w:t>08</w:t>
                  </w:r>
                </w:p>
              </w:tc>
              <w:tc>
                <w:tcPr>
                  <w:tcW w:w="909" w:type="dxa"/>
                  <w:tcBorders>
                    <w:tl2br w:val="nil"/>
                    <w:tr2bl w:val="nil"/>
                  </w:tcBorders>
                  <w:noWrap w:val="0"/>
                  <w:vAlign w:val="center"/>
                </w:tcPr>
                <w:p w14:paraId="7D1AEED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w:t>
                  </w:r>
                  <w:r>
                    <w:rPr>
                      <w:rFonts w:hint="eastAsia" w:cs="Times New Roman"/>
                      <w:color w:val="auto"/>
                      <w:kern w:val="2"/>
                      <w:sz w:val="21"/>
                      <w:szCs w:val="21"/>
                      <w:highlight w:val="none"/>
                      <w:vertAlign w:val="baseline"/>
                      <w:lang w:val="en-US" w:eastAsia="zh-CN" w:bidi="ar-SA"/>
                    </w:rPr>
                    <w:t>1</w:t>
                  </w:r>
                </w:p>
              </w:tc>
              <w:tc>
                <w:tcPr>
                  <w:tcW w:w="1233" w:type="dxa"/>
                  <w:vMerge w:val="continue"/>
                  <w:tcBorders>
                    <w:tl2br w:val="nil"/>
                    <w:tr2bl w:val="nil"/>
                  </w:tcBorders>
                  <w:noWrap w:val="0"/>
                  <w:vAlign w:val="center"/>
                </w:tcPr>
                <w:p w14:paraId="60A06B4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855" w:type="dxa"/>
                  <w:tcBorders>
                    <w:tl2br w:val="nil"/>
                    <w:tr2bl w:val="nil"/>
                  </w:tcBorders>
                  <w:noWrap w:val="0"/>
                  <w:vAlign w:val="center"/>
                </w:tcPr>
                <w:p w14:paraId="0C555F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w:t>
                  </w:r>
                  <w:r>
                    <w:rPr>
                      <w:rFonts w:hint="eastAsia" w:cs="Times New Roman"/>
                      <w:color w:val="auto"/>
                      <w:kern w:val="2"/>
                      <w:sz w:val="21"/>
                      <w:szCs w:val="21"/>
                      <w:highlight w:val="none"/>
                      <w:vertAlign w:val="baseline"/>
                      <w:lang w:val="en-US" w:eastAsia="zh-CN" w:bidi="ar-SA"/>
                    </w:rPr>
                    <w:t>1</w:t>
                  </w:r>
                </w:p>
              </w:tc>
              <w:tc>
                <w:tcPr>
                  <w:tcW w:w="789" w:type="dxa"/>
                  <w:vMerge w:val="continue"/>
                  <w:tcBorders>
                    <w:tl2br w:val="nil"/>
                    <w:tr2bl w:val="nil"/>
                  </w:tcBorders>
                  <w:noWrap w:val="0"/>
                  <w:vAlign w:val="center"/>
                </w:tcPr>
                <w:p w14:paraId="4F3156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694A5F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6755D64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等静压</w:t>
                  </w:r>
                </w:p>
              </w:tc>
              <w:tc>
                <w:tcPr>
                  <w:tcW w:w="0" w:type="auto"/>
                  <w:tcBorders>
                    <w:tl2br w:val="nil"/>
                    <w:tr2bl w:val="nil"/>
                  </w:tcBorders>
                  <w:noWrap w:val="0"/>
                  <w:vAlign w:val="center"/>
                </w:tcPr>
                <w:p w14:paraId="624A1079">
                  <w:pPr>
                    <w:keepNext w:val="0"/>
                    <w:keepLines w:val="0"/>
                    <w:widowControl/>
                    <w:suppressLineNumbers w:val="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废液压油</w:t>
                  </w:r>
                </w:p>
              </w:tc>
              <w:tc>
                <w:tcPr>
                  <w:tcW w:w="509" w:type="dxa"/>
                  <w:vMerge w:val="continue"/>
                  <w:tcBorders>
                    <w:tl2br w:val="nil"/>
                    <w:tr2bl w:val="nil"/>
                  </w:tcBorders>
                  <w:noWrap w:val="0"/>
                  <w:vAlign w:val="center"/>
                </w:tcPr>
                <w:p w14:paraId="4C3687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1482" w:type="dxa"/>
                  <w:tcBorders>
                    <w:tl2br w:val="nil"/>
                    <w:tr2bl w:val="nil"/>
                  </w:tcBorders>
                  <w:noWrap w:val="0"/>
                  <w:vAlign w:val="center"/>
                </w:tcPr>
                <w:p w14:paraId="070AD9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HW08 900-218-08</w:t>
                  </w:r>
                </w:p>
              </w:tc>
              <w:tc>
                <w:tcPr>
                  <w:tcW w:w="909" w:type="dxa"/>
                  <w:tcBorders>
                    <w:tl2br w:val="nil"/>
                    <w:tr2bl w:val="nil"/>
                  </w:tcBorders>
                  <w:noWrap w:val="0"/>
                  <w:vAlign w:val="center"/>
                </w:tcPr>
                <w:p w14:paraId="216B17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9</w:t>
                  </w:r>
                </w:p>
              </w:tc>
              <w:tc>
                <w:tcPr>
                  <w:tcW w:w="1233" w:type="dxa"/>
                  <w:vMerge w:val="continue"/>
                  <w:tcBorders>
                    <w:tl2br w:val="nil"/>
                    <w:tr2bl w:val="nil"/>
                  </w:tcBorders>
                  <w:noWrap w:val="0"/>
                  <w:vAlign w:val="center"/>
                </w:tcPr>
                <w:p w14:paraId="1D6A86B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855" w:type="dxa"/>
                  <w:tcBorders>
                    <w:tl2br w:val="nil"/>
                    <w:tr2bl w:val="nil"/>
                  </w:tcBorders>
                  <w:noWrap w:val="0"/>
                  <w:vAlign w:val="center"/>
                </w:tcPr>
                <w:p w14:paraId="07927BD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9</w:t>
                  </w:r>
                </w:p>
              </w:tc>
              <w:tc>
                <w:tcPr>
                  <w:tcW w:w="789" w:type="dxa"/>
                  <w:vMerge w:val="continue"/>
                  <w:tcBorders>
                    <w:tl2br w:val="nil"/>
                    <w:tr2bl w:val="nil"/>
                  </w:tcBorders>
                  <w:noWrap w:val="0"/>
                  <w:vAlign w:val="center"/>
                </w:tcPr>
                <w:p w14:paraId="2546F7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4201B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37FEB1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等静压</w:t>
                  </w:r>
                </w:p>
              </w:tc>
              <w:tc>
                <w:tcPr>
                  <w:tcW w:w="0" w:type="auto"/>
                  <w:tcBorders>
                    <w:tl2br w:val="nil"/>
                    <w:tr2bl w:val="nil"/>
                  </w:tcBorders>
                  <w:noWrap w:val="0"/>
                  <w:vAlign w:val="center"/>
                </w:tcPr>
                <w:p w14:paraId="0A057A7D">
                  <w:pPr>
                    <w:keepNext w:val="0"/>
                    <w:keepLines w:val="0"/>
                    <w:widowControl/>
                    <w:suppressLineNumbers w:val="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废塑料袋</w:t>
                  </w:r>
                </w:p>
              </w:tc>
              <w:tc>
                <w:tcPr>
                  <w:tcW w:w="509" w:type="dxa"/>
                  <w:vMerge w:val="continue"/>
                  <w:tcBorders>
                    <w:tl2br w:val="nil"/>
                    <w:tr2bl w:val="nil"/>
                  </w:tcBorders>
                  <w:noWrap w:val="0"/>
                  <w:vAlign w:val="center"/>
                </w:tcPr>
                <w:p w14:paraId="22FDC4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1482" w:type="dxa"/>
                  <w:tcBorders>
                    <w:tl2br w:val="nil"/>
                    <w:tr2bl w:val="nil"/>
                  </w:tcBorders>
                  <w:noWrap w:val="0"/>
                  <w:vAlign w:val="center"/>
                </w:tcPr>
                <w:p w14:paraId="3798B6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HW08 900-249-08</w:t>
                  </w:r>
                </w:p>
              </w:tc>
              <w:tc>
                <w:tcPr>
                  <w:tcW w:w="909" w:type="dxa"/>
                  <w:tcBorders>
                    <w:tl2br w:val="nil"/>
                    <w:tr2bl w:val="nil"/>
                  </w:tcBorders>
                  <w:noWrap w:val="0"/>
                  <w:vAlign w:val="center"/>
                </w:tcPr>
                <w:p w14:paraId="2391FC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0.1</w:t>
                  </w:r>
                </w:p>
              </w:tc>
              <w:tc>
                <w:tcPr>
                  <w:tcW w:w="1233" w:type="dxa"/>
                  <w:vMerge w:val="continue"/>
                  <w:tcBorders>
                    <w:tl2br w:val="nil"/>
                    <w:tr2bl w:val="nil"/>
                  </w:tcBorders>
                  <w:noWrap w:val="0"/>
                  <w:vAlign w:val="center"/>
                </w:tcPr>
                <w:p w14:paraId="6ADF15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855" w:type="dxa"/>
                  <w:tcBorders>
                    <w:tl2br w:val="nil"/>
                    <w:tr2bl w:val="nil"/>
                  </w:tcBorders>
                  <w:noWrap w:val="0"/>
                  <w:vAlign w:val="center"/>
                </w:tcPr>
                <w:p w14:paraId="2B94FC8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0.1</w:t>
                  </w:r>
                </w:p>
              </w:tc>
              <w:tc>
                <w:tcPr>
                  <w:tcW w:w="789" w:type="dxa"/>
                  <w:vMerge w:val="continue"/>
                  <w:tcBorders>
                    <w:tl2br w:val="nil"/>
                    <w:tr2bl w:val="nil"/>
                  </w:tcBorders>
                  <w:noWrap w:val="0"/>
                  <w:vAlign w:val="center"/>
                </w:tcPr>
                <w:p w14:paraId="58160D3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766E0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169" w:type="dxa"/>
                  <w:gridSpan w:val="2"/>
                  <w:tcBorders>
                    <w:tl2br w:val="nil"/>
                    <w:tr2bl w:val="nil"/>
                  </w:tcBorders>
                  <w:noWrap w:val="0"/>
                  <w:vAlign w:val="center"/>
                </w:tcPr>
                <w:p w14:paraId="55C1795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废布袋</w:t>
                  </w:r>
                </w:p>
              </w:tc>
              <w:tc>
                <w:tcPr>
                  <w:tcW w:w="509" w:type="dxa"/>
                  <w:vMerge w:val="restart"/>
                  <w:tcBorders>
                    <w:tl2br w:val="nil"/>
                    <w:tr2bl w:val="nil"/>
                  </w:tcBorders>
                  <w:noWrap w:val="0"/>
                  <w:vAlign w:val="center"/>
                </w:tcPr>
                <w:p w14:paraId="76851B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一般固废</w:t>
                  </w:r>
                </w:p>
              </w:tc>
              <w:tc>
                <w:tcPr>
                  <w:tcW w:w="1482" w:type="dxa"/>
                  <w:tcBorders>
                    <w:tl2br w:val="nil"/>
                    <w:tr2bl w:val="nil"/>
                  </w:tcBorders>
                  <w:noWrap w:val="0"/>
                  <w:vAlign w:val="center"/>
                </w:tcPr>
                <w:p w14:paraId="067BC0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w:t>
                  </w:r>
                </w:p>
              </w:tc>
              <w:tc>
                <w:tcPr>
                  <w:tcW w:w="909" w:type="dxa"/>
                  <w:tcBorders>
                    <w:tl2br w:val="nil"/>
                    <w:tr2bl w:val="nil"/>
                  </w:tcBorders>
                  <w:noWrap w:val="0"/>
                  <w:vAlign w:val="center"/>
                </w:tcPr>
                <w:p w14:paraId="54C9D2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0.1</w:t>
                  </w:r>
                </w:p>
              </w:tc>
              <w:tc>
                <w:tcPr>
                  <w:tcW w:w="1233" w:type="dxa"/>
                  <w:tcBorders>
                    <w:tl2br w:val="nil"/>
                    <w:tr2bl w:val="nil"/>
                  </w:tcBorders>
                  <w:noWrap w:val="0"/>
                  <w:vAlign w:val="center"/>
                </w:tcPr>
                <w:p w14:paraId="62DB96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厂家回收处理</w:t>
                  </w:r>
                </w:p>
              </w:tc>
              <w:tc>
                <w:tcPr>
                  <w:tcW w:w="855" w:type="dxa"/>
                  <w:tcBorders>
                    <w:tl2br w:val="nil"/>
                    <w:tr2bl w:val="nil"/>
                  </w:tcBorders>
                  <w:noWrap w:val="0"/>
                  <w:vAlign w:val="center"/>
                </w:tcPr>
                <w:p w14:paraId="1C3F6E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0.1</w:t>
                  </w:r>
                </w:p>
              </w:tc>
              <w:tc>
                <w:tcPr>
                  <w:tcW w:w="789" w:type="dxa"/>
                  <w:vMerge w:val="continue"/>
                  <w:tcBorders>
                    <w:tl2br w:val="nil"/>
                    <w:tr2bl w:val="nil"/>
                  </w:tcBorders>
                  <w:noWrap w:val="0"/>
                  <w:vAlign w:val="center"/>
                </w:tcPr>
                <w:p w14:paraId="23311D6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684B28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169" w:type="dxa"/>
                  <w:gridSpan w:val="2"/>
                  <w:tcBorders>
                    <w:tl2br w:val="nil"/>
                    <w:tr2bl w:val="nil"/>
                  </w:tcBorders>
                  <w:noWrap w:val="0"/>
                  <w:vAlign w:val="center"/>
                </w:tcPr>
                <w:p w14:paraId="49D6BE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磨泥</w:t>
                  </w:r>
                </w:p>
              </w:tc>
              <w:tc>
                <w:tcPr>
                  <w:tcW w:w="509" w:type="dxa"/>
                  <w:vMerge w:val="continue"/>
                  <w:tcBorders>
                    <w:tl2br w:val="nil"/>
                    <w:tr2bl w:val="nil"/>
                  </w:tcBorders>
                  <w:noWrap w:val="0"/>
                  <w:vAlign w:val="center"/>
                </w:tcPr>
                <w:p w14:paraId="549D83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p>
              </w:tc>
              <w:tc>
                <w:tcPr>
                  <w:tcW w:w="1482" w:type="dxa"/>
                  <w:tcBorders>
                    <w:tl2br w:val="nil"/>
                    <w:tr2bl w:val="nil"/>
                  </w:tcBorders>
                  <w:noWrap w:val="0"/>
                  <w:vAlign w:val="center"/>
                </w:tcPr>
                <w:p w14:paraId="1AF670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w:t>
                  </w:r>
                </w:p>
              </w:tc>
              <w:tc>
                <w:tcPr>
                  <w:tcW w:w="909" w:type="dxa"/>
                  <w:tcBorders>
                    <w:tl2br w:val="nil"/>
                    <w:tr2bl w:val="nil"/>
                  </w:tcBorders>
                  <w:noWrap w:val="0"/>
                  <w:vAlign w:val="center"/>
                </w:tcPr>
                <w:p w14:paraId="33B825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2.5</w:t>
                  </w:r>
                </w:p>
              </w:tc>
              <w:tc>
                <w:tcPr>
                  <w:tcW w:w="1233" w:type="dxa"/>
                  <w:tcBorders>
                    <w:tl2br w:val="nil"/>
                    <w:tr2bl w:val="nil"/>
                  </w:tcBorders>
                  <w:noWrap w:val="0"/>
                  <w:vAlign w:val="center"/>
                </w:tcPr>
                <w:p w14:paraId="33213FB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厂家回收</w:t>
                  </w:r>
                </w:p>
              </w:tc>
              <w:tc>
                <w:tcPr>
                  <w:tcW w:w="855" w:type="dxa"/>
                  <w:tcBorders>
                    <w:tl2br w:val="nil"/>
                    <w:tr2bl w:val="nil"/>
                  </w:tcBorders>
                  <w:noWrap w:val="0"/>
                  <w:vAlign w:val="center"/>
                </w:tcPr>
                <w:p w14:paraId="2C2F8B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2.5</w:t>
                  </w:r>
                </w:p>
              </w:tc>
              <w:tc>
                <w:tcPr>
                  <w:tcW w:w="789" w:type="dxa"/>
                  <w:vMerge w:val="continue"/>
                  <w:tcBorders>
                    <w:tl2br w:val="nil"/>
                    <w:tr2bl w:val="nil"/>
                  </w:tcBorders>
                  <w:noWrap w:val="0"/>
                  <w:vAlign w:val="center"/>
                </w:tcPr>
                <w:p w14:paraId="0D5354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1DD04C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gridSpan w:val="2"/>
                  <w:tcBorders>
                    <w:tl2br w:val="nil"/>
                    <w:tr2bl w:val="nil"/>
                  </w:tcBorders>
                  <w:noWrap w:val="0"/>
                  <w:vAlign w:val="center"/>
                </w:tcPr>
                <w:p w14:paraId="015FC6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废边角料</w:t>
                  </w:r>
                </w:p>
              </w:tc>
              <w:tc>
                <w:tcPr>
                  <w:tcW w:w="509" w:type="dxa"/>
                  <w:vMerge w:val="continue"/>
                  <w:tcBorders>
                    <w:tl2br w:val="nil"/>
                    <w:tr2bl w:val="nil"/>
                  </w:tcBorders>
                  <w:noWrap w:val="0"/>
                  <w:vAlign w:val="center"/>
                </w:tcPr>
                <w:p w14:paraId="029A22C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482" w:type="dxa"/>
                  <w:tcBorders>
                    <w:tl2br w:val="nil"/>
                    <w:tr2bl w:val="nil"/>
                  </w:tcBorders>
                  <w:noWrap w:val="0"/>
                  <w:vAlign w:val="center"/>
                </w:tcPr>
                <w:p w14:paraId="5D6698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w:t>
                  </w:r>
                </w:p>
              </w:tc>
              <w:tc>
                <w:tcPr>
                  <w:tcW w:w="909" w:type="dxa"/>
                  <w:tcBorders>
                    <w:tl2br w:val="nil"/>
                    <w:tr2bl w:val="nil"/>
                  </w:tcBorders>
                  <w:noWrap w:val="0"/>
                  <w:vAlign w:val="center"/>
                </w:tcPr>
                <w:p w14:paraId="2DAFEB0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14.1</w:t>
                  </w:r>
                </w:p>
              </w:tc>
              <w:tc>
                <w:tcPr>
                  <w:tcW w:w="1233" w:type="dxa"/>
                  <w:vMerge w:val="restart"/>
                  <w:tcBorders>
                    <w:tl2br w:val="nil"/>
                    <w:tr2bl w:val="nil"/>
                  </w:tcBorders>
                  <w:noWrap w:val="0"/>
                  <w:vAlign w:val="center"/>
                </w:tcPr>
                <w:p w14:paraId="6C931CE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外售原料厂家</w:t>
                  </w:r>
                </w:p>
              </w:tc>
              <w:tc>
                <w:tcPr>
                  <w:tcW w:w="855" w:type="dxa"/>
                  <w:tcBorders>
                    <w:tl2br w:val="nil"/>
                    <w:tr2bl w:val="nil"/>
                  </w:tcBorders>
                  <w:noWrap w:val="0"/>
                  <w:vAlign w:val="center"/>
                </w:tcPr>
                <w:p w14:paraId="3232DFD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14.1</w:t>
                  </w:r>
                </w:p>
              </w:tc>
              <w:tc>
                <w:tcPr>
                  <w:tcW w:w="789" w:type="dxa"/>
                  <w:vMerge w:val="continue"/>
                  <w:tcBorders>
                    <w:tl2br w:val="nil"/>
                    <w:tr2bl w:val="nil"/>
                  </w:tcBorders>
                  <w:noWrap w:val="0"/>
                  <w:vAlign w:val="center"/>
                </w:tcPr>
                <w:p w14:paraId="2382C62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2BA20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gridSpan w:val="2"/>
                  <w:tcBorders>
                    <w:tl2br w:val="nil"/>
                    <w:tr2bl w:val="nil"/>
                  </w:tcBorders>
                  <w:noWrap w:val="0"/>
                  <w:vAlign w:val="center"/>
                </w:tcPr>
                <w:p w14:paraId="1B2ED06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废氧化铁屑</w:t>
                  </w:r>
                </w:p>
              </w:tc>
              <w:tc>
                <w:tcPr>
                  <w:tcW w:w="509" w:type="dxa"/>
                  <w:vMerge w:val="continue"/>
                  <w:tcBorders>
                    <w:tl2br w:val="nil"/>
                    <w:tr2bl w:val="nil"/>
                  </w:tcBorders>
                  <w:noWrap w:val="0"/>
                  <w:vAlign w:val="center"/>
                </w:tcPr>
                <w:p w14:paraId="5451F67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482" w:type="dxa"/>
                  <w:tcBorders>
                    <w:tl2br w:val="nil"/>
                    <w:tr2bl w:val="nil"/>
                  </w:tcBorders>
                  <w:noWrap w:val="0"/>
                  <w:vAlign w:val="center"/>
                </w:tcPr>
                <w:p w14:paraId="47E65B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w:t>
                  </w:r>
                </w:p>
              </w:tc>
              <w:tc>
                <w:tcPr>
                  <w:tcW w:w="909" w:type="dxa"/>
                  <w:tcBorders>
                    <w:tl2br w:val="nil"/>
                    <w:tr2bl w:val="nil"/>
                  </w:tcBorders>
                  <w:noWrap w:val="0"/>
                  <w:vAlign w:val="center"/>
                </w:tcPr>
                <w:p w14:paraId="39FF200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3.1</w:t>
                  </w:r>
                </w:p>
              </w:tc>
              <w:tc>
                <w:tcPr>
                  <w:tcW w:w="1233" w:type="dxa"/>
                  <w:vMerge w:val="continue"/>
                  <w:tcBorders>
                    <w:tl2br w:val="nil"/>
                    <w:tr2bl w:val="nil"/>
                  </w:tcBorders>
                  <w:noWrap w:val="0"/>
                  <w:vAlign w:val="center"/>
                </w:tcPr>
                <w:p w14:paraId="053E54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855" w:type="dxa"/>
                  <w:tcBorders>
                    <w:tl2br w:val="nil"/>
                    <w:tr2bl w:val="nil"/>
                  </w:tcBorders>
                  <w:noWrap w:val="0"/>
                  <w:vAlign w:val="center"/>
                </w:tcPr>
                <w:p w14:paraId="22CF446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3.1</w:t>
                  </w:r>
                </w:p>
              </w:tc>
              <w:tc>
                <w:tcPr>
                  <w:tcW w:w="789" w:type="dxa"/>
                  <w:vMerge w:val="continue"/>
                  <w:tcBorders>
                    <w:tl2br w:val="nil"/>
                    <w:tr2bl w:val="nil"/>
                  </w:tcBorders>
                  <w:noWrap w:val="0"/>
                  <w:vAlign w:val="center"/>
                </w:tcPr>
                <w:p w14:paraId="0C3ACB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394D0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gridSpan w:val="2"/>
                  <w:tcBorders>
                    <w:tl2br w:val="nil"/>
                    <w:tr2bl w:val="nil"/>
                  </w:tcBorders>
                  <w:noWrap w:val="0"/>
                  <w:vAlign w:val="center"/>
                </w:tcPr>
                <w:p w14:paraId="2E84C73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废包装材料</w:t>
                  </w:r>
                </w:p>
              </w:tc>
              <w:tc>
                <w:tcPr>
                  <w:tcW w:w="509" w:type="dxa"/>
                  <w:vMerge w:val="continue"/>
                  <w:tcBorders>
                    <w:tl2br w:val="nil"/>
                    <w:tr2bl w:val="nil"/>
                  </w:tcBorders>
                  <w:noWrap w:val="0"/>
                  <w:vAlign w:val="center"/>
                </w:tcPr>
                <w:p w14:paraId="691F355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482" w:type="dxa"/>
                  <w:tcBorders>
                    <w:tl2br w:val="nil"/>
                    <w:tr2bl w:val="nil"/>
                  </w:tcBorders>
                  <w:noWrap w:val="0"/>
                  <w:vAlign w:val="center"/>
                </w:tcPr>
                <w:p w14:paraId="597EE3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w:t>
                  </w:r>
                </w:p>
              </w:tc>
              <w:tc>
                <w:tcPr>
                  <w:tcW w:w="909" w:type="dxa"/>
                  <w:tcBorders>
                    <w:tl2br w:val="nil"/>
                    <w:tr2bl w:val="nil"/>
                  </w:tcBorders>
                  <w:noWrap w:val="0"/>
                  <w:vAlign w:val="center"/>
                </w:tcPr>
                <w:p w14:paraId="712F9A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0.1</w:t>
                  </w:r>
                </w:p>
              </w:tc>
              <w:tc>
                <w:tcPr>
                  <w:tcW w:w="1233" w:type="dxa"/>
                  <w:tcBorders>
                    <w:tl2br w:val="nil"/>
                    <w:tr2bl w:val="nil"/>
                  </w:tcBorders>
                  <w:noWrap w:val="0"/>
                  <w:vAlign w:val="center"/>
                </w:tcPr>
                <w:p w14:paraId="099696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厂家利用回收</w:t>
                  </w:r>
                </w:p>
              </w:tc>
              <w:tc>
                <w:tcPr>
                  <w:tcW w:w="855" w:type="dxa"/>
                  <w:tcBorders>
                    <w:tl2br w:val="nil"/>
                    <w:tr2bl w:val="nil"/>
                  </w:tcBorders>
                  <w:noWrap w:val="0"/>
                  <w:vAlign w:val="center"/>
                </w:tcPr>
                <w:p w14:paraId="64C1F51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0.1</w:t>
                  </w:r>
                </w:p>
              </w:tc>
              <w:tc>
                <w:tcPr>
                  <w:tcW w:w="789" w:type="dxa"/>
                  <w:vMerge w:val="continue"/>
                  <w:tcBorders>
                    <w:tl2br w:val="nil"/>
                    <w:tr2bl w:val="nil"/>
                  </w:tcBorders>
                  <w:noWrap w:val="0"/>
                  <w:vAlign w:val="center"/>
                </w:tcPr>
                <w:p w14:paraId="3D63488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r>
            <w:tr w14:paraId="2F4DCA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0" w:type="auto"/>
                  <w:tcBorders>
                    <w:tl2br w:val="nil"/>
                    <w:tr2bl w:val="nil"/>
                  </w:tcBorders>
                  <w:noWrap w:val="0"/>
                  <w:vAlign w:val="center"/>
                </w:tcPr>
                <w:p w14:paraId="5FCA4C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职工生活</w:t>
                  </w:r>
                </w:p>
              </w:tc>
              <w:tc>
                <w:tcPr>
                  <w:tcW w:w="0" w:type="auto"/>
                  <w:tcBorders>
                    <w:tl2br w:val="nil"/>
                    <w:tr2bl w:val="nil"/>
                  </w:tcBorders>
                  <w:noWrap w:val="0"/>
                  <w:vAlign w:val="center"/>
                </w:tcPr>
                <w:p w14:paraId="7539B7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生活垃圾</w:t>
                  </w:r>
                </w:p>
              </w:tc>
              <w:tc>
                <w:tcPr>
                  <w:tcW w:w="509" w:type="dxa"/>
                  <w:tcBorders>
                    <w:tl2br w:val="nil"/>
                    <w:tr2bl w:val="nil"/>
                  </w:tcBorders>
                  <w:noWrap w:val="0"/>
                  <w:vAlign w:val="center"/>
                </w:tcPr>
                <w:p w14:paraId="04DAE68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w:t>
                  </w:r>
                </w:p>
              </w:tc>
              <w:tc>
                <w:tcPr>
                  <w:tcW w:w="1482" w:type="dxa"/>
                  <w:tcBorders>
                    <w:tl2br w:val="nil"/>
                    <w:tr2bl w:val="nil"/>
                  </w:tcBorders>
                  <w:noWrap w:val="0"/>
                  <w:vAlign w:val="center"/>
                </w:tcPr>
                <w:p w14:paraId="52ED52D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w:t>
                  </w:r>
                </w:p>
              </w:tc>
              <w:tc>
                <w:tcPr>
                  <w:tcW w:w="909" w:type="dxa"/>
                  <w:tcBorders>
                    <w:tl2br w:val="nil"/>
                    <w:tr2bl w:val="nil"/>
                  </w:tcBorders>
                  <w:noWrap w:val="0"/>
                  <w:vAlign w:val="center"/>
                </w:tcPr>
                <w:p w14:paraId="16961D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10.5</w:t>
                  </w:r>
                </w:p>
              </w:tc>
              <w:tc>
                <w:tcPr>
                  <w:tcW w:w="1233" w:type="dxa"/>
                  <w:tcBorders>
                    <w:tl2br w:val="nil"/>
                    <w:tr2bl w:val="nil"/>
                  </w:tcBorders>
                  <w:noWrap w:val="0"/>
                  <w:vAlign w:val="center"/>
                </w:tcPr>
                <w:p w14:paraId="3DC214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环卫部门处置</w:t>
                  </w:r>
                </w:p>
              </w:tc>
              <w:tc>
                <w:tcPr>
                  <w:tcW w:w="855" w:type="dxa"/>
                  <w:tcBorders>
                    <w:tl2br w:val="nil"/>
                    <w:tr2bl w:val="nil"/>
                  </w:tcBorders>
                  <w:noWrap w:val="0"/>
                  <w:vAlign w:val="center"/>
                </w:tcPr>
                <w:p w14:paraId="19BDFAF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10.5</w:t>
                  </w:r>
                </w:p>
              </w:tc>
              <w:tc>
                <w:tcPr>
                  <w:tcW w:w="789" w:type="dxa"/>
                  <w:tcBorders>
                    <w:tl2br w:val="nil"/>
                    <w:tr2bl w:val="nil"/>
                  </w:tcBorders>
                  <w:noWrap w:val="0"/>
                  <w:vAlign w:val="center"/>
                </w:tcPr>
                <w:p w14:paraId="4DE5E8C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每周1次</w:t>
                  </w:r>
                </w:p>
              </w:tc>
            </w:tr>
          </w:tbl>
          <w:p w14:paraId="2E6CF5C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（1）危险废物</w:t>
            </w:r>
          </w:p>
          <w:p w14:paraId="678DEF4D">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真空泵废油：</w:t>
            </w:r>
          </w:p>
          <w:p w14:paraId="018745F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真空泵运行过程中其废油的产生量为0.2</w:t>
            </w:r>
            <w:r>
              <w:rPr>
                <w:rFonts w:hint="eastAsia" w:cs="Times New Roman"/>
                <w:sz w:val="24"/>
                <w:szCs w:val="24"/>
                <w:highlight w:val="none"/>
                <w:lang w:val="en-US" w:eastAsia="zh-CN"/>
              </w:rPr>
              <w:t>25</w:t>
            </w:r>
            <w:r>
              <w:rPr>
                <w:rFonts w:hint="eastAsia" w:ascii="Times New Roman" w:hAnsi="Times New Roman" w:eastAsia="宋体" w:cs="Times New Roman"/>
                <w:sz w:val="24"/>
                <w:szCs w:val="24"/>
                <w:highlight w:val="none"/>
                <w:lang w:val="en-US" w:eastAsia="zh-CN"/>
              </w:rPr>
              <w:t>t/a，根据《国家危险废物名录》（</w:t>
            </w:r>
            <w:r>
              <w:rPr>
                <w:rFonts w:hint="default" w:ascii="Times New Roman" w:hAnsi="Times New Roman" w:eastAsia="宋体" w:cs="Times New Roman"/>
                <w:sz w:val="24"/>
                <w:szCs w:val="24"/>
                <w:highlight w:val="none"/>
                <w:lang w:val="en-US" w:eastAsia="zh-CN"/>
              </w:rPr>
              <w:t>202</w:t>
            </w:r>
            <w:r>
              <w:rPr>
                <w:rFonts w:hint="eastAsia" w:cs="Times New Roman"/>
                <w:sz w:val="24"/>
                <w:szCs w:val="24"/>
                <w:highlight w:val="none"/>
                <w:lang w:val="en-US" w:eastAsia="zh-CN"/>
              </w:rPr>
              <w:t>5</w:t>
            </w:r>
            <w:r>
              <w:rPr>
                <w:rFonts w:hint="eastAsia" w:ascii="Times New Roman" w:hAnsi="Times New Roman" w:eastAsia="宋体" w:cs="Times New Roman"/>
                <w:sz w:val="24"/>
                <w:szCs w:val="24"/>
                <w:highlight w:val="none"/>
                <w:lang w:val="en-US" w:eastAsia="zh-CN"/>
              </w:rPr>
              <w:t>年版），项目真空泵废油属于</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HW</w:t>
            </w:r>
            <w:r>
              <w:rPr>
                <w:rFonts w:hint="eastAsia" w:ascii="Times New Roman" w:hAnsi="Times New Roman" w:eastAsia="宋体" w:cs="Times New Roman"/>
                <w:sz w:val="24"/>
                <w:szCs w:val="24"/>
                <w:highlight w:val="none"/>
                <w:lang w:val="en-US" w:eastAsia="zh-CN"/>
              </w:rPr>
              <w:t xml:space="preserve">08 </w:t>
            </w:r>
            <w:r>
              <w:rPr>
                <w:rFonts w:hint="default" w:ascii="Times New Roman" w:hAnsi="Times New Roman" w:eastAsia="宋体" w:cs="Times New Roman"/>
                <w:sz w:val="24"/>
                <w:szCs w:val="24"/>
                <w:highlight w:val="none"/>
                <w:lang w:val="en-US" w:eastAsia="zh-CN"/>
              </w:rPr>
              <w:t>900-</w:t>
            </w:r>
            <w:r>
              <w:rPr>
                <w:rFonts w:hint="eastAsia" w:ascii="Times New Roman" w:hAnsi="Times New Roman" w:eastAsia="宋体" w:cs="Times New Roman"/>
                <w:sz w:val="24"/>
                <w:szCs w:val="24"/>
                <w:highlight w:val="none"/>
                <w:lang w:val="en-US" w:eastAsia="zh-CN"/>
              </w:rPr>
              <w:t>249</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08其他生产、销售、使用过程中产生的废矿物油及沾染矿物油的废弃包装物</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类危险废物，采用包装桶收集后暂存于厂区危废贮存库内，定期交由具有相应危险废物处置资质的单位进行处置。</w:t>
            </w:r>
          </w:p>
          <w:p w14:paraId="04A4E6E1">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废润滑油：</w:t>
            </w:r>
          </w:p>
          <w:p w14:paraId="73100E5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设备的养护和维修时会产生废润滑油，产生量约为0.</w:t>
            </w:r>
            <w:r>
              <w:rPr>
                <w:rFonts w:hint="eastAsia" w:cs="Times New Roman"/>
                <w:sz w:val="24"/>
                <w:szCs w:val="24"/>
                <w:highlight w:val="none"/>
                <w:lang w:val="en-US" w:eastAsia="zh-CN"/>
              </w:rPr>
              <w:t>1</w:t>
            </w:r>
            <w:r>
              <w:rPr>
                <w:rFonts w:hint="eastAsia" w:ascii="Times New Roman" w:hAnsi="Times New Roman" w:eastAsia="宋体" w:cs="Times New Roman"/>
                <w:sz w:val="24"/>
                <w:szCs w:val="24"/>
                <w:highlight w:val="none"/>
                <w:lang w:val="en-US" w:eastAsia="zh-CN"/>
              </w:rPr>
              <w:t>t/a，根据《国家危险废物名录》（</w:t>
            </w:r>
            <w:r>
              <w:rPr>
                <w:rFonts w:hint="default" w:ascii="Times New Roman" w:hAnsi="Times New Roman" w:eastAsia="宋体" w:cs="Times New Roman"/>
                <w:sz w:val="24"/>
                <w:szCs w:val="24"/>
                <w:highlight w:val="none"/>
                <w:lang w:val="en-US" w:eastAsia="zh-CN"/>
              </w:rPr>
              <w:t>202</w:t>
            </w:r>
            <w:r>
              <w:rPr>
                <w:rFonts w:hint="eastAsia" w:cs="Times New Roman"/>
                <w:sz w:val="24"/>
                <w:szCs w:val="24"/>
                <w:highlight w:val="none"/>
                <w:lang w:val="en-US" w:eastAsia="zh-CN"/>
              </w:rPr>
              <w:t>5</w:t>
            </w:r>
            <w:r>
              <w:rPr>
                <w:rFonts w:hint="eastAsia" w:ascii="Times New Roman" w:hAnsi="Times New Roman" w:eastAsia="宋体" w:cs="Times New Roman"/>
                <w:sz w:val="24"/>
                <w:szCs w:val="24"/>
                <w:highlight w:val="none"/>
                <w:lang w:val="en-US" w:eastAsia="zh-CN"/>
              </w:rPr>
              <w:t>年版），项目废润滑油属于</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HW</w:t>
            </w:r>
            <w:r>
              <w:rPr>
                <w:rFonts w:hint="eastAsia" w:ascii="Times New Roman" w:hAnsi="Times New Roman" w:eastAsia="宋体" w:cs="Times New Roman"/>
                <w:sz w:val="24"/>
                <w:szCs w:val="24"/>
                <w:highlight w:val="none"/>
                <w:lang w:val="en-US" w:eastAsia="zh-CN"/>
              </w:rPr>
              <w:t xml:space="preserve">08 </w:t>
            </w:r>
            <w:r>
              <w:rPr>
                <w:rFonts w:hint="default" w:ascii="Times New Roman" w:hAnsi="Times New Roman" w:eastAsia="宋体" w:cs="Times New Roman"/>
                <w:sz w:val="24"/>
                <w:szCs w:val="24"/>
                <w:highlight w:val="none"/>
                <w:lang w:val="en-US" w:eastAsia="zh-CN"/>
              </w:rPr>
              <w:t>900-</w:t>
            </w:r>
            <w:r>
              <w:rPr>
                <w:rFonts w:hint="eastAsia" w:ascii="Times New Roman" w:hAnsi="Times New Roman" w:eastAsia="宋体" w:cs="Times New Roman"/>
                <w:sz w:val="24"/>
                <w:szCs w:val="24"/>
                <w:highlight w:val="none"/>
                <w:lang w:val="en-US" w:eastAsia="zh-CN"/>
              </w:rPr>
              <w:t>214</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08</w:t>
            </w:r>
            <w:r>
              <w:rPr>
                <w:rFonts w:ascii="Helvetica" w:hAnsi="Helvetica" w:eastAsia="Helvetica" w:cs="Helvetica"/>
                <w:i w:val="0"/>
                <w:iCs w:val="0"/>
                <w:caps w:val="0"/>
                <w:color w:val="333333"/>
                <w:spacing w:val="0"/>
                <w:sz w:val="24"/>
                <w:szCs w:val="24"/>
                <w:highlight w:val="none"/>
                <w:shd w:val="clear" w:color="auto" w:fill="FFFFFF"/>
              </w:rPr>
              <w:t>车</w:t>
            </w:r>
            <w:r>
              <w:rPr>
                <w:rFonts w:hint="default" w:ascii="Helvetica" w:hAnsi="Helvetica" w:eastAsia="Helvetica" w:cs="Helvetica"/>
                <w:i w:val="0"/>
                <w:iCs w:val="0"/>
                <w:caps w:val="0"/>
                <w:color w:val="333333"/>
                <w:spacing w:val="0"/>
                <w:sz w:val="24"/>
                <w:szCs w:val="24"/>
                <w:highlight w:val="none"/>
                <w:shd w:val="clear" w:color="auto" w:fill="FFFFFF"/>
              </w:rPr>
              <w:t>辆、轮船及其它机械维修过程中产生的废发动机油、制动器油、自动变速器油、齿轮油等废润滑油</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类危险废物，经铁桶收集后，暂存于危废贮存库内，委托有相关资质的单位进行处置。</w:t>
            </w:r>
          </w:p>
          <w:p w14:paraId="6D4E659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废活性炭：</w:t>
            </w:r>
          </w:p>
          <w:p w14:paraId="59DE101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本项目工程烧结炉抽真空过程</w:t>
            </w:r>
            <w:r>
              <w:rPr>
                <w:rFonts w:hint="eastAsia" w:cs="Times New Roman"/>
                <w:color w:val="auto"/>
                <w:sz w:val="24"/>
                <w:szCs w:val="24"/>
                <w:highlight w:val="none"/>
                <w:lang w:val="en-US" w:eastAsia="zh-CN"/>
              </w:rPr>
              <w:t>、等静压过程</w:t>
            </w:r>
            <w:r>
              <w:rPr>
                <w:rFonts w:hint="eastAsia" w:ascii="Times New Roman" w:hAnsi="Times New Roman" w:eastAsia="宋体" w:cs="Times New Roman"/>
                <w:color w:val="auto"/>
                <w:sz w:val="24"/>
                <w:szCs w:val="24"/>
                <w:highlight w:val="none"/>
                <w:lang w:val="en-US" w:eastAsia="zh-CN"/>
              </w:rPr>
              <w:t>废气治理产生废活性炭，废活性炭的产生量</w:t>
            </w:r>
            <w:r>
              <w:rPr>
                <w:rFonts w:hint="eastAsia" w:cs="Times New Roman"/>
                <w:color w:val="auto"/>
                <w:sz w:val="24"/>
                <w:szCs w:val="24"/>
                <w:highlight w:val="none"/>
                <w:lang w:val="en-US" w:eastAsia="zh-CN"/>
              </w:rPr>
              <w:t>2.48</w:t>
            </w:r>
            <w:r>
              <w:rPr>
                <w:rFonts w:hint="eastAsia" w:ascii="Times New Roman" w:hAnsi="Times New Roman" w:eastAsia="宋体" w:cs="Times New Roman"/>
                <w:color w:val="auto"/>
                <w:sz w:val="24"/>
                <w:szCs w:val="24"/>
                <w:highlight w:val="none"/>
                <w:lang w:val="en-US" w:eastAsia="zh-CN"/>
              </w:rPr>
              <w:t>t/a，根据《国家危险废物名录》（</w:t>
            </w:r>
            <w:r>
              <w:rPr>
                <w:rFonts w:hint="default" w:ascii="Times New Roman" w:hAnsi="Times New Roman" w:eastAsia="宋体" w:cs="Times New Roman"/>
                <w:color w:val="auto"/>
                <w:sz w:val="24"/>
                <w:szCs w:val="24"/>
                <w:highlight w:val="none"/>
                <w:lang w:val="en-US" w:eastAsia="zh-CN"/>
              </w:rPr>
              <w:t>202</w:t>
            </w:r>
            <w:r>
              <w:rPr>
                <w:rFonts w:hint="eastAsia"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年版），项目废活性炭属于</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HW49 900-0</w:t>
            </w:r>
            <w:r>
              <w:rPr>
                <w:rFonts w:hint="eastAsia" w:ascii="Times New Roman" w:hAnsi="Times New Roman" w:eastAsia="宋体" w:cs="Times New Roman"/>
                <w:color w:val="auto"/>
                <w:sz w:val="24"/>
                <w:szCs w:val="24"/>
                <w:highlight w:val="none"/>
                <w:lang w:val="en-US" w:eastAsia="zh-CN"/>
              </w:rPr>
              <w:t>39</w:t>
            </w:r>
            <w:r>
              <w:rPr>
                <w:rFonts w:hint="default" w:ascii="Times New Roman" w:hAnsi="Times New Roman" w:eastAsia="宋体" w:cs="Times New Roman"/>
                <w:color w:val="auto"/>
                <w:sz w:val="24"/>
                <w:szCs w:val="24"/>
                <w:highlight w:val="none"/>
                <w:lang w:val="en-US" w:eastAsia="zh-CN"/>
              </w:rPr>
              <w:t>-49</w:t>
            </w:r>
            <w:r>
              <w:rPr>
                <w:rFonts w:ascii="Helvetica" w:hAnsi="Helvetica" w:eastAsia="Helvetica" w:cs="Helvetica"/>
                <w:i w:val="0"/>
                <w:iCs w:val="0"/>
                <w:caps w:val="0"/>
                <w:color w:val="auto"/>
                <w:spacing w:val="0"/>
                <w:sz w:val="24"/>
                <w:szCs w:val="24"/>
                <w:highlight w:val="none"/>
                <w:shd w:val="clear" w:color="auto" w:fill="FFFFFF"/>
              </w:rPr>
              <w:t>烟气、VOCs治理过程（不包括餐饮行业油烟治理过程）产生的废</w:t>
            </w:r>
            <w:r>
              <w:rPr>
                <w:rFonts w:hint="default" w:ascii="Helvetica" w:hAnsi="Helvetica" w:eastAsia="Helvetica" w:cs="Helvetica"/>
                <w:i w:val="0"/>
                <w:iCs w:val="0"/>
                <w:caps w:val="0"/>
                <w:color w:val="auto"/>
                <w:spacing w:val="0"/>
                <w:sz w:val="24"/>
                <w:szCs w:val="24"/>
                <w:highlight w:val="none"/>
                <w:shd w:val="clear" w:color="auto" w:fill="FFFFFF"/>
              </w:rPr>
              <w:t>活性炭</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类危险废物，采用包装桶收集后暂存于厂区的危废贮存库内，定期交由具有相应危险废物处置资质的单位进行处置。</w:t>
            </w:r>
          </w:p>
          <w:p w14:paraId="5C24432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废塑料袋：</w:t>
            </w:r>
          </w:p>
          <w:p w14:paraId="52803E0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本项目等静压工序产生的废塑料袋的产生量0.1t/a，根据《国家危险废物名录》（</w:t>
            </w:r>
            <w:r>
              <w:rPr>
                <w:rFonts w:hint="default" w:ascii="Times New Roman" w:hAnsi="Times New Roman" w:eastAsia="宋体" w:cs="Times New Roman"/>
                <w:sz w:val="24"/>
                <w:szCs w:val="24"/>
                <w:highlight w:val="none"/>
                <w:lang w:val="en-US" w:eastAsia="zh-CN"/>
              </w:rPr>
              <w:t>202</w:t>
            </w:r>
            <w:r>
              <w:rPr>
                <w:rFonts w:hint="eastAsia" w:cs="Times New Roman"/>
                <w:sz w:val="24"/>
                <w:szCs w:val="24"/>
                <w:highlight w:val="none"/>
                <w:lang w:val="en-US" w:eastAsia="zh-CN"/>
              </w:rPr>
              <w:t>5</w:t>
            </w:r>
            <w:r>
              <w:rPr>
                <w:rFonts w:hint="eastAsia" w:ascii="Times New Roman" w:hAnsi="Times New Roman" w:eastAsia="宋体" w:cs="Times New Roman"/>
                <w:sz w:val="24"/>
                <w:szCs w:val="24"/>
                <w:highlight w:val="none"/>
                <w:lang w:val="en-US" w:eastAsia="zh-CN"/>
              </w:rPr>
              <w:t>年版），项目</w:t>
            </w:r>
            <w:r>
              <w:rPr>
                <w:rFonts w:hint="default" w:ascii="Times New Roman" w:hAnsi="Times New Roman" w:eastAsia="宋体" w:cs="Times New Roman"/>
                <w:sz w:val="24"/>
                <w:szCs w:val="24"/>
                <w:highlight w:val="none"/>
                <w:lang w:val="en-US" w:eastAsia="zh-CN"/>
              </w:rPr>
              <w:t>废</w:t>
            </w:r>
            <w:r>
              <w:rPr>
                <w:rFonts w:hint="eastAsia" w:ascii="Times New Roman" w:hAnsi="Times New Roman" w:eastAsia="宋体" w:cs="Times New Roman"/>
                <w:sz w:val="24"/>
                <w:szCs w:val="24"/>
                <w:highlight w:val="none"/>
                <w:lang w:val="en-US" w:eastAsia="zh-CN"/>
              </w:rPr>
              <w:t>塑料袋属于</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HW</w:t>
            </w:r>
            <w:r>
              <w:rPr>
                <w:rFonts w:hint="eastAsia" w:ascii="Times New Roman" w:hAnsi="Times New Roman" w:eastAsia="宋体" w:cs="Times New Roman"/>
                <w:sz w:val="24"/>
                <w:szCs w:val="24"/>
                <w:highlight w:val="none"/>
                <w:lang w:val="en-US" w:eastAsia="zh-CN"/>
              </w:rPr>
              <w:t>08</w:t>
            </w:r>
            <w:r>
              <w:rPr>
                <w:rFonts w:hint="default" w:ascii="Times New Roman" w:hAnsi="Times New Roman" w:eastAsia="宋体" w:cs="Times New Roman"/>
                <w:sz w:val="24"/>
                <w:szCs w:val="24"/>
                <w:highlight w:val="none"/>
                <w:lang w:val="en-US" w:eastAsia="zh-CN"/>
              </w:rPr>
              <w:t xml:space="preserve"> 900-</w:t>
            </w:r>
            <w:r>
              <w:rPr>
                <w:rFonts w:hint="eastAsia" w:ascii="Times New Roman" w:hAnsi="Times New Roman" w:eastAsia="宋体" w:cs="Times New Roman"/>
                <w:sz w:val="24"/>
                <w:szCs w:val="24"/>
                <w:highlight w:val="none"/>
                <w:lang w:val="en-US" w:eastAsia="zh-CN"/>
              </w:rPr>
              <w:t>249</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08</w:t>
            </w:r>
            <w:r>
              <w:rPr>
                <w:rFonts w:ascii="Helvetica" w:hAnsi="Helvetica" w:eastAsia="Helvetica" w:cs="Helvetica"/>
                <w:i w:val="0"/>
                <w:iCs w:val="0"/>
                <w:caps w:val="0"/>
                <w:color w:val="333333"/>
                <w:spacing w:val="0"/>
                <w:sz w:val="24"/>
                <w:szCs w:val="24"/>
                <w:highlight w:val="none"/>
                <w:shd w:val="clear" w:color="auto" w:fill="FFFFFF"/>
              </w:rPr>
              <w:t>其他生产、销售、使用过程中产生的废矿物油及</w:t>
            </w:r>
            <w:r>
              <w:rPr>
                <w:rFonts w:hint="default" w:ascii="Helvetica" w:hAnsi="Helvetica" w:eastAsia="Helvetica" w:cs="Helvetica"/>
                <w:i w:val="0"/>
                <w:iCs w:val="0"/>
                <w:caps w:val="0"/>
                <w:color w:val="FF0000"/>
                <w:spacing w:val="0"/>
                <w:sz w:val="24"/>
                <w:szCs w:val="24"/>
                <w:highlight w:val="none"/>
                <w:shd w:val="clear" w:color="auto" w:fill="FFFFFF"/>
              </w:rPr>
              <w:t>沾染</w:t>
            </w:r>
            <w:r>
              <w:rPr>
                <w:rFonts w:hint="default" w:ascii="Helvetica" w:hAnsi="Helvetica" w:eastAsia="Helvetica" w:cs="Helvetica"/>
                <w:i w:val="0"/>
                <w:iCs w:val="0"/>
                <w:caps w:val="0"/>
                <w:color w:val="333333"/>
                <w:spacing w:val="0"/>
                <w:sz w:val="24"/>
                <w:szCs w:val="24"/>
                <w:highlight w:val="none"/>
                <w:shd w:val="clear" w:color="auto" w:fill="FFFFFF"/>
              </w:rPr>
              <w:t>矿物油的废弃包装物</w:t>
            </w:r>
            <w:r>
              <w:rPr>
                <w:rFonts w:hint="eastAsia" w:ascii="Helvetica" w:hAnsi="Helvetica" w:cs="Helvetica"/>
                <w:i w:val="0"/>
                <w:iCs w:val="0"/>
                <w:caps w:val="0"/>
                <w:color w:val="333333"/>
                <w:spacing w:val="0"/>
                <w:sz w:val="24"/>
                <w:szCs w:val="24"/>
                <w:highlight w:val="none"/>
                <w:shd w:val="clear" w:color="auto" w:fill="FFFFFF"/>
                <w:lang w:eastAsia="zh-CN"/>
              </w:rPr>
              <w:t>”</w:t>
            </w:r>
            <w:r>
              <w:rPr>
                <w:rFonts w:hint="eastAsia" w:ascii="Times New Roman" w:hAnsi="Times New Roman" w:eastAsia="宋体" w:cs="Times New Roman"/>
                <w:sz w:val="24"/>
                <w:szCs w:val="24"/>
                <w:highlight w:val="none"/>
                <w:lang w:val="en-US" w:eastAsia="zh-CN"/>
              </w:rPr>
              <w:t>，废塑料袋</w:t>
            </w:r>
            <w:r>
              <w:rPr>
                <w:rFonts w:hint="default" w:ascii="Times New Roman" w:hAnsi="Times New Roman" w:eastAsia="宋体" w:cs="Times New Roman"/>
                <w:sz w:val="24"/>
                <w:szCs w:val="24"/>
                <w:highlight w:val="none"/>
                <w:lang w:val="en-US" w:eastAsia="zh-CN"/>
              </w:rPr>
              <w:t>暂存于厂区现有的</w:t>
            </w:r>
            <w:r>
              <w:rPr>
                <w:rFonts w:hint="eastAsia" w:ascii="Times New Roman" w:hAnsi="Times New Roman" w:eastAsia="宋体" w:cs="Times New Roman"/>
                <w:sz w:val="24"/>
                <w:szCs w:val="24"/>
                <w:highlight w:val="none"/>
                <w:lang w:val="en-US" w:eastAsia="zh-CN"/>
              </w:rPr>
              <w:t>危废贮存库</w:t>
            </w:r>
            <w:r>
              <w:rPr>
                <w:rFonts w:hint="default" w:ascii="Times New Roman" w:hAnsi="Times New Roman" w:eastAsia="宋体" w:cs="Times New Roman"/>
                <w:sz w:val="24"/>
                <w:szCs w:val="24"/>
                <w:highlight w:val="none"/>
                <w:lang w:val="en-US" w:eastAsia="zh-CN"/>
              </w:rPr>
              <w:t>内，</w:t>
            </w:r>
            <w:r>
              <w:rPr>
                <w:rFonts w:hint="eastAsia" w:ascii="Times New Roman" w:hAnsi="Times New Roman" w:eastAsia="宋体" w:cs="Times New Roman"/>
                <w:sz w:val="24"/>
                <w:szCs w:val="24"/>
                <w:highlight w:val="none"/>
                <w:lang w:val="en-US" w:eastAsia="zh-CN"/>
              </w:rPr>
              <w:t>委托有相关资质的单位进行处置</w:t>
            </w:r>
            <w:r>
              <w:rPr>
                <w:rFonts w:hint="default" w:ascii="Times New Roman" w:hAnsi="Times New Roman" w:eastAsia="宋体" w:cs="Times New Roman"/>
                <w:sz w:val="24"/>
                <w:szCs w:val="24"/>
                <w:highlight w:val="none"/>
                <w:lang w:val="en-US" w:eastAsia="zh-CN"/>
              </w:rPr>
              <w:t>。</w:t>
            </w:r>
          </w:p>
          <w:p w14:paraId="4B8601E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废液压油：</w:t>
            </w:r>
          </w:p>
          <w:p w14:paraId="07078E9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sz w:val="24"/>
                <w:szCs w:val="24"/>
                <w:highlight w:val="none"/>
                <w:lang w:val="en-US" w:eastAsia="zh-CN"/>
              </w:rPr>
              <w:t>本项目等静压机使用的液压油每年更换1次，则废液压油的产生量9t/a，根据《国家危险废物名录》（</w:t>
            </w:r>
            <w:r>
              <w:rPr>
                <w:rFonts w:hint="default" w:ascii="Times New Roman" w:hAnsi="Times New Roman" w:eastAsia="宋体" w:cs="Times New Roman"/>
                <w:sz w:val="24"/>
                <w:szCs w:val="24"/>
                <w:highlight w:val="none"/>
                <w:lang w:val="en-US" w:eastAsia="zh-CN"/>
              </w:rPr>
              <w:t>202</w:t>
            </w:r>
            <w:r>
              <w:rPr>
                <w:rFonts w:hint="eastAsia" w:cs="Times New Roman"/>
                <w:sz w:val="24"/>
                <w:szCs w:val="24"/>
                <w:highlight w:val="none"/>
                <w:lang w:val="en-US" w:eastAsia="zh-CN"/>
              </w:rPr>
              <w:t>5</w:t>
            </w:r>
            <w:r>
              <w:rPr>
                <w:rFonts w:hint="eastAsia" w:ascii="Times New Roman" w:hAnsi="Times New Roman" w:eastAsia="宋体" w:cs="Times New Roman"/>
                <w:sz w:val="24"/>
                <w:szCs w:val="24"/>
                <w:highlight w:val="none"/>
                <w:lang w:val="en-US" w:eastAsia="zh-CN"/>
              </w:rPr>
              <w:t>年版），项目</w:t>
            </w:r>
            <w:r>
              <w:rPr>
                <w:rFonts w:hint="default" w:ascii="Times New Roman" w:hAnsi="Times New Roman" w:eastAsia="宋体" w:cs="Times New Roman"/>
                <w:sz w:val="24"/>
                <w:szCs w:val="24"/>
                <w:highlight w:val="none"/>
                <w:lang w:val="en-US" w:eastAsia="zh-CN"/>
              </w:rPr>
              <w:t>废</w:t>
            </w:r>
            <w:r>
              <w:rPr>
                <w:rFonts w:hint="eastAsia" w:ascii="Times New Roman" w:hAnsi="Times New Roman" w:eastAsia="宋体" w:cs="Times New Roman"/>
                <w:sz w:val="24"/>
                <w:szCs w:val="24"/>
                <w:highlight w:val="none"/>
                <w:lang w:val="en-US" w:eastAsia="zh-CN"/>
              </w:rPr>
              <w:t>液压油属于</w:t>
            </w:r>
            <w:r>
              <w:rPr>
                <w:rFonts w:hint="eastAsia"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HW</w:t>
            </w:r>
            <w:r>
              <w:rPr>
                <w:rFonts w:hint="eastAsia" w:ascii="Times New Roman" w:hAnsi="Times New Roman" w:eastAsia="宋体" w:cs="Times New Roman"/>
                <w:sz w:val="24"/>
                <w:szCs w:val="24"/>
                <w:highlight w:val="none"/>
                <w:lang w:val="en-US" w:eastAsia="zh-CN"/>
              </w:rPr>
              <w:t>08</w:t>
            </w:r>
            <w:r>
              <w:rPr>
                <w:rFonts w:hint="default" w:ascii="Times New Roman" w:hAnsi="Times New Roman" w:eastAsia="宋体" w:cs="Times New Roman"/>
                <w:sz w:val="24"/>
                <w:szCs w:val="24"/>
                <w:highlight w:val="none"/>
                <w:lang w:val="en-US" w:eastAsia="zh-CN"/>
              </w:rPr>
              <w:t xml:space="preserve"> 900-</w:t>
            </w:r>
            <w:r>
              <w:rPr>
                <w:rFonts w:hint="eastAsia" w:ascii="Times New Roman" w:hAnsi="Times New Roman" w:eastAsia="宋体" w:cs="Times New Roman"/>
                <w:sz w:val="24"/>
                <w:szCs w:val="24"/>
                <w:highlight w:val="none"/>
                <w:lang w:val="en-US" w:eastAsia="zh-CN"/>
              </w:rPr>
              <w:t>218</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08</w:t>
            </w:r>
            <w:r>
              <w:rPr>
                <w:rFonts w:ascii="Helvetica" w:hAnsi="Helvetica" w:eastAsia="Helvetica" w:cs="Helvetica"/>
                <w:i w:val="0"/>
                <w:iCs w:val="0"/>
                <w:caps w:val="0"/>
                <w:color w:val="FF0000"/>
                <w:spacing w:val="0"/>
                <w:sz w:val="24"/>
                <w:szCs w:val="24"/>
                <w:highlight w:val="none"/>
                <w:shd w:val="clear" w:color="auto" w:fill="FFFFFF"/>
              </w:rPr>
              <w:t>液压</w:t>
            </w:r>
            <w:r>
              <w:rPr>
                <w:rFonts w:hint="default" w:ascii="Helvetica" w:hAnsi="Helvetica" w:eastAsia="Helvetica" w:cs="Helvetica"/>
                <w:i w:val="0"/>
                <w:iCs w:val="0"/>
                <w:caps w:val="0"/>
                <w:color w:val="333333"/>
                <w:spacing w:val="0"/>
                <w:sz w:val="24"/>
                <w:szCs w:val="24"/>
                <w:highlight w:val="none"/>
                <w:shd w:val="clear" w:color="auto" w:fill="FFFFFF"/>
              </w:rPr>
              <w:t>设备维护、更换和拆解过程中产生的废</w:t>
            </w:r>
            <w:r>
              <w:rPr>
                <w:rFonts w:hint="default" w:ascii="Helvetica" w:hAnsi="Helvetica" w:eastAsia="Helvetica" w:cs="Helvetica"/>
                <w:i w:val="0"/>
                <w:iCs w:val="0"/>
                <w:caps w:val="0"/>
                <w:color w:val="FF0000"/>
                <w:spacing w:val="0"/>
                <w:sz w:val="24"/>
                <w:szCs w:val="24"/>
                <w:highlight w:val="none"/>
                <w:shd w:val="clear" w:color="auto" w:fill="FFFFFF"/>
              </w:rPr>
              <w:t>液压</w:t>
            </w:r>
            <w:r>
              <w:rPr>
                <w:rFonts w:hint="default" w:ascii="Helvetica" w:hAnsi="Helvetica" w:eastAsia="Helvetica" w:cs="Helvetica"/>
                <w:i w:val="0"/>
                <w:iCs w:val="0"/>
                <w:caps w:val="0"/>
                <w:color w:val="333333"/>
                <w:spacing w:val="0"/>
                <w:sz w:val="24"/>
                <w:szCs w:val="24"/>
                <w:highlight w:val="none"/>
                <w:shd w:val="clear" w:color="auto" w:fill="FFFFFF"/>
              </w:rPr>
              <w:t>油</w:t>
            </w:r>
            <w:r>
              <w:rPr>
                <w:rFonts w:hint="eastAsia" w:ascii="Helvetica" w:hAnsi="Helvetica" w:cs="Helvetica"/>
                <w:i w:val="0"/>
                <w:iCs w:val="0"/>
                <w:caps w:val="0"/>
                <w:color w:val="333333"/>
                <w:spacing w:val="0"/>
                <w:sz w:val="24"/>
                <w:szCs w:val="24"/>
                <w:highlight w:val="none"/>
                <w:shd w:val="clear" w:color="auto" w:fill="FFFFFF"/>
                <w:lang w:eastAsia="zh-CN"/>
              </w:rPr>
              <w:t>”</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废</w:t>
            </w:r>
            <w:r>
              <w:rPr>
                <w:rFonts w:hint="eastAsia" w:ascii="Times New Roman" w:hAnsi="Times New Roman" w:eastAsia="宋体" w:cs="Times New Roman"/>
                <w:sz w:val="24"/>
                <w:szCs w:val="24"/>
                <w:highlight w:val="none"/>
                <w:lang w:val="en-US" w:eastAsia="zh-CN"/>
              </w:rPr>
              <w:t>液压油</w:t>
            </w:r>
            <w:r>
              <w:rPr>
                <w:rFonts w:hint="default" w:ascii="Times New Roman" w:hAnsi="Times New Roman" w:eastAsia="宋体" w:cs="Times New Roman"/>
                <w:sz w:val="24"/>
                <w:szCs w:val="24"/>
                <w:highlight w:val="none"/>
                <w:lang w:val="en-US" w:eastAsia="zh-CN"/>
              </w:rPr>
              <w:t>采用铁桶盛装暂存于厂区现有的</w:t>
            </w:r>
            <w:r>
              <w:rPr>
                <w:rFonts w:hint="eastAsia" w:ascii="Times New Roman" w:hAnsi="Times New Roman" w:eastAsia="宋体" w:cs="Times New Roman"/>
                <w:sz w:val="24"/>
                <w:szCs w:val="24"/>
                <w:highlight w:val="none"/>
                <w:lang w:val="en-US" w:eastAsia="zh-CN"/>
              </w:rPr>
              <w:t>危废贮存库</w:t>
            </w:r>
            <w:r>
              <w:rPr>
                <w:rFonts w:hint="default" w:ascii="Times New Roman" w:hAnsi="Times New Roman" w:eastAsia="宋体" w:cs="Times New Roman"/>
                <w:sz w:val="24"/>
                <w:szCs w:val="24"/>
                <w:highlight w:val="none"/>
                <w:lang w:val="en-US" w:eastAsia="zh-CN"/>
              </w:rPr>
              <w:t>内，</w:t>
            </w:r>
            <w:r>
              <w:rPr>
                <w:rFonts w:hint="eastAsia" w:ascii="Times New Roman" w:hAnsi="Times New Roman" w:eastAsia="宋体" w:cs="Times New Roman"/>
                <w:sz w:val="24"/>
                <w:szCs w:val="24"/>
                <w:highlight w:val="none"/>
                <w:lang w:val="en-US" w:eastAsia="zh-CN"/>
              </w:rPr>
              <w:t>委托有相关资质的单位进行处置</w:t>
            </w:r>
            <w:r>
              <w:rPr>
                <w:rFonts w:hint="default" w:ascii="Times New Roman" w:hAnsi="Times New Roman" w:eastAsia="宋体" w:cs="Times New Roman"/>
                <w:sz w:val="24"/>
                <w:szCs w:val="24"/>
                <w:highlight w:val="none"/>
                <w:lang w:val="en-US" w:eastAsia="zh-CN"/>
              </w:rPr>
              <w:t>。</w:t>
            </w:r>
          </w:p>
          <w:p w14:paraId="6C999110">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b/>
                <w:bCs/>
                <w:color w:val="auto"/>
                <w:kern w:val="2"/>
                <w:sz w:val="24"/>
                <w:szCs w:val="24"/>
                <w:highlight w:val="none"/>
                <w:lang w:val="en-US" w:eastAsia="zh-CN" w:bidi="ar-SA"/>
              </w:rPr>
              <w:t>环评要求：</w:t>
            </w:r>
          </w:p>
          <w:p w14:paraId="3D30FF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A</w:t>
            </w:r>
            <w:r>
              <w:rPr>
                <w:rFonts w:hint="eastAsia" w:ascii="Times New Roman" w:hAnsi="Times New Roman" w:eastAsia="宋体" w:cs="Times New Roman"/>
                <w:sz w:val="24"/>
                <w:szCs w:val="24"/>
                <w:highlight w:val="none"/>
                <w:lang w:val="en-US" w:eastAsia="zh-CN"/>
              </w:rPr>
              <w:t>：设置危废贮存库（1间，50</w:t>
            </w:r>
            <w:r>
              <w:rPr>
                <w:rFonts w:hint="default" w:ascii="Times New Roman" w:hAnsi="Times New Roman" w:eastAsia="宋体" w:cs="Times New Roman"/>
                <w:sz w:val="24"/>
                <w:szCs w:val="24"/>
                <w:highlight w:val="none"/>
                <w:lang w:val="en-US" w:eastAsia="zh-CN"/>
              </w:rPr>
              <w:t>m</w:t>
            </w:r>
            <w:r>
              <w:rPr>
                <w:rFonts w:hint="default" w:ascii="Times New Roman" w:hAnsi="Times New Roman" w:eastAsia="宋体" w:cs="Times New Roman"/>
                <w:sz w:val="24"/>
                <w:szCs w:val="24"/>
                <w:highlight w:val="none"/>
                <w:vertAlign w:val="superscript"/>
                <w:lang w:val="en-US" w:eastAsia="zh-CN"/>
              </w:rPr>
              <w:t>2</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间，砖混结构），危废贮存库地面及四周</w:t>
            </w:r>
            <w:r>
              <w:rPr>
                <w:rFonts w:hint="default" w:ascii="Times New Roman" w:hAnsi="Times New Roman" w:eastAsia="宋体" w:cs="Times New Roman"/>
                <w:sz w:val="24"/>
                <w:szCs w:val="24"/>
                <w:highlight w:val="none"/>
                <w:lang w:val="en-US" w:eastAsia="zh-CN"/>
              </w:rPr>
              <w:t>1m</w:t>
            </w:r>
            <w:r>
              <w:rPr>
                <w:rFonts w:hint="eastAsia" w:ascii="Times New Roman" w:hAnsi="Times New Roman" w:eastAsia="宋体" w:cs="Times New Roman"/>
                <w:sz w:val="24"/>
                <w:szCs w:val="24"/>
                <w:highlight w:val="none"/>
                <w:lang w:val="en-US" w:eastAsia="zh-CN"/>
              </w:rPr>
              <w:t>高的墙裙必须做防渗处理（地面防渗系数</w:t>
            </w:r>
            <w:r>
              <w:rPr>
                <w:rFonts w:hint="default" w:ascii="Times New Roman" w:hAnsi="Times New Roman" w:eastAsia="宋体" w:cs="Times New Roman"/>
                <w:sz w:val="24"/>
                <w:szCs w:val="24"/>
                <w:highlight w:val="none"/>
                <w:lang w:val="en-US" w:eastAsia="zh-CN"/>
              </w:rPr>
              <w:t>≤10</w:t>
            </w:r>
            <w:r>
              <w:rPr>
                <w:rFonts w:hint="default" w:ascii="Times New Roman" w:hAnsi="Times New Roman" w:eastAsia="宋体" w:cs="Times New Roman"/>
                <w:sz w:val="24"/>
                <w:szCs w:val="24"/>
                <w:highlight w:val="none"/>
                <w:vertAlign w:val="superscript"/>
                <w:lang w:val="en-US" w:eastAsia="zh-CN"/>
              </w:rPr>
              <w:t>-10</w:t>
            </w:r>
            <w:r>
              <w:rPr>
                <w:rFonts w:hint="default" w:ascii="Times New Roman" w:hAnsi="Times New Roman" w:eastAsia="宋体" w:cs="Times New Roman"/>
                <w:sz w:val="24"/>
                <w:szCs w:val="24"/>
                <w:highlight w:val="none"/>
                <w:lang w:val="en-US" w:eastAsia="zh-CN"/>
              </w:rPr>
              <w:t>cm/s</w:t>
            </w:r>
            <w:r>
              <w:rPr>
                <w:rFonts w:hint="eastAsia" w:ascii="Times New Roman" w:hAnsi="Times New Roman" w:eastAsia="宋体" w:cs="Times New Roman"/>
                <w:sz w:val="24"/>
                <w:szCs w:val="24"/>
                <w:highlight w:val="none"/>
                <w:lang w:val="en-US" w:eastAsia="zh-CN"/>
              </w:rPr>
              <w:t>），修筑有效容积不小于储存容积的围堰。危废贮存库、容器和包装物应按《危险废物识别标志设置技术规范》（HJ1276-2022）要求设置危险废物贮存设施或场所标志、危险废物贮存分区标志和危险废物标签等危险废物识别标志。</w:t>
            </w:r>
          </w:p>
          <w:p w14:paraId="6BFE580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B</w:t>
            </w:r>
            <w:r>
              <w:rPr>
                <w:rFonts w:hint="eastAsia" w:ascii="Times New Roman" w:hAnsi="Times New Roman" w:eastAsia="宋体" w:cs="Times New Roman"/>
                <w:sz w:val="24"/>
                <w:szCs w:val="24"/>
                <w:highlight w:val="none"/>
                <w:lang w:val="en-US" w:eastAsia="zh-CN"/>
              </w:rPr>
              <w:t>：危险废物收集、贮存、转运、运输均应按照</w:t>
            </w:r>
            <w:r>
              <w:rPr>
                <w:rFonts w:hint="eastAsia" w:ascii="Times New Roman" w:hAnsi="Times New Roman" w:eastAsia="宋体" w:cs="Times New Roman"/>
                <w:color w:val="auto"/>
                <w:kern w:val="2"/>
                <w:sz w:val="24"/>
                <w:szCs w:val="24"/>
                <w:highlight w:val="none"/>
                <w:lang w:val="en-US" w:eastAsia="zh-CN" w:bidi="ar-SA"/>
              </w:rPr>
              <w:t>《危险废物贮存污染控制标准》（</w:t>
            </w:r>
            <w:r>
              <w:rPr>
                <w:rFonts w:hint="default" w:ascii="Times New Roman" w:hAnsi="Times New Roman" w:eastAsia="宋体" w:cs="Times New Roman"/>
                <w:color w:val="auto"/>
                <w:kern w:val="2"/>
                <w:sz w:val="24"/>
                <w:szCs w:val="24"/>
                <w:highlight w:val="none"/>
                <w:lang w:val="en-US" w:eastAsia="zh-CN" w:bidi="ar-SA"/>
              </w:rPr>
              <w:t>GB18597-20</w:t>
            </w:r>
            <w:r>
              <w:rPr>
                <w:rFonts w:hint="eastAsia" w:ascii="Times New Roman" w:hAnsi="Times New Roman" w:eastAsia="宋体" w:cs="Times New Roman"/>
                <w:color w:val="auto"/>
                <w:kern w:val="2"/>
                <w:sz w:val="24"/>
                <w:szCs w:val="24"/>
                <w:highlight w:val="none"/>
                <w:lang w:val="en-US" w:eastAsia="zh-CN" w:bidi="ar-SA"/>
              </w:rPr>
              <w:t>23）、</w:t>
            </w:r>
            <w:r>
              <w:rPr>
                <w:rFonts w:hint="eastAsia" w:ascii="Times New Roman" w:hAnsi="Times New Roman" w:eastAsia="宋体" w:cs="Times New Roman"/>
                <w:sz w:val="24"/>
                <w:szCs w:val="24"/>
                <w:highlight w:val="none"/>
                <w:lang w:val="en-US" w:eastAsia="zh-CN"/>
              </w:rPr>
              <w:t>《危险废物收集、贮存、运输技术规范》（</w:t>
            </w:r>
            <w:r>
              <w:rPr>
                <w:rFonts w:hint="default" w:ascii="Times New Roman" w:hAnsi="Times New Roman" w:eastAsia="宋体" w:cs="Times New Roman"/>
                <w:sz w:val="24"/>
                <w:szCs w:val="24"/>
                <w:highlight w:val="none"/>
                <w:lang w:val="en-US" w:eastAsia="zh-CN"/>
              </w:rPr>
              <w:t>HJ2025-2012</w:t>
            </w:r>
            <w:r>
              <w:rPr>
                <w:rFonts w:hint="eastAsia" w:ascii="Times New Roman" w:hAnsi="Times New Roman" w:eastAsia="宋体" w:cs="Times New Roman"/>
                <w:sz w:val="24"/>
                <w:szCs w:val="24"/>
                <w:highlight w:val="none"/>
                <w:lang w:val="en-US" w:eastAsia="zh-CN"/>
              </w:rPr>
              <w:t>）的相关要求进行，例如：暂存间外明显处设置危险废物警示标识；用防腐容器对各类危险废物收集后暂存，定期送资质单位处置，并建立健全危险废物出入库登记台账。</w:t>
            </w:r>
          </w:p>
          <w:p w14:paraId="38A6C47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C</w:t>
            </w:r>
            <w:r>
              <w:rPr>
                <w:rFonts w:hint="eastAsia" w:ascii="Times New Roman" w:hAnsi="Times New Roman" w:eastAsia="宋体" w:cs="Times New Roman"/>
                <w:sz w:val="24"/>
                <w:szCs w:val="24"/>
                <w:highlight w:val="none"/>
                <w:lang w:val="en-US" w:eastAsia="zh-CN"/>
              </w:rPr>
              <w:t>：危废的运输应按照国家相关规定进行落实，转移过程严格执行《危险废物转移联单制度》。项目危险废物收集暂存后委托有资质单位处置，本项目只负责危险废物的收集，危险废物运输车辆由委托处置单位提供。项目在危险废物的运输过程中严格按照国家相关规定进行落实，转移过程严格执行危险废物转移联单制度。</w:t>
            </w:r>
          </w:p>
          <w:p w14:paraId="059B455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w:t>
            </w:r>
            <w:r>
              <w:rPr>
                <w:rFonts w:hint="default" w:ascii="Times New Roman" w:hAnsi="Times New Roman" w:eastAsia="宋体" w:cs="Times New Roman"/>
                <w:b/>
                <w:bCs/>
                <w:color w:val="auto"/>
                <w:kern w:val="2"/>
                <w:sz w:val="24"/>
                <w:szCs w:val="24"/>
                <w:highlight w:val="none"/>
                <w:lang w:val="en-US" w:eastAsia="zh-CN" w:bidi="ar-SA"/>
              </w:rPr>
              <w:t>2</w:t>
            </w:r>
            <w:r>
              <w:rPr>
                <w:rFonts w:hint="eastAsia" w:ascii="Times New Roman" w:hAnsi="Times New Roman" w:eastAsia="宋体" w:cs="Times New Roman"/>
                <w:b/>
                <w:bCs/>
                <w:color w:val="auto"/>
                <w:kern w:val="2"/>
                <w:sz w:val="24"/>
                <w:szCs w:val="24"/>
                <w:highlight w:val="none"/>
                <w:lang w:val="en-US" w:eastAsia="zh-CN" w:bidi="ar-SA"/>
              </w:rPr>
              <w:t>）一般工业固废</w:t>
            </w:r>
          </w:p>
          <w:p w14:paraId="18D15809">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废边角料：</w:t>
            </w:r>
          </w:p>
          <w:p w14:paraId="42333A7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本项目在机加工过程中产生的边角料约为</w:t>
            </w:r>
            <w:r>
              <w:rPr>
                <w:rFonts w:hint="eastAsia" w:cs="Times New Roman"/>
                <w:sz w:val="24"/>
                <w:szCs w:val="24"/>
                <w:highlight w:val="none"/>
                <w:lang w:val="en-US" w:eastAsia="zh-CN"/>
              </w:rPr>
              <w:t>14.1</w:t>
            </w:r>
            <w:r>
              <w:rPr>
                <w:rFonts w:hint="eastAsia" w:ascii="Times New Roman" w:hAnsi="Times New Roman" w:eastAsia="宋体" w:cs="Times New Roman"/>
                <w:sz w:val="24"/>
                <w:szCs w:val="24"/>
                <w:highlight w:val="none"/>
                <w:lang w:val="en-US" w:eastAsia="zh-CN"/>
              </w:rPr>
              <w:t>t/a，</w:t>
            </w:r>
            <w:r>
              <w:rPr>
                <w:rFonts w:hint="eastAsia" w:cs="Times New Roman"/>
                <w:sz w:val="24"/>
                <w:szCs w:val="24"/>
                <w:highlight w:val="none"/>
                <w:lang w:val="en-US" w:eastAsia="zh-CN"/>
              </w:rPr>
              <w:t>抛丸除锈工序产生的废氧化铁屑约为3.1t/a，</w:t>
            </w:r>
            <w:r>
              <w:rPr>
                <w:rFonts w:hint="eastAsia" w:ascii="Times New Roman" w:hAnsi="Times New Roman" w:eastAsia="宋体" w:cs="Times New Roman"/>
                <w:sz w:val="24"/>
                <w:szCs w:val="24"/>
                <w:highlight w:val="none"/>
                <w:lang w:val="en-US" w:eastAsia="zh-CN"/>
              </w:rPr>
              <w:t>集中收集后由原料供货厂家定期进行回收再生产原料。</w:t>
            </w:r>
          </w:p>
          <w:p w14:paraId="0C53B72A">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磨泥：</w:t>
            </w:r>
          </w:p>
          <w:p w14:paraId="79521D9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本项目半成品磁性材料</w:t>
            </w:r>
            <w:r>
              <w:rPr>
                <w:rFonts w:hint="eastAsia" w:ascii="Times New Roman" w:hAnsi="Times New Roman" w:eastAsia="宋体" w:cs="Times New Roman"/>
                <w:color w:val="auto"/>
                <w:kern w:val="2"/>
                <w:sz w:val="24"/>
                <w:szCs w:val="24"/>
                <w:highlight w:val="none"/>
                <w:lang w:val="en-US" w:eastAsia="zh-CN" w:bidi="ar-SA"/>
              </w:rPr>
              <w:t>切割和磨加工</w:t>
            </w:r>
            <w:r>
              <w:rPr>
                <w:rFonts w:hint="eastAsia" w:ascii="Times New Roman" w:hAnsi="Times New Roman" w:eastAsia="宋体" w:cs="Times New Roman"/>
                <w:sz w:val="24"/>
                <w:szCs w:val="24"/>
                <w:highlight w:val="none"/>
                <w:lang w:val="en-US" w:eastAsia="zh-CN"/>
              </w:rPr>
              <w:t>采用水冷却润滑，产生的废水经配套沉淀槽沉淀后，冷却水循环使用，下层沉淀的磨泥外卖给原料厂家重新提炼金属。</w:t>
            </w:r>
          </w:p>
          <w:p w14:paraId="006FD7C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本项目冷却水中沉淀的黑褐色泥状物质构成的磨泥，以钕、铁为主体元素且稀土氧化物总量（REO）为15</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25%，经焙烧、去杂加工后，可直接用作生产原料，根据《钕铁硼生产加工回收料》（GB/T23588-2020）标准表1，可作为一般固废与磁体材料一同外卖给原料厂家重新提炼金属。</w:t>
            </w:r>
          </w:p>
          <w:p w14:paraId="044B9DD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综上，本项目磨泥经压滤脱水后产生量为2.5t/a，集中收集后水封桶装保存，外卖给原料厂家重新提炼金属。</w:t>
            </w:r>
          </w:p>
          <w:p w14:paraId="412E071B">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废包装材料：</w:t>
            </w:r>
          </w:p>
          <w:p w14:paraId="11AA607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color w:val="auto"/>
                <w:kern w:val="2"/>
                <w:sz w:val="24"/>
                <w:szCs w:val="24"/>
                <w:highlight w:val="none"/>
                <w:lang w:val="en-US" w:eastAsia="zh-CN" w:bidi="ar-SA"/>
              </w:rPr>
              <w:t>本项目磁性材料等使用过程会产生废包装材料，根据建设单位提供的材料，本项目废包装材料产生量约为1t/a。</w:t>
            </w:r>
          </w:p>
          <w:p w14:paraId="1A37A2D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废布袋：</w:t>
            </w:r>
          </w:p>
          <w:p w14:paraId="57F0B5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本项目原料处理系统袋式除尘器废布袋的产生量0.1t/a，由布袋厂家定期回收处理。</w:t>
            </w:r>
          </w:p>
          <w:p w14:paraId="20F515F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（3）生活垃圾</w:t>
            </w:r>
          </w:p>
          <w:p w14:paraId="1BE84FA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本项目共有员工70人，生活垃圾产生量按0.5</w:t>
            </w:r>
            <w:r>
              <w:rPr>
                <w:rFonts w:hint="default" w:ascii="Times New Roman" w:hAnsi="Times New Roman" w:eastAsia="宋体" w:cs="Times New Roman"/>
                <w:sz w:val="24"/>
                <w:szCs w:val="24"/>
                <w:highlight w:val="none"/>
                <w:lang w:val="en-US" w:eastAsia="zh-CN"/>
              </w:rPr>
              <w:t>kg/</w:t>
            </w:r>
            <w:r>
              <w:rPr>
                <w:rFonts w:hint="eastAsia" w:ascii="Times New Roman" w:hAnsi="Times New Roman" w:eastAsia="宋体" w:cs="Times New Roman"/>
                <w:sz w:val="24"/>
                <w:szCs w:val="24"/>
                <w:highlight w:val="none"/>
                <w:lang w:val="en-US" w:eastAsia="zh-CN"/>
              </w:rPr>
              <w:t>人</w:t>
            </w:r>
            <w:r>
              <w:rPr>
                <w:rFonts w:hint="default" w:ascii="Times New Roman" w:hAnsi="Times New Roman" w:eastAsia="宋体" w:cs="Times New Roman"/>
                <w:sz w:val="24"/>
                <w:szCs w:val="24"/>
                <w:highlight w:val="none"/>
                <w:lang w:val="en-US" w:eastAsia="zh-CN"/>
              </w:rPr>
              <w:t>·d</w:t>
            </w:r>
            <w:r>
              <w:rPr>
                <w:rFonts w:hint="eastAsia" w:ascii="Times New Roman" w:hAnsi="Times New Roman" w:eastAsia="宋体" w:cs="Times New Roman"/>
                <w:sz w:val="24"/>
                <w:szCs w:val="24"/>
                <w:highlight w:val="none"/>
                <w:lang w:val="en-US" w:eastAsia="zh-CN"/>
              </w:rPr>
              <w:t>计，则生活垃圾产生量为10.5</w:t>
            </w:r>
            <w:r>
              <w:rPr>
                <w:rFonts w:hint="default" w:ascii="Times New Roman" w:hAnsi="Times New Roman" w:eastAsia="宋体" w:cs="Times New Roman"/>
                <w:sz w:val="24"/>
                <w:szCs w:val="24"/>
                <w:highlight w:val="none"/>
                <w:lang w:val="en-US" w:eastAsia="zh-CN"/>
              </w:rPr>
              <w:t>t/a</w:t>
            </w:r>
            <w:r>
              <w:rPr>
                <w:rFonts w:hint="eastAsia" w:ascii="Times New Roman" w:hAnsi="Times New Roman" w:eastAsia="宋体" w:cs="Times New Roman"/>
                <w:sz w:val="24"/>
                <w:szCs w:val="24"/>
                <w:highlight w:val="none"/>
                <w:lang w:val="en-US" w:eastAsia="zh-CN"/>
              </w:rPr>
              <w:t>。项目产生的生活垃圾全部收集后委托环卫部门统一清运处置。</w:t>
            </w:r>
          </w:p>
          <w:p w14:paraId="6825DE8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sz w:val="24"/>
                <w:szCs w:val="24"/>
                <w:highlight w:val="none"/>
                <w:lang w:val="en-US" w:eastAsia="zh-CN"/>
              </w:rPr>
              <w:t>综上所述，采取相应的治理措施后，项目各类固废均可得到有效</w:t>
            </w:r>
            <w:r>
              <w:rPr>
                <w:rFonts w:hint="eastAsia" w:cs="Times New Roman"/>
                <w:sz w:val="24"/>
                <w:szCs w:val="24"/>
                <w:highlight w:val="none"/>
                <w:lang w:val="en-US" w:eastAsia="zh-CN"/>
              </w:rPr>
              <w:t>地</w:t>
            </w:r>
            <w:r>
              <w:rPr>
                <w:rFonts w:hint="eastAsia" w:ascii="Times New Roman" w:hAnsi="Times New Roman" w:eastAsia="宋体" w:cs="Times New Roman"/>
                <w:sz w:val="24"/>
                <w:szCs w:val="24"/>
                <w:highlight w:val="none"/>
                <w:lang w:val="en-US" w:eastAsia="zh-CN"/>
              </w:rPr>
              <w:t>处理及处置。</w:t>
            </w:r>
          </w:p>
          <w:p w14:paraId="333DD7DD">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五、地下水、土壤污染防治</w:t>
            </w:r>
          </w:p>
          <w:p w14:paraId="1FA0CCC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本项目用水利用场地现有管网，不取用地下水。本项目位于全封闭车间内，不会对雨水产生污染。项目不向地下注水和排水，不会对地下水水位造成影响。</w:t>
            </w:r>
          </w:p>
          <w:p w14:paraId="63C149A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项目危废贮存库存在污染地下水和土壤的可能性。污染物进入地下水的途径主要是废油类物质通过渗透进入包气带，并在物理、化学和生物作用下经吸附、转化、迁移和分解后输入地下水，其主要污染因子为石油类。项目对土壤的影响途径为垂直下渗，垂直下渗主要为废矿物油泄漏后通过渗漏进入土壤污染土壤环境。废矿物油渗漏造成地下水污染不易被发现，对可能发生的渗漏必须坚持预防为主的方针，采取相应的地下水污染防治措施。</w:t>
            </w:r>
          </w:p>
          <w:p w14:paraId="192C465B">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w:t>
            </w:r>
            <w:r>
              <w:rPr>
                <w:rFonts w:hint="default" w:ascii="Times New Roman" w:hAnsi="Times New Roman" w:eastAsia="宋体" w:cs="Times New Roman"/>
                <w:b/>
                <w:bCs/>
                <w:color w:val="auto"/>
                <w:kern w:val="2"/>
                <w:sz w:val="24"/>
                <w:szCs w:val="24"/>
                <w:highlight w:val="none"/>
                <w:lang w:val="en-US" w:eastAsia="zh-CN" w:bidi="ar-SA"/>
              </w:rPr>
              <w:t>1</w:t>
            </w:r>
            <w:r>
              <w:rPr>
                <w:rFonts w:hint="eastAsia" w:ascii="Times New Roman" w:hAnsi="Times New Roman" w:eastAsia="宋体" w:cs="Times New Roman"/>
                <w:b/>
                <w:bCs/>
                <w:color w:val="auto"/>
                <w:kern w:val="2"/>
                <w:sz w:val="24"/>
                <w:szCs w:val="24"/>
                <w:highlight w:val="none"/>
                <w:lang w:val="en-US" w:eastAsia="zh-CN" w:bidi="ar-SA"/>
              </w:rPr>
              <w:t>）防止地下水和土壤污染控制措施的原则</w:t>
            </w:r>
          </w:p>
          <w:p w14:paraId="6D1C4CA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地下水污染防治措施应坚持</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源头控制、末端防治、污染监控、应急响应相结合</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的原则，</w:t>
            </w:r>
            <w:r>
              <w:rPr>
                <w:rFonts w:hint="eastAsia" w:cs="Times New Roman"/>
                <w:sz w:val="24"/>
                <w:szCs w:val="24"/>
                <w:highlight w:val="none"/>
                <w:lang w:val="en-US" w:eastAsia="zh-CN"/>
              </w:rPr>
              <w:t>及时</w:t>
            </w:r>
            <w:r>
              <w:rPr>
                <w:rFonts w:hint="eastAsia" w:ascii="Times New Roman" w:hAnsi="Times New Roman" w:eastAsia="宋体" w:cs="Times New Roman"/>
                <w:sz w:val="24"/>
                <w:szCs w:val="24"/>
                <w:highlight w:val="none"/>
                <w:lang w:val="en-US" w:eastAsia="zh-CN"/>
              </w:rPr>
              <w:t>采取主动控制和被动控制相结合的措施。</w:t>
            </w:r>
          </w:p>
          <w:p w14:paraId="229BF4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①主动控制即从源头控制措施，主要包括在工艺、设备、污水储存及处理构筑物采取相应措施，防止和降低污染物跑、冒、滴、漏，将污染物泄漏的环境风险事故降到最低程度；</w:t>
            </w:r>
          </w:p>
          <w:p w14:paraId="58BACAF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②被动控制即末端控制措施，主要包括项目区内污染区地面的防渗措施和泄漏、渗漏污染物收集措施，即在污染区地面进行防渗处理，防止跑、冒、滴、漏的污染物渗入地下；</w:t>
            </w:r>
          </w:p>
          <w:p w14:paraId="4280D0F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③污染监控措施，包括定期巡查、检测，定期对项目区下游水井水质进行</w:t>
            </w:r>
            <w:r>
              <w:rPr>
                <w:rFonts w:hint="eastAsia" w:cs="Times New Roman"/>
                <w:sz w:val="24"/>
                <w:szCs w:val="24"/>
                <w:highlight w:val="none"/>
                <w:lang w:val="en-US" w:eastAsia="zh-CN"/>
              </w:rPr>
              <w:t>监测</w:t>
            </w:r>
            <w:r>
              <w:rPr>
                <w:rFonts w:hint="eastAsia" w:ascii="Times New Roman" w:hAnsi="Times New Roman" w:eastAsia="宋体" w:cs="Times New Roman"/>
                <w:sz w:val="24"/>
                <w:szCs w:val="24"/>
                <w:highlight w:val="none"/>
                <w:lang w:val="en-US" w:eastAsia="zh-CN"/>
              </w:rPr>
              <w:t>，及时发现污染、及时控制；</w:t>
            </w:r>
          </w:p>
          <w:p w14:paraId="12BFAE7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④应急响应措施，包括一旦发现地下水污染事故，立即启动应急预案、采取应急措施控制地下水污染，并使污染得到治理。</w:t>
            </w:r>
          </w:p>
          <w:p w14:paraId="063F2EA3">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w:t>
            </w:r>
            <w:r>
              <w:rPr>
                <w:rFonts w:hint="default" w:ascii="Times New Roman" w:hAnsi="Times New Roman" w:eastAsia="宋体" w:cs="Times New Roman"/>
                <w:b/>
                <w:bCs/>
                <w:color w:val="auto"/>
                <w:kern w:val="2"/>
                <w:sz w:val="24"/>
                <w:szCs w:val="24"/>
                <w:highlight w:val="none"/>
                <w:lang w:val="en-US" w:eastAsia="zh-CN" w:bidi="ar-SA"/>
              </w:rPr>
              <w:t>2</w:t>
            </w:r>
            <w:r>
              <w:rPr>
                <w:rFonts w:hint="eastAsia" w:ascii="Times New Roman" w:hAnsi="Times New Roman" w:eastAsia="宋体" w:cs="Times New Roman"/>
                <w:b/>
                <w:bCs/>
                <w:color w:val="auto"/>
                <w:kern w:val="2"/>
                <w:sz w:val="24"/>
                <w:szCs w:val="24"/>
                <w:highlight w:val="none"/>
                <w:lang w:val="en-US" w:eastAsia="zh-CN" w:bidi="ar-SA"/>
              </w:rPr>
              <w:t>）项目地下水和土壤污染防治措施</w:t>
            </w:r>
          </w:p>
          <w:p w14:paraId="272AFF8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为防治项目地下水和土壤污染，项目拟采取分区防渗措施，具体如下：</w:t>
            </w:r>
          </w:p>
          <w:p w14:paraId="03F43D9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①重点防渗区</w:t>
            </w:r>
          </w:p>
          <w:p w14:paraId="02BC06C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项目重点防渗区为危废贮存库。</w:t>
            </w:r>
          </w:p>
          <w:p w14:paraId="0F412AA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本次环评要求，项目危废贮存库铺设</w:t>
            </w:r>
            <w:r>
              <w:rPr>
                <w:rFonts w:hint="default" w:ascii="Times New Roman" w:hAnsi="Times New Roman" w:eastAsia="宋体" w:cs="Times New Roman"/>
                <w:sz w:val="24"/>
                <w:szCs w:val="24"/>
                <w:highlight w:val="none"/>
                <w:lang w:val="en-US" w:eastAsia="zh-CN"/>
              </w:rPr>
              <w:t>2mm</w:t>
            </w:r>
            <w:r>
              <w:rPr>
                <w:rFonts w:hint="eastAsia" w:ascii="Times New Roman" w:hAnsi="Times New Roman" w:eastAsia="宋体" w:cs="Times New Roman"/>
                <w:sz w:val="24"/>
                <w:szCs w:val="24"/>
                <w:highlight w:val="none"/>
                <w:lang w:val="en-US" w:eastAsia="zh-CN"/>
              </w:rPr>
              <w:t>厚高密度聚乙烯（</w:t>
            </w:r>
            <w:r>
              <w:rPr>
                <w:rFonts w:hint="default" w:ascii="Times New Roman" w:hAnsi="Times New Roman" w:eastAsia="宋体" w:cs="Times New Roman"/>
                <w:sz w:val="24"/>
                <w:szCs w:val="24"/>
                <w:highlight w:val="none"/>
                <w:lang w:val="en-US" w:eastAsia="zh-CN"/>
              </w:rPr>
              <w:t>HDPE</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+10cm</w:t>
            </w:r>
            <w:r>
              <w:rPr>
                <w:rFonts w:hint="eastAsia" w:ascii="Times New Roman" w:hAnsi="Times New Roman" w:eastAsia="宋体" w:cs="Times New Roman"/>
                <w:sz w:val="24"/>
                <w:szCs w:val="24"/>
                <w:highlight w:val="none"/>
                <w:lang w:val="en-US" w:eastAsia="zh-CN"/>
              </w:rPr>
              <w:t>防渗混凝土</w:t>
            </w:r>
            <w:r>
              <w:rPr>
                <w:rFonts w:hint="default" w:ascii="Times New Roman" w:hAnsi="Times New Roman" w:eastAsia="宋体" w:cs="Times New Roman"/>
                <w:sz w:val="24"/>
                <w:szCs w:val="24"/>
                <w:highlight w:val="none"/>
                <w:lang w:val="en-US" w:eastAsia="zh-CN"/>
              </w:rPr>
              <w:t>+5~7mm</w:t>
            </w:r>
            <w:r>
              <w:rPr>
                <w:rFonts w:hint="eastAsia" w:ascii="Times New Roman" w:hAnsi="Times New Roman" w:eastAsia="宋体" w:cs="Times New Roman"/>
                <w:sz w:val="24"/>
                <w:szCs w:val="24"/>
                <w:highlight w:val="none"/>
                <w:lang w:val="en-US" w:eastAsia="zh-CN"/>
              </w:rPr>
              <w:t>厚防油渗耐磨涂料，墙裙采用</w:t>
            </w:r>
            <w:r>
              <w:rPr>
                <w:rFonts w:hint="default" w:ascii="Times New Roman" w:hAnsi="Times New Roman" w:eastAsia="宋体" w:cs="Times New Roman"/>
                <w:sz w:val="24"/>
                <w:szCs w:val="24"/>
                <w:highlight w:val="none"/>
                <w:lang w:val="en-US" w:eastAsia="zh-CN"/>
              </w:rPr>
              <w:t>2mm</w:t>
            </w:r>
            <w:r>
              <w:rPr>
                <w:rFonts w:hint="eastAsia" w:ascii="Times New Roman" w:hAnsi="Times New Roman" w:eastAsia="宋体" w:cs="Times New Roman"/>
                <w:sz w:val="24"/>
                <w:szCs w:val="24"/>
                <w:highlight w:val="none"/>
                <w:lang w:val="en-US" w:eastAsia="zh-CN"/>
              </w:rPr>
              <w:t>厚高密度聚乙烯（</w:t>
            </w:r>
            <w:r>
              <w:rPr>
                <w:rFonts w:hint="default" w:ascii="Times New Roman" w:hAnsi="Times New Roman" w:eastAsia="宋体" w:cs="Times New Roman"/>
                <w:sz w:val="24"/>
                <w:szCs w:val="24"/>
                <w:highlight w:val="none"/>
                <w:lang w:val="en-US" w:eastAsia="zh-CN"/>
              </w:rPr>
              <w:t>HDPE</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防渗混凝土进行防渗，渗透系数</w:t>
            </w:r>
            <w:r>
              <w:rPr>
                <w:rFonts w:hint="default" w:ascii="Times New Roman" w:hAnsi="Times New Roman" w:eastAsia="宋体" w:cs="Times New Roman"/>
                <w:sz w:val="24"/>
                <w:szCs w:val="24"/>
                <w:highlight w:val="none"/>
                <w:lang w:val="en-US" w:eastAsia="zh-CN"/>
              </w:rPr>
              <w:t>≤10</w:t>
            </w:r>
            <w:r>
              <w:rPr>
                <w:rFonts w:hint="default" w:ascii="Times New Roman" w:hAnsi="Times New Roman" w:eastAsia="宋体" w:cs="Times New Roman"/>
                <w:sz w:val="24"/>
                <w:szCs w:val="24"/>
                <w:highlight w:val="none"/>
                <w:vertAlign w:val="superscript"/>
                <w:lang w:val="en-US" w:eastAsia="zh-CN"/>
              </w:rPr>
              <w:t>-10</w:t>
            </w:r>
            <w:r>
              <w:rPr>
                <w:rFonts w:hint="default" w:ascii="Times New Roman" w:hAnsi="Times New Roman" w:eastAsia="宋体" w:cs="Times New Roman"/>
                <w:sz w:val="24"/>
                <w:szCs w:val="24"/>
                <w:highlight w:val="none"/>
                <w:lang w:val="en-US" w:eastAsia="zh-CN"/>
              </w:rPr>
              <w:t>cm/s</w:t>
            </w:r>
            <w:r>
              <w:rPr>
                <w:rFonts w:hint="eastAsia" w:ascii="Times New Roman" w:hAnsi="Times New Roman" w:eastAsia="宋体" w:cs="Times New Roman"/>
                <w:sz w:val="24"/>
                <w:szCs w:val="24"/>
                <w:highlight w:val="none"/>
                <w:lang w:val="en-US" w:eastAsia="zh-CN"/>
              </w:rPr>
              <w:t>。</w:t>
            </w:r>
          </w:p>
          <w:p w14:paraId="1071FC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②一般防渗区</w:t>
            </w:r>
          </w:p>
          <w:p w14:paraId="2D68B68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项目一般防渗区为生产区，基础防渗，应达到等效黏土防渗层</w:t>
            </w:r>
            <w:r>
              <w:rPr>
                <w:rFonts w:hint="default" w:ascii="Times New Roman" w:hAnsi="Times New Roman" w:eastAsia="宋体" w:cs="Times New Roman"/>
                <w:sz w:val="24"/>
                <w:szCs w:val="24"/>
                <w:highlight w:val="none"/>
                <w:lang w:val="en-US" w:eastAsia="zh-CN"/>
              </w:rPr>
              <w:t>Mb≥1.5m</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K≤1×10</w:t>
            </w:r>
            <w:r>
              <w:rPr>
                <w:rFonts w:hint="default" w:ascii="Times New Roman" w:hAnsi="Times New Roman" w:eastAsia="宋体" w:cs="Times New Roman"/>
                <w:sz w:val="24"/>
                <w:szCs w:val="24"/>
                <w:highlight w:val="none"/>
                <w:vertAlign w:val="superscript"/>
                <w:lang w:val="en-US" w:eastAsia="zh-CN"/>
              </w:rPr>
              <w:t>-7</w:t>
            </w:r>
            <w:r>
              <w:rPr>
                <w:rFonts w:hint="default" w:ascii="Times New Roman" w:hAnsi="Times New Roman" w:eastAsia="宋体" w:cs="Times New Roman"/>
                <w:sz w:val="24"/>
                <w:szCs w:val="24"/>
                <w:highlight w:val="none"/>
                <w:lang w:val="en-US" w:eastAsia="zh-CN"/>
              </w:rPr>
              <w:t>cm/s</w:t>
            </w:r>
            <w:r>
              <w:rPr>
                <w:rFonts w:hint="eastAsia" w:ascii="Times New Roman" w:hAnsi="Times New Roman" w:eastAsia="宋体" w:cs="Times New Roman"/>
                <w:sz w:val="24"/>
                <w:szCs w:val="24"/>
                <w:highlight w:val="none"/>
                <w:lang w:val="en-US" w:eastAsia="zh-CN"/>
              </w:rPr>
              <w:t>。</w:t>
            </w:r>
          </w:p>
          <w:p w14:paraId="2521FBE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③简单防渗区</w:t>
            </w:r>
          </w:p>
          <w:p w14:paraId="2663068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项目简单防渗区为办公区等区域，防渗技术要求为一般地面硬化。</w:t>
            </w:r>
          </w:p>
          <w:p w14:paraId="77A8ED2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sz w:val="24"/>
                <w:szCs w:val="24"/>
                <w:highlight w:val="none"/>
                <w:lang w:val="en-US" w:eastAsia="zh-CN"/>
              </w:rPr>
              <w:t>项目地下水和土壤污染防治分区及措施见下表。</w:t>
            </w:r>
          </w:p>
          <w:p w14:paraId="563A48E9">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表4-1</w:t>
            </w:r>
            <w:r>
              <w:rPr>
                <w:rFonts w:hint="eastAsia" w:cs="Times New Roman"/>
                <w:b/>
                <w:bCs/>
                <w:color w:val="000000"/>
                <w:kern w:val="2"/>
                <w:sz w:val="21"/>
                <w:szCs w:val="21"/>
                <w:highlight w:val="none"/>
                <w:lang w:val="en-US" w:eastAsia="zh-CN" w:bidi="ar-SA"/>
              </w:rPr>
              <w:t>5</w:t>
            </w:r>
            <w:r>
              <w:rPr>
                <w:rFonts w:hint="eastAsia" w:ascii="Times New Roman" w:hAnsi="Times New Roman" w:eastAsia="宋体" w:cs="Times New Roman"/>
                <w:b/>
                <w:bCs/>
                <w:color w:val="000000"/>
                <w:kern w:val="2"/>
                <w:sz w:val="21"/>
                <w:szCs w:val="21"/>
                <w:highlight w:val="none"/>
                <w:lang w:val="en-US" w:eastAsia="zh-CN" w:bidi="ar-SA"/>
              </w:rPr>
              <w:t xml:space="preserve">  项目地下水和土壤污染防治分区及防渗措施</w:t>
            </w:r>
          </w:p>
          <w:tbl>
            <w:tblPr>
              <w:tblStyle w:val="23"/>
              <w:tblW w:w="794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515"/>
              <w:gridCol w:w="1026"/>
              <w:gridCol w:w="1302"/>
              <w:gridCol w:w="5103"/>
            </w:tblGrid>
            <w:tr w14:paraId="7B6DD2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15" w:type="dxa"/>
                  <w:tcBorders>
                    <w:tl2br w:val="nil"/>
                    <w:tr2bl w:val="nil"/>
                  </w:tcBorders>
                  <w:noWrap w:val="0"/>
                  <w:vAlign w:val="center"/>
                </w:tcPr>
                <w:p w14:paraId="4FC604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编号</w:t>
                  </w:r>
                </w:p>
              </w:tc>
              <w:tc>
                <w:tcPr>
                  <w:tcW w:w="1026" w:type="dxa"/>
                  <w:tcBorders>
                    <w:tl2br w:val="nil"/>
                    <w:tr2bl w:val="nil"/>
                  </w:tcBorders>
                  <w:noWrap w:val="0"/>
                  <w:vAlign w:val="center"/>
                </w:tcPr>
                <w:p w14:paraId="32499A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分区名称</w:t>
                  </w:r>
                </w:p>
              </w:tc>
              <w:tc>
                <w:tcPr>
                  <w:tcW w:w="1302" w:type="dxa"/>
                  <w:tcBorders>
                    <w:tl2br w:val="nil"/>
                    <w:tr2bl w:val="nil"/>
                  </w:tcBorders>
                  <w:noWrap w:val="0"/>
                  <w:vAlign w:val="center"/>
                </w:tcPr>
                <w:p w14:paraId="14BF510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位置</w:t>
                  </w:r>
                </w:p>
              </w:tc>
              <w:tc>
                <w:tcPr>
                  <w:tcW w:w="5103" w:type="dxa"/>
                  <w:tcBorders>
                    <w:tl2br w:val="nil"/>
                    <w:tr2bl w:val="nil"/>
                  </w:tcBorders>
                  <w:noWrap w:val="0"/>
                  <w:vAlign w:val="center"/>
                </w:tcPr>
                <w:p w14:paraId="1F8BCE0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防渗措施及要求</w:t>
                  </w:r>
                </w:p>
              </w:tc>
            </w:tr>
            <w:tr w14:paraId="1AEEA8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15" w:type="dxa"/>
                  <w:tcBorders>
                    <w:tl2br w:val="nil"/>
                    <w:tr2bl w:val="nil"/>
                  </w:tcBorders>
                  <w:noWrap w:val="0"/>
                  <w:vAlign w:val="center"/>
                </w:tcPr>
                <w:p w14:paraId="5ED0E2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c>
                <w:tcPr>
                  <w:tcW w:w="1026" w:type="dxa"/>
                  <w:tcBorders>
                    <w:tl2br w:val="nil"/>
                    <w:tr2bl w:val="nil"/>
                  </w:tcBorders>
                  <w:noWrap w:val="0"/>
                  <w:vAlign w:val="center"/>
                </w:tcPr>
                <w:p w14:paraId="126F4B1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重点防渗区</w:t>
                  </w:r>
                </w:p>
              </w:tc>
              <w:tc>
                <w:tcPr>
                  <w:tcW w:w="1302" w:type="dxa"/>
                  <w:tcBorders>
                    <w:tl2br w:val="nil"/>
                    <w:tr2bl w:val="nil"/>
                  </w:tcBorders>
                  <w:noWrap w:val="0"/>
                  <w:vAlign w:val="center"/>
                </w:tcPr>
                <w:p w14:paraId="074BF2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危废贮存库</w:t>
                  </w:r>
                </w:p>
              </w:tc>
              <w:tc>
                <w:tcPr>
                  <w:tcW w:w="5103" w:type="dxa"/>
                  <w:tcBorders>
                    <w:tl2br w:val="nil"/>
                    <w:tr2bl w:val="nil"/>
                  </w:tcBorders>
                  <w:noWrap w:val="0"/>
                  <w:vAlign w:val="center"/>
                </w:tcPr>
                <w:p w14:paraId="63A4E101">
                  <w:pPr>
                    <w:keepNext w:val="0"/>
                    <w:keepLines w:val="0"/>
                    <w:widowControl/>
                    <w:suppressLineNumbers w:val="0"/>
                    <w:jc w:val="left"/>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铺设2mm厚高密度聚乙烯（HDPE）+10cm防渗混凝土+5~7mm厚防油渗耐磨涂料，墙裙采用2mm厚高密度聚乙烯（HDPE）+防渗混凝土进行防渗，渗透系数≤10</w:t>
                  </w:r>
                  <w:r>
                    <w:rPr>
                      <w:rFonts w:hint="default" w:ascii="Times New Roman" w:hAnsi="Times New Roman" w:eastAsia="宋体" w:cs="Times New Roman"/>
                      <w:color w:val="000000"/>
                      <w:kern w:val="0"/>
                      <w:sz w:val="21"/>
                      <w:szCs w:val="21"/>
                      <w:highlight w:val="none"/>
                      <w:vertAlign w:val="superscript"/>
                      <w:lang w:val="en-US" w:eastAsia="zh-CN" w:bidi="ar"/>
                    </w:rPr>
                    <w:t>-10</w:t>
                  </w:r>
                  <w:r>
                    <w:rPr>
                      <w:rFonts w:hint="default" w:ascii="Times New Roman" w:hAnsi="Times New Roman" w:eastAsia="宋体" w:cs="Times New Roman"/>
                      <w:color w:val="000000"/>
                      <w:kern w:val="0"/>
                      <w:sz w:val="21"/>
                      <w:szCs w:val="21"/>
                      <w:highlight w:val="none"/>
                      <w:lang w:val="en-US" w:eastAsia="zh-CN" w:bidi="ar"/>
                    </w:rPr>
                    <w:t>cm/s。</w:t>
                  </w:r>
                </w:p>
              </w:tc>
            </w:tr>
            <w:tr w14:paraId="3817D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15" w:type="dxa"/>
                  <w:tcBorders>
                    <w:tl2br w:val="nil"/>
                    <w:tr2bl w:val="nil"/>
                  </w:tcBorders>
                  <w:noWrap w:val="0"/>
                  <w:vAlign w:val="center"/>
                </w:tcPr>
                <w:p w14:paraId="5A63118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w:t>
                  </w:r>
                </w:p>
              </w:tc>
              <w:tc>
                <w:tcPr>
                  <w:tcW w:w="1026" w:type="dxa"/>
                  <w:tcBorders>
                    <w:tl2br w:val="nil"/>
                    <w:tr2bl w:val="nil"/>
                  </w:tcBorders>
                  <w:noWrap w:val="0"/>
                  <w:vAlign w:val="center"/>
                </w:tcPr>
                <w:p w14:paraId="1D30D2B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一般防渗区</w:t>
                  </w:r>
                </w:p>
              </w:tc>
              <w:tc>
                <w:tcPr>
                  <w:tcW w:w="1302" w:type="dxa"/>
                  <w:tcBorders>
                    <w:tl2br w:val="nil"/>
                    <w:tr2bl w:val="nil"/>
                  </w:tcBorders>
                  <w:noWrap w:val="0"/>
                  <w:vAlign w:val="center"/>
                </w:tcPr>
                <w:p w14:paraId="1489F64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生产区</w:t>
                  </w:r>
                </w:p>
              </w:tc>
              <w:tc>
                <w:tcPr>
                  <w:tcW w:w="5103" w:type="dxa"/>
                  <w:tcBorders>
                    <w:tl2br w:val="nil"/>
                    <w:tr2bl w:val="nil"/>
                  </w:tcBorders>
                  <w:noWrap w:val="0"/>
                  <w:vAlign w:val="center"/>
                </w:tcPr>
                <w:p w14:paraId="1E7A77A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基础防渗，应达到等效黏土防渗层Mb≥1.5m，K≤1×10</w:t>
                  </w:r>
                  <w:r>
                    <w:rPr>
                      <w:rFonts w:hint="eastAsia" w:cs="Times New Roman"/>
                      <w:sz w:val="21"/>
                      <w:szCs w:val="21"/>
                      <w:highlight w:val="none"/>
                      <w:vertAlign w:val="superscript"/>
                      <w:lang w:val="en-US" w:eastAsia="zh-CN"/>
                    </w:rPr>
                    <w:t>-</w:t>
                  </w:r>
                  <w:r>
                    <w:rPr>
                      <w:rFonts w:hint="default" w:ascii="Times New Roman" w:hAnsi="Times New Roman" w:eastAsia="宋体" w:cs="Times New Roman"/>
                      <w:sz w:val="21"/>
                      <w:szCs w:val="21"/>
                      <w:highlight w:val="none"/>
                      <w:vertAlign w:val="baseline"/>
                      <w:lang w:val="en-US" w:eastAsia="zh-CN"/>
                    </w:rPr>
                    <w:t>7cm/s。</w:t>
                  </w:r>
                </w:p>
              </w:tc>
            </w:tr>
            <w:tr w14:paraId="4A862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15" w:type="dxa"/>
                  <w:tcBorders>
                    <w:tl2br w:val="nil"/>
                    <w:tr2bl w:val="nil"/>
                  </w:tcBorders>
                  <w:noWrap w:val="0"/>
                  <w:vAlign w:val="center"/>
                </w:tcPr>
                <w:p w14:paraId="26144A4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w:t>
                  </w:r>
                </w:p>
              </w:tc>
              <w:tc>
                <w:tcPr>
                  <w:tcW w:w="1026" w:type="dxa"/>
                  <w:tcBorders>
                    <w:tl2br w:val="nil"/>
                    <w:tr2bl w:val="nil"/>
                  </w:tcBorders>
                  <w:noWrap w:val="0"/>
                  <w:vAlign w:val="center"/>
                </w:tcPr>
                <w:p w14:paraId="00D891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简单防渗区</w:t>
                  </w:r>
                </w:p>
              </w:tc>
              <w:tc>
                <w:tcPr>
                  <w:tcW w:w="1302" w:type="dxa"/>
                  <w:tcBorders>
                    <w:tl2br w:val="nil"/>
                    <w:tr2bl w:val="nil"/>
                  </w:tcBorders>
                  <w:noWrap w:val="0"/>
                  <w:vAlign w:val="center"/>
                </w:tcPr>
                <w:p w14:paraId="727359E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办公区</w:t>
                  </w:r>
                </w:p>
              </w:tc>
              <w:tc>
                <w:tcPr>
                  <w:tcW w:w="5103" w:type="dxa"/>
                  <w:tcBorders>
                    <w:tl2br w:val="nil"/>
                    <w:tr2bl w:val="nil"/>
                  </w:tcBorders>
                  <w:noWrap w:val="0"/>
                  <w:vAlign w:val="center"/>
                </w:tcPr>
                <w:p w14:paraId="6992341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地面水泥硬化</w:t>
                  </w:r>
                </w:p>
              </w:tc>
            </w:tr>
          </w:tbl>
          <w:p w14:paraId="7DB274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采取以上防护措施后，可有效防止项目污染物渗漏污染土壤、地下水。</w:t>
            </w:r>
          </w:p>
          <w:p w14:paraId="44637543">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六、环境风险评价</w:t>
            </w:r>
          </w:p>
          <w:p w14:paraId="0D62C9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环境风险评价是分析和预测项目存在的潜在危险、有害因素，项目运行期间可能发生的突发性事件或事故（一般不包括人为破坏及自然灾害），引起有毒有害和易燃易爆等物质泄漏，所造成的人身安全与环境影响和损害程度，提出合理可行的防范、应急与减缓措施，以使建设项目事故率、损失和环境影响达到可接受水平。</w:t>
            </w:r>
          </w:p>
          <w:p w14:paraId="6184CA7B">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w:t>
            </w:r>
            <w:r>
              <w:rPr>
                <w:rFonts w:hint="default" w:ascii="Times New Roman" w:hAnsi="Times New Roman" w:eastAsia="宋体" w:cs="Times New Roman"/>
                <w:b/>
                <w:bCs/>
                <w:color w:val="auto"/>
                <w:kern w:val="2"/>
                <w:sz w:val="24"/>
                <w:szCs w:val="24"/>
                <w:highlight w:val="none"/>
                <w:lang w:val="en-US" w:eastAsia="zh-CN" w:bidi="ar-SA"/>
              </w:rPr>
              <w:t>1</w:t>
            </w:r>
            <w:r>
              <w:rPr>
                <w:rFonts w:hint="eastAsia" w:ascii="Times New Roman" w:hAnsi="Times New Roman" w:eastAsia="宋体" w:cs="Times New Roman"/>
                <w:b/>
                <w:bCs/>
                <w:color w:val="auto"/>
                <w:kern w:val="2"/>
                <w:sz w:val="24"/>
                <w:szCs w:val="24"/>
                <w:highlight w:val="none"/>
                <w:lang w:val="en-US" w:eastAsia="zh-CN" w:bidi="ar-SA"/>
              </w:rPr>
              <w:t>）危险物质及风险源分布</w:t>
            </w:r>
          </w:p>
          <w:p w14:paraId="4FBCA02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根据工程分析，项目涉及的主要危险物质为废润滑油、真空泵废油、液压油（废液压油）、真空泵油、氢气。</w:t>
            </w:r>
          </w:p>
          <w:p w14:paraId="6736BFA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highlight w:val="none"/>
                <w:lang w:val="en-US" w:eastAsia="zh-CN"/>
              </w:rPr>
            </w:pPr>
            <w:r>
              <w:rPr>
                <w:rFonts w:hint="eastAsia" w:ascii="Times New Roman" w:hAnsi="Times New Roman" w:eastAsia="宋体" w:cs="Times New Roman"/>
                <w:sz w:val="24"/>
                <w:szCs w:val="24"/>
                <w:highlight w:val="none"/>
                <w:lang w:val="en-US" w:eastAsia="zh-CN"/>
              </w:rPr>
              <w:t>项目危险物质分布情况见下表。</w:t>
            </w:r>
          </w:p>
          <w:p w14:paraId="0053949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表4-1</w:t>
            </w:r>
            <w:r>
              <w:rPr>
                <w:rFonts w:hint="eastAsia" w:cs="Times New Roman"/>
                <w:b/>
                <w:bCs/>
                <w:color w:val="000000"/>
                <w:kern w:val="2"/>
                <w:sz w:val="21"/>
                <w:szCs w:val="21"/>
                <w:highlight w:val="none"/>
                <w:lang w:val="en-US" w:eastAsia="zh-CN" w:bidi="ar-SA"/>
              </w:rPr>
              <w:t>6</w:t>
            </w:r>
            <w:r>
              <w:rPr>
                <w:rFonts w:hint="eastAsia" w:ascii="Times New Roman" w:hAnsi="Times New Roman" w:eastAsia="宋体" w:cs="Times New Roman"/>
                <w:b/>
                <w:bCs/>
                <w:color w:val="000000"/>
                <w:kern w:val="2"/>
                <w:sz w:val="21"/>
                <w:szCs w:val="21"/>
                <w:highlight w:val="none"/>
                <w:lang w:val="en-US" w:eastAsia="zh-CN" w:bidi="ar-SA"/>
              </w:rPr>
              <w:t xml:space="preserve">  项目危险物质分布表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586"/>
              <w:gridCol w:w="1103"/>
              <w:gridCol w:w="1362"/>
              <w:gridCol w:w="1620"/>
              <w:gridCol w:w="1247"/>
              <w:gridCol w:w="989"/>
              <w:gridCol w:w="1039"/>
            </w:tblGrid>
            <w:tr w14:paraId="45C65B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0" w:type="auto"/>
                  <w:tcBorders>
                    <w:tl2br w:val="nil"/>
                    <w:tr2bl w:val="nil"/>
                  </w:tcBorders>
                  <w:noWrap w:val="0"/>
                  <w:vAlign w:val="center"/>
                </w:tcPr>
                <w:p w14:paraId="0AE0149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序号</w:t>
                  </w:r>
                </w:p>
              </w:tc>
              <w:tc>
                <w:tcPr>
                  <w:tcW w:w="0" w:type="auto"/>
                  <w:tcBorders>
                    <w:tl2br w:val="nil"/>
                    <w:tr2bl w:val="nil"/>
                  </w:tcBorders>
                  <w:noWrap w:val="0"/>
                  <w:vAlign w:val="center"/>
                </w:tcPr>
                <w:p w14:paraId="7AE35D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类型</w:t>
                  </w:r>
                </w:p>
              </w:tc>
              <w:tc>
                <w:tcPr>
                  <w:tcW w:w="0" w:type="auto"/>
                  <w:tcBorders>
                    <w:tl2br w:val="nil"/>
                    <w:tr2bl w:val="nil"/>
                  </w:tcBorders>
                  <w:noWrap w:val="0"/>
                  <w:vAlign w:val="center"/>
                </w:tcPr>
                <w:p w14:paraId="3B6854B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危险物质</w:t>
                  </w:r>
                </w:p>
              </w:tc>
              <w:tc>
                <w:tcPr>
                  <w:tcW w:w="0" w:type="auto"/>
                  <w:tcBorders>
                    <w:tl2br w:val="nil"/>
                    <w:tr2bl w:val="nil"/>
                  </w:tcBorders>
                  <w:noWrap w:val="0"/>
                  <w:vAlign w:val="center"/>
                </w:tcPr>
                <w:p w14:paraId="5D43B3D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分布位置</w:t>
                  </w:r>
                </w:p>
              </w:tc>
              <w:tc>
                <w:tcPr>
                  <w:tcW w:w="0" w:type="auto"/>
                  <w:tcBorders>
                    <w:tl2br w:val="nil"/>
                    <w:tr2bl w:val="nil"/>
                  </w:tcBorders>
                  <w:noWrap w:val="0"/>
                  <w:vAlign w:val="center"/>
                </w:tcPr>
                <w:p w14:paraId="35EDF9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最大储量/t</w:t>
                  </w:r>
                </w:p>
              </w:tc>
              <w:tc>
                <w:tcPr>
                  <w:tcW w:w="0" w:type="auto"/>
                  <w:tcBorders>
                    <w:tl2br w:val="nil"/>
                    <w:tr2bl w:val="nil"/>
                  </w:tcBorders>
                  <w:noWrap w:val="0"/>
                  <w:vAlign w:val="center"/>
                </w:tcPr>
                <w:p w14:paraId="65EC89B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临界量/t</w:t>
                  </w:r>
                </w:p>
              </w:tc>
              <w:tc>
                <w:tcPr>
                  <w:tcW w:w="0" w:type="auto"/>
                  <w:tcBorders>
                    <w:tl2br w:val="nil"/>
                    <w:tr2bl w:val="nil"/>
                  </w:tcBorders>
                  <w:noWrap w:val="0"/>
                  <w:vAlign w:val="center"/>
                </w:tcPr>
                <w:p w14:paraId="385E5F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Q值</w:t>
                  </w:r>
                </w:p>
              </w:tc>
            </w:tr>
            <w:tr w14:paraId="3BD700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0" w:type="auto"/>
                  <w:tcBorders>
                    <w:tl2br w:val="nil"/>
                    <w:tr2bl w:val="nil"/>
                  </w:tcBorders>
                  <w:noWrap w:val="0"/>
                  <w:vAlign w:val="center"/>
                </w:tcPr>
                <w:p w14:paraId="135B46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1</w:t>
                  </w:r>
                </w:p>
              </w:tc>
              <w:tc>
                <w:tcPr>
                  <w:tcW w:w="0" w:type="auto"/>
                  <w:tcBorders>
                    <w:tl2br w:val="nil"/>
                    <w:tr2bl w:val="nil"/>
                  </w:tcBorders>
                  <w:noWrap w:val="0"/>
                  <w:vAlign w:val="center"/>
                </w:tcPr>
                <w:p w14:paraId="532A1B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危险废物</w:t>
                  </w:r>
                </w:p>
              </w:tc>
              <w:tc>
                <w:tcPr>
                  <w:tcW w:w="0" w:type="auto"/>
                  <w:tcBorders>
                    <w:tl2br w:val="nil"/>
                    <w:tr2bl w:val="nil"/>
                  </w:tcBorders>
                  <w:noWrap w:val="0"/>
                  <w:vAlign w:val="center"/>
                </w:tcPr>
                <w:p w14:paraId="447CA6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废润滑油</w:t>
                  </w:r>
                </w:p>
              </w:tc>
              <w:tc>
                <w:tcPr>
                  <w:tcW w:w="0" w:type="auto"/>
                  <w:tcBorders>
                    <w:tl2br w:val="nil"/>
                    <w:tr2bl w:val="nil"/>
                  </w:tcBorders>
                  <w:noWrap w:val="0"/>
                  <w:vAlign w:val="center"/>
                </w:tcPr>
                <w:p w14:paraId="6062414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危废贮存库</w:t>
                  </w:r>
                </w:p>
              </w:tc>
              <w:tc>
                <w:tcPr>
                  <w:tcW w:w="0" w:type="auto"/>
                  <w:tcBorders>
                    <w:tl2br w:val="nil"/>
                    <w:tr2bl w:val="nil"/>
                  </w:tcBorders>
                  <w:noWrap w:val="0"/>
                  <w:vAlign w:val="center"/>
                </w:tcPr>
                <w:p w14:paraId="2FE1A3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w:t>
                  </w:r>
                  <w:r>
                    <w:rPr>
                      <w:rFonts w:hint="eastAsia" w:cs="Times New Roman"/>
                      <w:color w:val="auto"/>
                      <w:kern w:val="2"/>
                      <w:sz w:val="21"/>
                      <w:szCs w:val="21"/>
                      <w:highlight w:val="none"/>
                      <w:vertAlign w:val="baseline"/>
                      <w:lang w:val="en-US" w:eastAsia="zh-CN" w:bidi="ar-SA"/>
                    </w:rPr>
                    <w:t>1</w:t>
                  </w:r>
                </w:p>
              </w:tc>
              <w:tc>
                <w:tcPr>
                  <w:tcW w:w="0" w:type="auto"/>
                  <w:tcBorders>
                    <w:tl2br w:val="nil"/>
                    <w:tr2bl w:val="nil"/>
                  </w:tcBorders>
                  <w:noWrap w:val="0"/>
                  <w:vAlign w:val="center"/>
                </w:tcPr>
                <w:p w14:paraId="7F49D15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2500</w:t>
                  </w:r>
                </w:p>
              </w:tc>
              <w:tc>
                <w:tcPr>
                  <w:tcW w:w="0" w:type="auto"/>
                  <w:tcBorders>
                    <w:tl2br w:val="nil"/>
                    <w:tr2bl w:val="nil"/>
                  </w:tcBorders>
                  <w:noWrap w:val="0"/>
                  <w:vAlign w:val="center"/>
                </w:tcPr>
                <w:p w14:paraId="2C10DC7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0.</w:t>
                  </w:r>
                  <w:r>
                    <w:rPr>
                      <w:rFonts w:hint="eastAsia" w:ascii="Times New Roman" w:hAnsi="Times New Roman" w:eastAsia="宋体" w:cs="Times New Roman"/>
                      <w:color w:val="auto"/>
                      <w:kern w:val="2"/>
                      <w:sz w:val="21"/>
                      <w:szCs w:val="21"/>
                      <w:highlight w:val="none"/>
                      <w:vertAlign w:val="baseline"/>
                      <w:lang w:val="en-US" w:eastAsia="zh-CN" w:bidi="ar-SA"/>
                    </w:rPr>
                    <w:t>00</w:t>
                  </w:r>
                  <w:r>
                    <w:rPr>
                      <w:rFonts w:hint="default" w:ascii="Times New Roman" w:hAnsi="Times New Roman" w:eastAsia="宋体" w:cs="Times New Roman"/>
                      <w:color w:val="auto"/>
                      <w:kern w:val="2"/>
                      <w:sz w:val="21"/>
                      <w:szCs w:val="21"/>
                      <w:highlight w:val="none"/>
                      <w:vertAlign w:val="baseline"/>
                      <w:lang w:val="en-US" w:eastAsia="zh-CN" w:bidi="ar-SA"/>
                    </w:rPr>
                    <w:t>0</w:t>
                  </w:r>
                  <w:r>
                    <w:rPr>
                      <w:rFonts w:hint="eastAsia" w:ascii="Times New Roman" w:hAnsi="Times New Roman" w:eastAsia="宋体" w:cs="Times New Roman"/>
                      <w:color w:val="auto"/>
                      <w:kern w:val="2"/>
                      <w:sz w:val="21"/>
                      <w:szCs w:val="21"/>
                      <w:highlight w:val="none"/>
                      <w:vertAlign w:val="baseline"/>
                      <w:lang w:val="en-US" w:eastAsia="zh-CN" w:bidi="ar-SA"/>
                    </w:rPr>
                    <w:t>0</w:t>
                  </w:r>
                  <w:r>
                    <w:rPr>
                      <w:rFonts w:hint="eastAsia" w:cs="Times New Roman"/>
                      <w:color w:val="auto"/>
                      <w:kern w:val="2"/>
                      <w:sz w:val="21"/>
                      <w:szCs w:val="21"/>
                      <w:highlight w:val="none"/>
                      <w:vertAlign w:val="baseline"/>
                      <w:lang w:val="en-US" w:eastAsia="zh-CN" w:bidi="ar-SA"/>
                    </w:rPr>
                    <w:t>4</w:t>
                  </w:r>
                </w:p>
              </w:tc>
            </w:tr>
            <w:tr w14:paraId="6D0CF4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0" w:type="auto"/>
                  <w:tcBorders>
                    <w:tl2br w:val="nil"/>
                    <w:tr2bl w:val="nil"/>
                  </w:tcBorders>
                  <w:noWrap w:val="0"/>
                  <w:vAlign w:val="center"/>
                </w:tcPr>
                <w:p w14:paraId="6C9EF3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2</w:t>
                  </w:r>
                </w:p>
              </w:tc>
              <w:tc>
                <w:tcPr>
                  <w:tcW w:w="0" w:type="auto"/>
                  <w:tcBorders>
                    <w:tl2br w:val="nil"/>
                    <w:tr2bl w:val="nil"/>
                  </w:tcBorders>
                  <w:noWrap w:val="0"/>
                  <w:vAlign w:val="center"/>
                </w:tcPr>
                <w:p w14:paraId="35D9D2C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危险废物</w:t>
                  </w:r>
                </w:p>
              </w:tc>
              <w:tc>
                <w:tcPr>
                  <w:tcW w:w="0" w:type="auto"/>
                  <w:tcBorders>
                    <w:tl2br w:val="nil"/>
                    <w:tr2bl w:val="nil"/>
                  </w:tcBorders>
                  <w:noWrap w:val="0"/>
                  <w:vAlign w:val="center"/>
                </w:tcPr>
                <w:p w14:paraId="74516F1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真空泵废油</w:t>
                  </w:r>
                </w:p>
              </w:tc>
              <w:tc>
                <w:tcPr>
                  <w:tcW w:w="0" w:type="auto"/>
                  <w:tcBorders>
                    <w:tl2br w:val="nil"/>
                    <w:tr2bl w:val="nil"/>
                  </w:tcBorders>
                  <w:noWrap w:val="0"/>
                  <w:vAlign w:val="center"/>
                </w:tcPr>
                <w:p w14:paraId="7D1D10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危废贮存库</w:t>
                  </w:r>
                </w:p>
              </w:tc>
              <w:tc>
                <w:tcPr>
                  <w:tcW w:w="0" w:type="auto"/>
                  <w:tcBorders>
                    <w:tl2br w:val="nil"/>
                    <w:tr2bl w:val="nil"/>
                  </w:tcBorders>
                  <w:noWrap w:val="0"/>
                  <w:vAlign w:val="center"/>
                </w:tcPr>
                <w:p w14:paraId="2D4AD1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0.2</w:t>
                  </w:r>
                  <w:r>
                    <w:rPr>
                      <w:rFonts w:hint="eastAsia" w:cs="Times New Roman"/>
                      <w:color w:val="auto"/>
                      <w:kern w:val="2"/>
                      <w:sz w:val="21"/>
                      <w:szCs w:val="21"/>
                      <w:highlight w:val="none"/>
                      <w:vertAlign w:val="baseline"/>
                      <w:lang w:val="en-US" w:eastAsia="zh-CN" w:bidi="ar-SA"/>
                    </w:rPr>
                    <w:t>25</w:t>
                  </w:r>
                </w:p>
              </w:tc>
              <w:tc>
                <w:tcPr>
                  <w:tcW w:w="0" w:type="auto"/>
                  <w:tcBorders>
                    <w:tl2br w:val="nil"/>
                    <w:tr2bl w:val="nil"/>
                  </w:tcBorders>
                  <w:noWrap w:val="0"/>
                  <w:vAlign w:val="center"/>
                </w:tcPr>
                <w:p w14:paraId="04EBDE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2500</w:t>
                  </w:r>
                </w:p>
              </w:tc>
              <w:tc>
                <w:tcPr>
                  <w:tcW w:w="0" w:type="auto"/>
                  <w:tcBorders>
                    <w:tl2br w:val="nil"/>
                    <w:tr2bl w:val="nil"/>
                  </w:tcBorders>
                  <w:noWrap w:val="0"/>
                  <w:vAlign w:val="center"/>
                </w:tcPr>
                <w:p w14:paraId="181A3E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0.0000</w:t>
                  </w:r>
                  <w:r>
                    <w:rPr>
                      <w:rFonts w:hint="eastAsia" w:cs="Times New Roman"/>
                      <w:color w:val="auto"/>
                      <w:kern w:val="2"/>
                      <w:sz w:val="21"/>
                      <w:szCs w:val="21"/>
                      <w:highlight w:val="none"/>
                      <w:vertAlign w:val="baseline"/>
                      <w:lang w:val="en-US" w:eastAsia="zh-CN" w:bidi="ar-SA"/>
                    </w:rPr>
                    <w:t>9</w:t>
                  </w:r>
                </w:p>
              </w:tc>
            </w:tr>
            <w:tr w14:paraId="3C8759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0" w:type="auto"/>
                  <w:tcBorders>
                    <w:tl2br w:val="nil"/>
                    <w:tr2bl w:val="nil"/>
                  </w:tcBorders>
                  <w:noWrap w:val="0"/>
                  <w:vAlign w:val="center"/>
                </w:tcPr>
                <w:p w14:paraId="53C9FA9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3</w:t>
                  </w:r>
                </w:p>
              </w:tc>
              <w:tc>
                <w:tcPr>
                  <w:tcW w:w="0" w:type="auto"/>
                  <w:tcBorders>
                    <w:tl2br w:val="nil"/>
                    <w:tr2bl w:val="nil"/>
                  </w:tcBorders>
                  <w:noWrap w:val="0"/>
                  <w:vAlign w:val="center"/>
                </w:tcPr>
                <w:p w14:paraId="7F8BB4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原辅料</w:t>
                  </w:r>
                </w:p>
              </w:tc>
              <w:tc>
                <w:tcPr>
                  <w:tcW w:w="0" w:type="auto"/>
                  <w:tcBorders>
                    <w:tl2br w:val="nil"/>
                    <w:tr2bl w:val="nil"/>
                  </w:tcBorders>
                  <w:noWrap w:val="0"/>
                  <w:vAlign w:val="center"/>
                </w:tcPr>
                <w:p w14:paraId="43FFE19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液压油</w:t>
                  </w:r>
                </w:p>
              </w:tc>
              <w:tc>
                <w:tcPr>
                  <w:tcW w:w="0" w:type="auto"/>
                  <w:tcBorders>
                    <w:tl2br w:val="nil"/>
                    <w:tr2bl w:val="nil"/>
                  </w:tcBorders>
                  <w:noWrap w:val="0"/>
                  <w:vAlign w:val="center"/>
                </w:tcPr>
                <w:p w14:paraId="53C7D5B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等静压机</w:t>
                  </w:r>
                </w:p>
              </w:tc>
              <w:tc>
                <w:tcPr>
                  <w:tcW w:w="0" w:type="auto"/>
                  <w:tcBorders>
                    <w:tl2br w:val="nil"/>
                    <w:tr2bl w:val="nil"/>
                  </w:tcBorders>
                  <w:noWrap w:val="0"/>
                  <w:vAlign w:val="center"/>
                </w:tcPr>
                <w:p w14:paraId="30B9B7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9.</w:t>
                  </w:r>
                  <w:r>
                    <w:rPr>
                      <w:rFonts w:hint="eastAsia" w:cs="Times New Roman"/>
                      <w:color w:val="auto"/>
                      <w:kern w:val="2"/>
                      <w:sz w:val="21"/>
                      <w:szCs w:val="21"/>
                      <w:highlight w:val="none"/>
                      <w:vertAlign w:val="baseline"/>
                      <w:lang w:val="en-US" w:eastAsia="zh-CN" w:bidi="ar-SA"/>
                    </w:rPr>
                    <w:t>4</w:t>
                  </w:r>
                </w:p>
              </w:tc>
              <w:tc>
                <w:tcPr>
                  <w:tcW w:w="0" w:type="auto"/>
                  <w:tcBorders>
                    <w:tl2br w:val="nil"/>
                    <w:tr2bl w:val="nil"/>
                  </w:tcBorders>
                  <w:noWrap w:val="0"/>
                  <w:vAlign w:val="center"/>
                </w:tcPr>
                <w:p w14:paraId="23074F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2500</w:t>
                  </w:r>
                </w:p>
              </w:tc>
              <w:tc>
                <w:tcPr>
                  <w:tcW w:w="0" w:type="auto"/>
                  <w:tcBorders>
                    <w:tl2br w:val="nil"/>
                    <w:tr2bl w:val="nil"/>
                  </w:tcBorders>
                  <w:noWrap w:val="0"/>
                  <w:vAlign w:val="center"/>
                </w:tcPr>
                <w:p w14:paraId="0E4C8FB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0.003</w:t>
                  </w:r>
                  <w:r>
                    <w:rPr>
                      <w:rFonts w:hint="eastAsia" w:cs="Times New Roman"/>
                      <w:color w:val="auto"/>
                      <w:kern w:val="2"/>
                      <w:sz w:val="21"/>
                      <w:szCs w:val="21"/>
                      <w:highlight w:val="none"/>
                      <w:vertAlign w:val="baseline"/>
                      <w:lang w:val="en-US" w:eastAsia="zh-CN" w:bidi="ar-SA"/>
                    </w:rPr>
                    <w:t>76</w:t>
                  </w:r>
                </w:p>
              </w:tc>
            </w:tr>
            <w:tr w14:paraId="1F7F21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0" w:type="auto"/>
                  <w:tcBorders>
                    <w:tl2br w:val="nil"/>
                    <w:tr2bl w:val="nil"/>
                  </w:tcBorders>
                  <w:noWrap w:val="0"/>
                  <w:vAlign w:val="center"/>
                </w:tcPr>
                <w:p w14:paraId="5D8946D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4</w:t>
                  </w:r>
                </w:p>
              </w:tc>
              <w:tc>
                <w:tcPr>
                  <w:tcW w:w="0" w:type="auto"/>
                  <w:tcBorders>
                    <w:tl2br w:val="nil"/>
                    <w:tr2bl w:val="nil"/>
                  </w:tcBorders>
                  <w:noWrap w:val="0"/>
                  <w:vAlign w:val="center"/>
                </w:tcPr>
                <w:p w14:paraId="56DFFA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原辅料</w:t>
                  </w:r>
                </w:p>
              </w:tc>
              <w:tc>
                <w:tcPr>
                  <w:tcW w:w="0" w:type="auto"/>
                  <w:tcBorders>
                    <w:tl2br w:val="nil"/>
                    <w:tr2bl w:val="nil"/>
                  </w:tcBorders>
                  <w:noWrap w:val="0"/>
                  <w:vAlign w:val="center"/>
                </w:tcPr>
                <w:p w14:paraId="7A5FBF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真空泵油</w:t>
                  </w:r>
                </w:p>
              </w:tc>
              <w:tc>
                <w:tcPr>
                  <w:tcW w:w="0" w:type="auto"/>
                  <w:tcBorders>
                    <w:tl2br w:val="nil"/>
                    <w:tr2bl w:val="nil"/>
                  </w:tcBorders>
                  <w:noWrap w:val="0"/>
                  <w:vAlign w:val="center"/>
                </w:tcPr>
                <w:p w14:paraId="453989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烧结炉真空泵</w:t>
                  </w:r>
                </w:p>
              </w:tc>
              <w:tc>
                <w:tcPr>
                  <w:tcW w:w="0" w:type="auto"/>
                  <w:tcBorders>
                    <w:tl2br w:val="nil"/>
                    <w:tr2bl w:val="nil"/>
                  </w:tcBorders>
                  <w:noWrap w:val="0"/>
                  <w:vAlign w:val="center"/>
                </w:tcPr>
                <w:p w14:paraId="402537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0.23</w:t>
                  </w:r>
                </w:p>
              </w:tc>
              <w:tc>
                <w:tcPr>
                  <w:tcW w:w="0" w:type="auto"/>
                  <w:tcBorders>
                    <w:tl2br w:val="nil"/>
                    <w:tr2bl w:val="nil"/>
                  </w:tcBorders>
                  <w:noWrap w:val="0"/>
                  <w:vAlign w:val="center"/>
                </w:tcPr>
                <w:p w14:paraId="78CAF3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2500</w:t>
                  </w:r>
                </w:p>
              </w:tc>
              <w:tc>
                <w:tcPr>
                  <w:tcW w:w="0" w:type="auto"/>
                  <w:tcBorders>
                    <w:tl2br w:val="nil"/>
                    <w:tr2bl w:val="nil"/>
                  </w:tcBorders>
                  <w:noWrap w:val="0"/>
                  <w:vAlign w:val="center"/>
                </w:tcPr>
                <w:p w14:paraId="4185EF4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0.000092</w:t>
                  </w:r>
                </w:p>
              </w:tc>
            </w:tr>
            <w:tr w14:paraId="278562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0" w:type="auto"/>
                  <w:tcBorders>
                    <w:tl2br w:val="nil"/>
                    <w:tr2bl w:val="nil"/>
                  </w:tcBorders>
                  <w:noWrap w:val="0"/>
                  <w:vAlign w:val="center"/>
                </w:tcPr>
                <w:p w14:paraId="52833B2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5</w:t>
                  </w:r>
                </w:p>
              </w:tc>
              <w:tc>
                <w:tcPr>
                  <w:tcW w:w="0" w:type="auto"/>
                  <w:tcBorders>
                    <w:tl2br w:val="nil"/>
                    <w:tr2bl w:val="nil"/>
                  </w:tcBorders>
                  <w:noWrap w:val="0"/>
                  <w:vAlign w:val="center"/>
                </w:tcPr>
                <w:p w14:paraId="106048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原辅料</w:t>
                  </w:r>
                </w:p>
              </w:tc>
              <w:tc>
                <w:tcPr>
                  <w:tcW w:w="0" w:type="auto"/>
                  <w:tcBorders>
                    <w:tl2br w:val="nil"/>
                    <w:tr2bl w:val="nil"/>
                  </w:tcBorders>
                  <w:noWrap w:val="0"/>
                  <w:vAlign w:val="center"/>
                </w:tcPr>
                <w:p w14:paraId="00D088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氢气</w:t>
                  </w:r>
                </w:p>
              </w:tc>
              <w:tc>
                <w:tcPr>
                  <w:tcW w:w="0" w:type="auto"/>
                  <w:tcBorders>
                    <w:tl2br w:val="nil"/>
                    <w:tr2bl w:val="nil"/>
                  </w:tcBorders>
                  <w:noWrap w:val="0"/>
                  <w:vAlign w:val="center"/>
                </w:tcPr>
                <w:p w14:paraId="51A469F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氢气罐</w:t>
                  </w:r>
                </w:p>
              </w:tc>
              <w:tc>
                <w:tcPr>
                  <w:tcW w:w="0" w:type="auto"/>
                  <w:tcBorders>
                    <w:tl2br w:val="nil"/>
                    <w:tr2bl w:val="nil"/>
                  </w:tcBorders>
                  <w:noWrap w:val="0"/>
                  <w:vAlign w:val="center"/>
                </w:tcPr>
                <w:p w14:paraId="57D4BA5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1.5</w:t>
                  </w:r>
                </w:p>
              </w:tc>
              <w:tc>
                <w:tcPr>
                  <w:tcW w:w="0" w:type="auto"/>
                  <w:tcBorders>
                    <w:tl2br w:val="nil"/>
                    <w:tr2bl w:val="nil"/>
                  </w:tcBorders>
                  <w:noWrap w:val="0"/>
                  <w:vAlign w:val="center"/>
                </w:tcPr>
                <w:p w14:paraId="2DC6D21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10</w:t>
                  </w:r>
                </w:p>
              </w:tc>
              <w:tc>
                <w:tcPr>
                  <w:tcW w:w="0" w:type="auto"/>
                  <w:tcBorders>
                    <w:tl2br w:val="nil"/>
                    <w:tr2bl w:val="nil"/>
                  </w:tcBorders>
                  <w:noWrap w:val="0"/>
                  <w:vAlign w:val="center"/>
                </w:tcPr>
                <w:p w14:paraId="56D6ED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0.15</w:t>
                  </w:r>
                </w:p>
              </w:tc>
            </w:tr>
            <w:tr w14:paraId="33345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0" w:type="auto"/>
                  <w:gridSpan w:val="6"/>
                  <w:tcBorders>
                    <w:tl2br w:val="nil"/>
                    <w:tr2bl w:val="nil"/>
                  </w:tcBorders>
                  <w:noWrap w:val="0"/>
                  <w:vAlign w:val="center"/>
                </w:tcPr>
                <w:p w14:paraId="138AD5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合计</w:t>
                  </w:r>
                </w:p>
              </w:tc>
              <w:tc>
                <w:tcPr>
                  <w:tcW w:w="0" w:type="auto"/>
                  <w:tcBorders>
                    <w:tl2br w:val="nil"/>
                    <w:tr2bl w:val="nil"/>
                  </w:tcBorders>
                  <w:noWrap w:val="0"/>
                  <w:vAlign w:val="center"/>
                </w:tcPr>
                <w:p w14:paraId="4D45F7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0.15</w:t>
                  </w:r>
                  <w:r>
                    <w:rPr>
                      <w:rFonts w:hint="eastAsia" w:cs="Times New Roman"/>
                      <w:color w:val="auto"/>
                      <w:kern w:val="2"/>
                      <w:sz w:val="21"/>
                      <w:szCs w:val="21"/>
                      <w:highlight w:val="none"/>
                      <w:vertAlign w:val="baseline"/>
                      <w:lang w:val="en-US" w:eastAsia="zh-CN" w:bidi="ar-SA"/>
                    </w:rPr>
                    <w:t>3982</w:t>
                  </w:r>
                </w:p>
              </w:tc>
            </w:tr>
          </w:tbl>
          <w:p w14:paraId="0AC0FB3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由上表可知，项目危险物质最大储存量不超过临界量，因此</w:t>
            </w:r>
            <w:r>
              <w:rPr>
                <w:rFonts w:hint="eastAsia" w:cs="Times New Roman"/>
                <w:sz w:val="24"/>
                <w:szCs w:val="24"/>
                <w:highlight w:val="none"/>
                <w:lang w:val="en-US" w:eastAsia="zh-CN"/>
              </w:rPr>
              <w:t>无须设置</w:t>
            </w:r>
            <w:r>
              <w:rPr>
                <w:rFonts w:hint="eastAsia" w:ascii="Times New Roman" w:hAnsi="Times New Roman" w:eastAsia="宋体" w:cs="Times New Roman"/>
                <w:sz w:val="24"/>
                <w:szCs w:val="24"/>
                <w:highlight w:val="none"/>
                <w:lang w:val="en-US" w:eastAsia="zh-CN"/>
              </w:rPr>
              <w:t>环境风险专项评价。</w:t>
            </w:r>
          </w:p>
          <w:p w14:paraId="0D8B567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本项目涉及的危险物质理化性质及危险特性见下表。</w:t>
            </w:r>
          </w:p>
          <w:p w14:paraId="0A018B0C">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表4-1</w:t>
            </w:r>
            <w:r>
              <w:rPr>
                <w:rFonts w:hint="eastAsia" w:cs="Times New Roman"/>
                <w:b/>
                <w:bCs/>
                <w:color w:val="000000"/>
                <w:kern w:val="2"/>
                <w:sz w:val="21"/>
                <w:szCs w:val="21"/>
                <w:highlight w:val="none"/>
                <w:lang w:val="en-US" w:eastAsia="zh-CN" w:bidi="ar-SA"/>
              </w:rPr>
              <w:t>7</w:t>
            </w:r>
            <w:r>
              <w:rPr>
                <w:rFonts w:hint="eastAsia" w:ascii="Times New Roman" w:hAnsi="Times New Roman" w:eastAsia="宋体" w:cs="Times New Roman"/>
                <w:b/>
                <w:bCs/>
                <w:color w:val="000000"/>
                <w:kern w:val="2"/>
                <w:sz w:val="21"/>
                <w:szCs w:val="21"/>
                <w:highlight w:val="none"/>
                <w:lang w:val="en-US" w:eastAsia="zh-CN" w:bidi="ar-SA"/>
              </w:rPr>
              <w:t xml:space="preserve">  危险物质理化性质及危险特性</w:t>
            </w:r>
          </w:p>
          <w:tbl>
            <w:tblPr>
              <w:tblStyle w:val="2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907"/>
              <w:gridCol w:w="2803"/>
              <w:gridCol w:w="4233"/>
            </w:tblGrid>
            <w:tr w14:paraId="1059DB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907" w:type="dxa"/>
                  <w:tcBorders>
                    <w:tl2br w:val="nil"/>
                    <w:tr2bl w:val="nil"/>
                  </w:tcBorders>
                  <w:noWrap w:val="0"/>
                  <w:vAlign w:val="center"/>
                </w:tcPr>
                <w:p w14:paraId="5DAD03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危险物质</w:t>
                  </w:r>
                </w:p>
              </w:tc>
              <w:tc>
                <w:tcPr>
                  <w:tcW w:w="2803" w:type="dxa"/>
                  <w:tcBorders>
                    <w:tl2br w:val="nil"/>
                    <w:tr2bl w:val="nil"/>
                  </w:tcBorders>
                  <w:noWrap w:val="0"/>
                  <w:vAlign w:val="center"/>
                </w:tcPr>
                <w:p w14:paraId="51A0128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理化性质</w:t>
                  </w:r>
                </w:p>
              </w:tc>
              <w:tc>
                <w:tcPr>
                  <w:tcW w:w="4233" w:type="dxa"/>
                  <w:tcBorders>
                    <w:tl2br w:val="nil"/>
                    <w:tr2bl w:val="nil"/>
                  </w:tcBorders>
                  <w:noWrap w:val="0"/>
                  <w:vAlign w:val="center"/>
                </w:tcPr>
                <w:p w14:paraId="0B90C6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危险特性</w:t>
                  </w:r>
                </w:p>
              </w:tc>
            </w:tr>
            <w:tr w14:paraId="7D2989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907" w:type="dxa"/>
                  <w:tcBorders>
                    <w:tl2br w:val="nil"/>
                    <w:tr2bl w:val="nil"/>
                  </w:tcBorders>
                  <w:noWrap w:val="0"/>
                  <w:vAlign w:val="center"/>
                </w:tcPr>
                <w:p w14:paraId="7496A7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油类物质</w:t>
                  </w:r>
                </w:p>
              </w:tc>
              <w:tc>
                <w:tcPr>
                  <w:tcW w:w="2803" w:type="dxa"/>
                  <w:tcBorders>
                    <w:tl2br w:val="nil"/>
                    <w:tr2bl w:val="nil"/>
                  </w:tcBorders>
                  <w:noWrap w:val="0"/>
                  <w:vAlign w:val="center"/>
                </w:tcPr>
                <w:p w14:paraId="36C4785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无色半透明油状液体，无或几乎无荧光，冷时无臭、无味，加热时略有石油样气味，不溶于水、乙醇，溶于挥发油，混溶于多数非挥发性油，对光、热、酸等稳定，但长时间接触光和热会慢慢氧化。</w:t>
                  </w:r>
                </w:p>
              </w:tc>
              <w:tc>
                <w:tcPr>
                  <w:tcW w:w="4233" w:type="dxa"/>
                  <w:tcBorders>
                    <w:tl2br w:val="nil"/>
                    <w:tr2bl w:val="nil"/>
                  </w:tcBorders>
                  <w:noWrap w:val="0"/>
                  <w:vAlign w:val="center"/>
                </w:tcPr>
                <w:p w14:paraId="72EEC94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矿物油在人体肠道不被吸收或消化，同时能妨碍</w:t>
                  </w:r>
                  <w:r>
                    <w:rPr>
                      <w:rFonts w:hint="eastAsia" w:cs="Times New Roman"/>
                      <w:color w:val="000000"/>
                      <w:kern w:val="0"/>
                      <w:sz w:val="21"/>
                      <w:szCs w:val="21"/>
                      <w:highlight w:val="none"/>
                      <w:lang w:val="en-US" w:eastAsia="zh-CN" w:bidi="ar"/>
                    </w:rPr>
                    <w:t>水分的吸收</w:t>
                  </w:r>
                  <w:r>
                    <w:rPr>
                      <w:rFonts w:hint="default" w:ascii="Times New Roman" w:hAnsi="Times New Roman" w:eastAsia="宋体" w:cs="Times New Roman"/>
                      <w:color w:val="000000"/>
                      <w:kern w:val="0"/>
                      <w:sz w:val="21"/>
                      <w:szCs w:val="21"/>
                      <w:highlight w:val="none"/>
                      <w:lang w:val="en-US" w:eastAsia="zh-CN" w:bidi="ar"/>
                    </w:rPr>
                    <w:t>，医学上将其作为润滑性泻药使用，治疗老年人或儿童的便秘。大量摄入可致便软、腹泻；长期摄入可导致消化道障碍，影响脂溶性维生素A、D、K和钙、磷等的吸收。对人体极其有害，它会将人体的脂溶性维生素全部带出，使他们无法被人体吸收，食用矿物油会导致人体维生素A、D、E、K的严重缺乏，产生一系列的病变。</w:t>
                  </w:r>
                </w:p>
              </w:tc>
            </w:tr>
            <w:tr w14:paraId="506F3E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907" w:type="dxa"/>
                  <w:tcBorders>
                    <w:tl2br w:val="nil"/>
                    <w:tr2bl w:val="nil"/>
                  </w:tcBorders>
                  <w:noWrap w:val="0"/>
                  <w:vAlign w:val="center"/>
                </w:tcPr>
                <w:p w14:paraId="0232BC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kern w:val="2"/>
                      <w:sz w:val="21"/>
                      <w:szCs w:val="21"/>
                      <w:highlight w:val="none"/>
                      <w:vertAlign w:val="baseline"/>
                      <w:lang w:val="en-US" w:eastAsia="zh-CN" w:bidi="ar-SA"/>
                    </w:rPr>
                    <w:t>氢气</w:t>
                  </w:r>
                </w:p>
              </w:tc>
              <w:tc>
                <w:tcPr>
                  <w:tcW w:w="2803" w:type="dxa"/>
                  <w:tcBorders>
                    <w:tl2br w:val="nil"/>
                    <w:tr2bl w:val="nil"/>
                  </w:tcBorders>
                  <w:noWrap w:val="0"/>
                  <w:vAlign w:val="center"/>
                </w:tcPr>
                <w:p w14:paraId="02AED4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000000"/>
                      <w:kern w:val="0"/>
                      <w:sz w:val="21"/>
                      <w:szCs w:val="21"/>
                      <w:highlight w:val="none"/>
                      <w:lang w:val="en-US" w:eastAsia="zh-CN" w:bidi="ar"/>
                    </w:rPr>
                  </w:pPr>
                  <w:r>
                    <w:rPr>
                      <w:rFonts w:hint="eastAsia" w:ascii="Times New Roman" w:hAnsi="Times New Roman" w:eastAsia="宋体" w:cs="Times New Roman"/>
                      <w:color w:val="000000"/>
                      <w:kern w:val="0"/>
                      <w:sz w:val="21"/>
                      <w:szCs w:val="21"/>
                      <w:highlight w:val="none"/>
                      <w:lang w:val="en-US" w:eastAsia="zh-CN" w:bidi="ar"/>
                    </w:rPr>
                    <w:t>无色无臭气体，不溶于水，不溶于乙醇、乙醚。</w:t>
                  </w:r>
                </w:p>
              </w:tc>
              <w:tc>
                <w:tcPr>
                  <w:tcW w:w="4233" w:type="dxa"/>
                  <w:tcBorders>
                    <w:tl2br w:val="nil"/>
                    <w:tr2bl w:val="nil"/>
                  </w:tcBorders>
                  <w:noWrap w:val="0"/>
                  <w:vAlign w:val="center"/>
                </w:tcPr>
                <w:p w14:paraId="3DC92D4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与空气混合能形成爆炸性混合物，遇热或明火即会发生爆炸。气体比空气轻，在室内使用和储存时，漏气上升滞留屋顶不易排出，遇火星会引起爆炸。氢气与氟、氯、溴等卤素会剧烈反应。</w:t>
                  </w:r>
                </w:p>
              </w:tc>
            </w:tr>
          </w:tbl>
          <w:p w14:paraId="1DCB3D9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w:t>
            </w:r>
            <w:r>
              <w:rPr>
                <w:rFonts w:hint="default" w:ascii="Times New Roman" w:hAnsi="Times New Roman" w:eastAsia="宋体" w:cs="Times New Roman"/>
                <w:b/>
                <w:bCs/>
                <w:color w:val="auto"/>
                <w:kern w:val="2"/>
                <w:sz w:val="24"/>
                <w:szCs w:val="24"/>
                <w:highlight w:val="none"/>
                <w:lang w:val="en-US" w:eastAsia="zh-CN" w:bidi="ar-SA"/>
              </w:rPr>
              <w:t>2</w:t>
            </w:r>
            <w:r>
              <w:rPr>
                <w:rFonts w:hint="eastAsia" w:ascii="Times New Roman" w:hAnsi="Times New Roman" w:eastAsia="宋体" w:cs="Times New Roman"/>
                <w:b/>
                <w:bCs/>
                <w:color w:val="auto"/>
                <w:kern w:val="2"/>
                <w:sz w:val="24"/>
                <w:szCs w:val="24"/>
                <w:highlight w:val="none"/>
                <w:lang w:val="en-US" w:eastAsia="zh-CN" w:bidi="ar-SA"/>
              </w:rPr>
              <w:t>）突发环境事件影响途径</w:t>
            </w:r>
          </w:p>
          <w:p w14:paraId="40D6676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运营期存在的主要环境风险为油类物质泄漏及火灾及爆炸伴生和次生污染物对当地大气环境及群众身体健康产生不利影响；油类物质泄漏进入地表水、土壤及地下水环境中，造成土壤或水环境污染，油类物质遇可燃物发生剧烈反应，引起燃烧爆炸，对当地大气环境及群众身体健康产生不利影响。</w:t>
            </w:r>
          </w:p>
          <w:p w14:paraId="454FEED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1</w:t>
            </w:r>
            <w:r>
              <w:rPr>
                <w:rFonts w:hint="eastAsia" w:ascii="Times New Roman" w:hAnsi="Times New Roman" w:eastAsia="宋体" w:cs="Times New Roman"/>
                <w:sz w:val="24"/>
                <w:szCs w:val="24"/>
                <w:highlight w:val="none"/>
                <w:lang w:val="en-US" w:eastAsia="zh-CN"/>
              </w:rPr>
              <w:t>）大气环境风险影响途径分析</w:t>
            </w:r>
          </w:p>
          <w:p w14:paraId="4DE1CCA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大气环境风险主要为油类物质发生泄漏、火灾和爆炸事故伴生和次生污染物对大气环境及群众身体健康的影响。本项目涉及的风险物质成分复杂，有毒有害气体主要是油类不完全燃烧产生的一氧化碳、硫氧化物、重金属及其化合物等污染物质。若燃烧、爆炸事故不能得到及时、有效控制，导致空气中一氧化碳浓度升高，氧气含量降低，可能引发周围人群窒息或一氧化碳中毒。当空气中一氧化碳浓度达到半致死浓度时，可对下风向居民产生严重危害和生命威胁。</w:t>
            </w:r>
          </w:p>
          <w:p w14:paraId="7B84D95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w:t>
            </w:r>
            <w:r>
              <w:rPr>
                <w:rFonts w:hint="eastAsia" w:ascii="Times New Roman" w:hAnsi="Times New Roman" w:eastAsia="宋体" w:cs="Times New Roman"/>
                <w:sz w:val="24"/>
                <w:szCs w:val="24"/>
                <w:highlight w:val="none"/>
                <w:lang w:val="en-US" w:eastAsia="zh-CN"/>
              </w:rPr>
              <w:t>）地表水环境风险影响途径分析</w:t>
            </w:r>
          </w:p>
          <w:p w14:paraId="1FBE660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项目主要地表水环境风险物质为油类物质若管理不善，导致其发生泄漏后有可能进入地表水环境中，造成地表水环境污染。油类物质毒性较大进入地表水体后可对水生生物造成致命伤害。同时，油类物质将在地表水体表面形成油膜，隔绝水体与空气中的氧交换，造成地表水体中溶解氧持续下降，水生生物可能因缺氧而死亡。</w:t>
            </w:r>
          </w:p>
          <w:p w14:paraId="2B5A365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3</w:t>
            </w:r>
            <w:r>
              <w:rPr>
                <w:rFonts w:hint="eastAsia" w:ascii="Times New Roman" w:hAnsi="Times New Roman" w:eastAsia="宋体" w:cs="Times New Roman"/>
                <w:sz w:val="24"/>
                <w:szCs w:val="24"/>
                <w:highlight w:val="none"/>
                <w:lang w:val="en-US" w:eastAsia="zh-CN"/>
              </w:rPr>
              <w:t>）地下水和土壤风险影响途径分析</w:t>
            </w:r>
          </w:p>
          <w:p w14:paraId="794076D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油类物质泄漏后在厂区内可能通过垂直入渗进入土壤和地下水环境中造成污染，此类风险可能造成小面积、深层次土壤和地下水污染。若油类物质泄漏后进入外环境中，则通过地面漫流直接进入土壤环境，并进一步下渗进入地下水环境中，此类风险可及时发现并采取措施，可能造成较大面积较浅层次土壤和地下水污染。油类物质进入土壤环境后，可堵塞土壤中相互连通的空隙，造成土壤中空气流通不畅，进而导致微生物大量死亡，以此降低土壤肥力及自我修复能力。废润滑油进入地下水环境后，直接导致项目区所在地地下水环境质量恶化。</w:t>
            </w:r>
          </w:p>
          <w:p w14:paraId="31E726BF">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w:t>
            </w:r>
            <w:r>
              <w:rPr>
                <w:rFonts w:hint="default" w:ascii="Times New Roman" w:hAnsi="Times New Roman" w:eastAsia="宋体" w:cs="Times New Roman"/>
                <w:b/>
                <w:bCs/>
                <w:color w:val="auto"/>
                <w:kern w:val="2"/>
                <w:sz w:val="24"/>
                <w:szCs w:val="24"/>
                <w:highlight w:val="none"/>
                <w:lang w:val="en-US" w:eastAsia="zh-CN" w:bidi="ar-SA"/>
              </w:rPr>
              <w:t>3</w:t>
            </w:r>
            <w:r>
              <w:rPr>
                <w:rFonts w:hint="eastAsia" w:ascii="Times New Roman" w:hAnsi="Times New Roman" w:eastAsia="宋体" w:cs="Times New Roman"/>
                <w:b/>
                <w:bCs/>
                <w:color w:val="auto"/>
                <w:kern w:val="2"/>
                <w:sz w:val="24"/>
                <w:szCs w:val="24"/>
                <w:highlight w:val="none"/>
                <w:lang w:val="en-US" w:eastAsia="zh-CN" w:bidi="ar-SA"/>
              </w:rPr>
              <w:t>）风险防范措施</w:t>
            </w:r>
          </w:p>
          <w:p w14:paraId="6EF8DAC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1</w:t>
            </w:r>
            <w:r>
              <w:rPr>
                <w:rFonts w:hint="eastAsia" w:ascii="Times New Roman" w:hAnsi="Times New Roman" w:eastAsia="宋体" w:cs="Times New Roman"/>
                <w:sz w:val="24"/>
                <w:szCs w:val="24"/>
                <w:highlight w:val="none"/>
                <w:lang w:val="en-US" w:eastAsia="zh-CN"/>
              </w:rPr>
              <w:t>）风险管理</w:t>
            </w:r>
          </w:p>
          <w:p w14:paraId="3947F3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安全生产是企业立厂之本，企业一定要强化风险意识、加强安全管理，具体要求如下：</w:t>
            </w:r>
          </w:p>
          <w:p w14:paraId="7324A4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①必须将</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安全第一，以防为主</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作为公司经营的基本原则；</w:t>
            </w:r>
          </w:p>
          <w:p w14:paraId="7CB9200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②必须进行广泛系统的培训，使所有操作人员熟悉自己的岗位，树立严谨规范的操作作风，并且在任何紧急状况下都能随时对工艺装置进行控制，并及时、独立、正确地实施相关应急措施。</w:t>
            </w:r>
          </w:p>
          <w:p w14:paraId="2A43C44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③设立环保科，负责全厂的安全环保管理，应聘请具有丰富经验的人才担当负责人，每个车间和主要装置设置专职或兼职安全员。</w:t>
            </w:r>
          </w:p>
          <w:p w14:paraId="56363DA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④全厂设立安全生产领导小组，由厂长亲自担任领导小组组长，车间主任担任小组组员，形成领导负总责，全厂参与的管理模式。</w:t>
            </w:r>
          </w:p>
          <w:p w14:paraId="3A062E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w:t>
            </w:r>
            <w:r>
              <w:rPr>
                <w:rFonts w:hint="eastAsia" w:ascii="Times New Roman" w:hAnsi="Times New Roman" w:eastAsia="宋体" w:cs="Times New Roman"/>
                <w:sz w:val="24"/>
                <w:szCs w:val="24"/>
                <w:highlight w:val="none"/>
                <w:lang w:val="en-US" w:eastAsia="zh-CN"/>
              </w:rPr>
              <w:t>）大气风险防范措施</w:t>
            </w:r>
          </w:p>
          <w:p w14:paraId="7C7B896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①加强火源管理，严禁携带火源进入危废贮存库等。危废贮存库周围严禁堆放可燃物品，设置严禁烟火等危险标识。</w:t>
            </w:r>
          </w:p>
          <w:p w14:paraId="08F724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②各车间设置灭火器、消防沙等消防应急物资，并定期检查保持消防设施完好、灭火器材有效。</w:t>
            </w:r>
          </w:p>
          <w:p w14:paraId="6492580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③合理组织安排生产，减少厂区油类物质存储量。</w:t>
            </w:r>
          </w:p>
          <w:p w14:paraId="43E969E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④危废贮存库内储备相应消防灭火器材，同时对项目员工进行消防器材使用培训，确保危废贮存库发生火灾事故时可得到有效应急处置。</w:t>
            </w:r>
          </w:p>
          <w:p w14:paraId="5A49C48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3</w:t>
            </w:r>
            <w:r>
              <w:rPr>
                <w:rFonts w:hint="eastAsia" w:ascii="Times New Roman" w:hAnsi="Times New Roman" w:eastAsia="宋体" w:cs="Times New Roman"/>
                <w:sz w:val="24"/>
                <w:szCs w:val="24"/>
                <w:highlight w:val="none"/>
                <w:lang w:val="en-US" w:eastAsia="zh-CN"/>
              </w:rPr>
              <w:t>）地表水、地下水及土壤风险防范措施</w:t>
            </w:r>
          </w:p>
          <w:p w14:paraId="4339255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①项目危险废物应建立进出库台账，在收集、暂存、转运等过程中应严格执行</w:t>
            </w:r>
            <w:r>
              <w:rPr>
                <w:rFonts w:hint="eastAsia" w:ascii="Times New Roman" w:hAnsi="Times New Roman" w:eastAsia="宋体" w:cs="Times New Roman"/>
                <w:color w:val="auto"/>
                <w:kern w:val="2"/>
                <w:sz w:val="24"/>
                <w:szCs w:val="24"/>
                <w:highlight w:val="none"/>
                <w:lang w:val="en-US" w:eastAsia="zh-CN" w:bidi="ar-SA"/>
              </w:rPr>
              <w:t>《危险废物贮存污染控制标准》（</w:t>
            </w:r>
            <w:r>
              <w:rPr>
                <w:rFonts w:hint="default" w:ascii="Times New Roman" w:hAnsi="Times New Roman" w:eastAsia="宋体" w:cs="Times New Roman"/>
                <w:color w:val="auto"/>
                <w:kern w:val="2"/>
                <w:sz w:val="24"/>
                <w:szCs w:val="24"/>
                <w:highlight w:val="none"/>
                <w:lang w:val="en-US" w:eastAsia="zh-CN" w:bidi="ar-SA"/>
              </w:rPr>
              <w:t>GB18597-20</w:t>
            </w:r>
            <w:r>
              <w:rPr>
                <w:rFonts w:hint="eastAsia" w:ascii="Times New Roman" w:hAnsi="Times New Roman" w:eastAsia="宋体" w:cs="Times New Roman"/>
                <w:color w:val="auto"/>
                <w:kern w:val="2"/>
                <w:sz w:val="24"/>
                <w:szCs w:val="24"/>
                <w:highlight w:val="none"/>
                <w:lang w:val="en-US" w:eastAsia="zh-CN" w:bidi="ar-SA"/>
              </w:rPr>
              <w:t>23）、</w:t>
            </w:r>
            <w:r>
              <w:rPr>
                <w:rFonts w:hint="eastAsia" w:ascii="Times New Roman" w:hAnsi="Times New Roman" w:eastAsia="宋体" w:cs="Times New Roman"/>
                <w:sz w:val="24"/>
                <w:szCs w:val="24"/>
                <w:highlight w:val="none"/>
                <w:lang w:val="en-US" w:eastAsia="zh-CN"/>
              </w:rPr>
              <w:t>《危险废物收集、贮存、运输技术规范》（</w:t>
            </w:r>
            <w:r>
              <w:rPr>
                <w:rFonts w:hint="default" w:ascii="Times New Roman" w:hAnsi="Times New Roman" w:eastAsia="宋体" w:cs="Times New Roman"/>
                <w:sz w:val="24"/>
                <w:szCs w:val="24"/>
                <w:highlight w:val="none"/>
                <w:lang w:val="en-US" w:eastAsia="zh-CN"/>
              </w:rPr>
              <w:t>HJ2025-2012</w:t>
            </w:r>
            <w:r>
              <w:rPr>
                <w:rFonts w:hint="eastAsia" w:ascii="Times New Roman" w:hAnsi="Times New Roman" w:eastAsia="宋体" w:cs="Times New Roman"/>
                <w:sz w:val="24"/>
                <w:szCs w:val="24"/>
                <w:highlight w:val="none"/>
                <w:lang w:val="en-US" w:eastAsia="zh-CN"/>
              </w:rPr>
              <w:t>）中的相关要求，处置应交有相应资质的单位，并严格执行《危险废物转移联单制度》；</w:t>
            </w:r>
          </w:p>
          <w:p w14:paraId="76D211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②加强危废贮存库管理，定期巡查，发现泄漏隐患及时整改；</w:t>
            </w:r>
          </w:p>
          <w:p w14:paraId="4CDD725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③项目进行分区防渗，项目区分为重点防渗区、一般防渗区和简单防渗区，具体防渗要求详见地下水和土壤污染防治措施。</w:t>
            </w:r>
            <w:r>
              <w:rPr>
                <w:rFonts w:hint="eastAsia" w:ascii="Times New Roman" w:hAnsi="Times New Roman" w:eastAsia="宋体" w:cs="Times New Roman"/>
                <w:color w:val="auto"/>
                <w:kern w:val="2"/>
                <w:sz w:val="24"/>
                <w:szCs w:val="24"/>
                <w:highlight w:val="none"/>
                <w:lang w:val="en-US" w:eastAsia="zh-CN" w:bidi="ar-SA"/>
              </w:rPr>
              <w:t>循环冷却水</w:t>
            </w:r>
            <w:r>
              <w:rPr>
                <w:rFonts w:hint="eastAsia" w:cs="Times New Roman"/>
                <w:color w:val="auto"/>
                <w:kern w:val="2"/>
                <w:sz w:val="24"/>
                <w:szCs w:val="24"/>
                <w:highlight w:val="none"/>
                <w:lang w:val="en-US" w:eastAsia="zh-CN" w:bidi="ar-SA"/>
              </w:rPr>
              <w:t>定排水用于办公区域地面清洁</w:t>
            </w:r>
            <w:r>
              <w:rPr>
                <w:rFonts w:hint="eastAsia" w:ascii="Times New Roman" w:hAnsi="Times New Roman" w:eastAsia="宋体" w:cs="Times New Roman"/>
                <w:color w:val="auto"/>
                <w:kern w:val="2"/>
                <w:sz w:val="24"/>
                <w:szCs w:val="24"/>
                <w:highlight w:val="none"/>
                <w:lang w:val="en-US" w:eastAsia="zh-CN" w:bidi="ar-SA"/>
              </w:rPr>
              <w:t>。生活污水排入开发区污水管网，经管网送第</w:t>
            </w:r>
            <w:r>
              <w:rPr>
                <w:rFonts w:hint="eastAsia" w:cs="Times New Roman"/>
                <w:color w:val="auto"/>
                <w:kern w:val="2"/>
                <w:sz w:val="24"/>
                <w:szCs w:val="24"/>
                <w:highlight w:val="none"/>
                <w:lang w:val="en-US" w:eastAsia="zh-CN" w:bidi="ar-SA"/>
              </w:rPr>
              <w:t>一</w:t>
            </w:r>
            <w:r>
              <w:rPr>
                <w:rFonts w:hint="eastAsia" w:ascii="Times New Roman" w:hAnsi="Times New Roman" w:eastAsia="宋体" w:cs="Times New Roman"/>
                <w:color w:val="auto"/>
                <w:kern w:val="2"/>
                <w:sz w:val="24"/>
                <w:szCs w:val="24"/>
                <w:highlight w:val="none"/>
                <w:lang w:val="en-US" w:eastAsia="zh-CN" w:bidi="ar-SA"/>
              </w:rPr>
              <w:t>污水处理厂再生处理。污水处理厂进水水质参照《污水排入城镇下水道水质标准》（GB/T31962-2015）A级限值</w:t>
            </w:r>
            <w:r>
              <w:rPr>
                <w:rFonts w:hint="eastAsia" w:cs="Times New Roman"/>
                <w:color w:val="auto"/>
                <w:kern w:val="2"/>
                <w:sz w:val="24"/>
                <w:szCs w:val="24"/>
                <w:highlight w:val="none"/>
                <w:lang w:val="en-US" w:eastAsia="zh-CN" w:bidi="ar-SA"/>
              </w:rPr>
              <w:t>。</w:t>
            </w:r>
          </w:p>
          <w:p w14:paraId="0CCA113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4</w:t>
            </w:r>
            <w:r>
              <w:rPr>
                <w:rFonts w:hint="eastAsia" w:ascii="Times New Roman" w:hAnsi="Times New Roman" w:eastAsia="宋体" w:cs="Times New Roman"/>
                <w:sz w:val="24"/>
                <w:szCs w:val="24"/>
                <w:highlight w:val="none"/>
                <w:lang w:val="en-US" w:eastAsia="zh-CN"/>
              </w:rPr>
              <w:t>）风险事故应急预案</w:t>
            </w:r>
          </w:p>
          <w:p w14:paraId="51DF796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根据《建设项目环境风险评价技术导则》（</w:t>
            </w:r>
            <w:r>
              <w:rPr>
                <w:rFonts w:hint="default" w:ascii="Times New Roman" w:hAnsi="Times New Roman" w:eastAsia="宋体" w:cs="Times New Roman"/>
                <w:sz w:val="24"/>
                <w:szCs w:val="24"/>
                <w:highlight w:val="none"/>
                <w:lang w:val="en-US" w:eastAsia="zh-CN"/>
              </w:rPr>
              <w:t>HJ169-2018</w:t>
            </w:r>
            <w:r>
              <w:rPr>
                <w:rFonts w:hint="eastAsia" w:ascii="Times New Roman" w:hAnsi="Times New Roman" w:eastAsia="宋体" w:cs="Times New Roman"/>
                <w:sz w:val="24"/>
                <w:szCs w:val="24"/>
                <w:highlight w:val="none"/>
                <w:lang w:val="en-US" w:eastAsia="zh-CN"/>
              </w:rPr>
              <w:t>），建设单位应编制突发环境事件应急预案，其主要内容及要求见下表。</w:t>
            </w:r>
          </w:p>
          <w:p w14:paraId="15231E94">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表4-1</w:t>
            </w:r>
            <w:r>
              <w:rPr>
                <w:rFonts w:hint="eastAsia" w:cs="Times New Roman"/>
                <w:b/>
                <w:bCs/>
                <w:color w:val="000000"/>
                <w:kern w:val="2"/>
                <w:sz w:val="21"/>
                <w:szCs w:val="21"/>
                <w:highlight w:val="none"/>
                <w:lang w:val="en-US" w:eastAsia="zh-CN" w:bidi="ar-SA"/>
              </w:rPr>
              <w:t>8</w:t>
            </w:r>
            <w:r>
              <w:rPr>
                <w:rFonts w:hint="eastAsia" w:ascii="Times New Roman" w:hAnsi="Times New Roman" w:eastAsia="宋体" w:cs="Times New Roman"/>
                <w:b/>
                <w:bCs/>
                <w:color w:val="000000"/>
                <w:kern w:val="2"/>
                <w:sz w:val="21"/>
                <w:szCs w:val="21"/>
                <w:highlight w:val="none"/>
                <w:lang w:val="en-US" w:eastAsia="zh-CN" w:bidi="ar-SA"/>
              </w:rPr>
              <w:t xml:space="preserve">  项目突发环境事件应急预案内容及要求</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549"/>
              <w:gridCol w:w="1466"/>
              <w:gridCol w:w="5931"/>
            </w:tblGrid>
            <w:tr w14:paraId="5C4B9C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25A8AF8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序号</w:t>
                  </w:r>
                </w:p>
              </w:tc>
              <w:tc>
                <w:tcPr>
                  <w:tcW w:w="1466" w:type="dxa"/>
                  <w:tcBorders>
                    <w:tl2br w:val="nil"/>
                    <w:tr2bl w:val="nil"/>
                  </w:tcBorders>
                  <w:noWrap w:val="0"/>
                  <w:vAlign w:val="center"/>
                </w:tcPr>
                <w:p w14:paraId="42AA166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项目</w:t>
                  </w:r>
                </w:p>
              </w:tc>
              <w:tc>
                <w:tcPr>
                  <w:tcW w:w="5931" w:type="dxa"/>
                  <w:tcBorders>
                    <w:tl2br w:val="nil"/>
                    <w:tr2bl w:val="nil"/>
                  </w:tcBorders>
                  <w:noWrap w:val="0"/>
                  <w:vAlign w:val="center"/>
                </w:tcPr>
                <w:p w14:paraId="4099510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内容及要求</w:t>
                  </w:r>
                </w:p>
              </w:tc>
            </w:tr>
            <w:tr w14:paraId="44FF6C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1BCCE4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1</w:t>
                  </w:r>
                </w:p>
              </w:tc>
              <w:tc>
                <w:tcPr>
                  <w:tcW w:w="1466" w:type="dxa"/>
                  <w:tcBorders>
                    <w:tl2br w:val="nil"/>
                    <w:tr2bl w:val="nil"/>
                  </w:tcBorders>
                  <w:noWrap w:val="0"/>
                  <w:vAlign w:val="center"/>
                </w:tcPr>
                <w:p w14:paraId="1997DD7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适用范围</w:t>
                  </w:r>
                </w:p>
              </w:tc>
              <w:tc>
                <w:tcPr>
                  <w:tcW w:w="5931" w:type="dxa"/>
                  <w:tcBorders>
                    <w:tl2br w:val="nil"/>
                    <w:tr2bl w:val="nil"/>
                  </w:tcBorders>
                  <w:noWrap w:val="0"/>
                  <w:vAlign w:val="center"/>
                </w:tcPr>
                <w:p w14:paraId="7471E0B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项目区。</w:t>
                  </w:r>
                </w:p>
              </w:tc>
            </w:tr>
            <w:tr w14:paraId="78C0BD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73C02C1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2</w:t>
                  </w:r>
                </w:p>
              </w:tc>
              <w:tc>
                <w:tcPr>
                  <w:tcW w:w="1466" w:type="dxa"/>
                  <w:tcBorders>
                    <w:tl2br w:val="nil"/>
                    <w:tr2bl w:val="nil"/>
                  </w:tcBorders>
                  <w:noWrap w:val="0"/>
                  <w:vAlign w:val="center"/>
                </w:tcPr>
                <w:p w14:paraId="4AABB10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环境事件分级</w:t>
                  </w:r>
                </w:p>
              </w:tc>
              <w:tc>
                <w:tcPr>
                  <w:tcW w:w="5931" w:type="dxa"/>
                  <w:tcBorders>
                    <w:tl2br w:val="nil"/>
                    <w:tr2bl w:val="nil"/>
                  </w:tcBorders>
                  <w:noWrap w:val="0"/>
                  <w:vAlign w:val="center"/>
                </w:tcPr>
                <w:p w14:paraId="4501663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规定环境风险事故的级别及相应的应急状态分类，以此制定相应的应急响应程序。</w:t>
                  </w:r>
                </w:p>
              </w:tc>
            </w:tr>
            <w:tr w14:paraId="33897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19B3C7B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3</w:t>
                  </w:r>
                </w:p>
              </w:tc>
              <w:tc>
                <w:tcPr>
                  <w:tcW w:w="1466" w:type="dxa"/>
                  <w:tcBorders>
                    <w:tl2br w:val="nil"/>
                    <w:tr2bl w:val="nil"/>
                  </w:tcBorders>
                  <w:noWrap w:val="0"/>
                  <w:vAlign w:val="center"/>
                </w:tcPr>
                <w:p w14:paraId="48E9F0C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组织机构与职责</w:t>
                  </w:r>
                </w:p>
              </w:tc>
              <w:tc>
                <w:tcPr>
                  <w:tcW w:w="5931" w:type="dxa"/>
                  <w:tcBorders>
                    <w:tl2br w:val="nil"/>
                    <w:tr2bl w:val="nil"/>
                  </w:tcBorders>
                  <w:noWrap w:val="0"/>
                  <w:vAlign w:val="center"/>
                </w:tcPr>
                <w:p w14:paraId="0DE3E10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公司主要负责人开展现场全面指挥，专业救援队伍负责事故控制、</w:t>
                  </w:r>
                </w:p>
                <w:p w14:paraId="63D6B8D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救援和善后处理。</w:t>
                  </w:r>
                </w:p>
              </w:tc>
            </w:tr>
            <w:tr w14:paraId="03A981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3CE146A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4</w:t>
                  </w:r>
                </w:p>
              </w:tc>
              <w:tc>
                <w:tcPr>
                  <w:tcW w:w="1466" w:type="dxa"/>
                  <w:tcBorders>
                    <w:tl2br w:val="nil"/>
                    <w:tr2bl w:val="nil"/>
                  </w:tcBorders>
                  <w:noWrap w:val="0"/>
                  <w:vAlign w:val="center"/>
                </w:tcPr>
                <w:p w14:paraId="53CEE9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监控和预警</w:t>
                  </w:r>
                </w:p>
              </w:tc>
              <w:tc>
                <w:tcPr>
                  <w:tcW w:w="5931" w:type="dxa"/>
                  <w:tcBorders>
                    <w:tl2br w:val="nil"/>
                    <w:tr2bl w:val="nil"/>
                  </w:tcBorders>
                  <w:noWrap w:val="0"/>
                  <w:vAlign w:val="center"/>
                </w:tcPr>
                <w:p w14:paraId="488FE4C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定期巡查，设置火灾等事故报警设施。</w:t>
                  </w:r>
                </w:p>
              </w:tc>
            </w:tr>
            <w:tr w14:paraId="7C0F0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79CA4C1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5</w:t>
                  </w:r>
                </w:p>
              </w:tc>
              <w:tc>
                <w:tcPr>
                  <w:tcW w:w="1466" w:type="dxa"/>
                  <w:tcBorders>
                    <w:tl2br w:val="nil"/>
                    <w:tr2bl w:val="nil"/>
                  </w:tcBorders>
                  <w:noWrap w:val="0"/>
                  <w:vAlign w:val="center"/>
                </w:tcPr>
                <w:p w14:paraId="3A931F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应急响应</w:t>
                  </w:r>
                </w:p>
              </w:tc>
              <w:tc>
                <w:tcPr>
                  <w:tcW w:w="5931" w:type="dxa"/>
                  <w:tcBorders>
                    <w:tl2br w:val="nil"/>
                    <w:tr2bl w:val="nil"/>
                  </w:tcBorders>
                  <w:noWrap w:val="0"/>
                  <w:vAlign w:val="center"/>
                </w:tcPr>
                <w:p w14:paraId="1CB4FD3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应急工作应遵循预防为主、减少危害，统一领导、分级负责，企业自救、属地管理，整合资源、联动处置的原则。</w:t>
                  </w:r>
                </w:p>
                <w:p w14:paraId="57B5356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（1）发生泄漏事故，立即采取堵截和收集措施；</w:t>
                  </w:r>
                </w:p>
                <w:p w14:paraId="25DDEC2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（2）发生火灾、爆炸事故，首先切断火源和易燃物，疏散周边人群，开展应急响应。</w:t>
                  </w:r>
                </w:p>
              </w:tc>
            </w:tr>
            <w:tr w14:paraId="0945D9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7B4D785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6</w:t>
                  </w:r>
                </w:p>
              </w:tc>
              <w:tc>
                <w:tcPr>
                  <w:tcW w:w="1466" w:type="dxa"/>
                  <w:tcBorders>
                    <w:tl2br w:val="nil"/>
                    <w:tr2bl w:val="nil"/>
                  </w:tcBorders>
                  <w:noWrap w:val="0"/>
                  <w:vAlign w:val="center"/>
                </w:tcPr>
                <w:p w14:paraId="4503491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应急保障</w:t>
                  </w:r>
                </w:p>
              </w:tc>
              <w:tc>
                <w:tcPr>
                  <w:tcW w:w="5931" w:type="dxa"/>
                  <w:tcBorders>
                    <w:tl2br w:val="nil"/>
                    <w:tr2bl w:val="nil"/>
                  </w:tcBorders>
                  <w:noWrap w:val="0"/>
                  <w:vAlign w:val="center"/>
                </w:tcPr>
                <w:p w14:paraId="5E2BFC6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公司应建立应急保障制度，做好事故状态人力资源、经费、抢险物资、医疗救护和技术保障等。</w:t>
                  </w:r>
                </w:p>
              </w:tc>
            </w:tr>
            <w:tr w14:paraId="40ECF2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18224B1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7</w:t>
                  </w:r>
                </w:p>
              </w:tc>
              <w:tc>
                <w:tcPr>
                  <w:tcW w:w="1466" w:type="dxa"/>
                  <w:tcBorders>
                    <w:tl2br w:val="nil"/>
                    <w:tr2bl w:val="nil"/>
                  </w:tcBorders>
                  <w:noWrap w:val="0"/>
                  <w:vAlign w:val="center"/>
                </w:tcPr>
                <w:p w14:paraId="2C7425D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善后处置</w:t>
                  </w:r>
                </w:p>
              </w:tc>
              <w:tc>
                <w:tcPr>
                  <w:tcW w:w="5931" w:type="dxa"/>
                  <w:tcBorders>
                    <w:tl2br w:val="nil"/>
                    <w:tr2bl w:val="nil"/>
                  </w:tcBorders>
                  <w:noWrap w:val="0"/>
                  <w:vAlign w:val="center"/>
                </w:tcPr>
                <w:p w14:paraId="7B2B5B4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由公司善后处置人员负责对受灾人员的安置及损失赔偿工作。组织专家对突发环境事件中长期环境影响进行评估，提出生态补偿和对遭受污染的生态环境进行恢复的建议。</w:t>
                  </w:r>
                </w:p>
              </w:tc>
            </w:tr>
            <w:tr w14:paraId="5327E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549" w:type="dxa"/>
                  <w:tcBorders>
                    <w:tl2br w:val="nil"/>
                    <w:tr2bl w:val="nil"/>
                  </w:tcBorders>
                  <w:noWrap w:val="0"/>
                  <w:vAlign w:val="center"/>
                </w:tcPr>
                <w:p w14:paraId="22D2B27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8</w:t>
                  </w:r>
                </w:p>
              </w:tc>
              <w:tc>
                <w:tcPr>
                  <w:tcW w:w="1466" w:type="dxa"/>
                  <w:tcBorders>
                    <w:tl2br w:val="nil"/>
                    <w:tr2bl w:val="nil"/>
                  </w:tcBorders>
                  <w:noWrap w:val="0"/>
                  <w:vAlign w:val="center"/>
                </w:tcPr>
                <w:p w14:paraId="3D5BAEB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预案管理与演练</w:t>
                  </w:r>
                </w:p>
              </w:tc>
              <w:tc>
                <w:tcPr>
                  <w:tcW w:w="5931" w:type="dxa"/>
                  <w:tcBorders>
                    <w:tl2br w:val="nil"/>
                    <w:tr2bl w:val="nil"/>
                  </w:tcBorders>
                  <w:noWrap w:val="0"/>
                  <w:vAlign w:val="center"/>
                </w:tcPr>
                <w:p w14:paraId="1E3D69C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000000"/>
                      <w:kern w:val="0"/>
                      <w:sz w:val="21"/>
                      <w:szCs w:val="21"/>
                      <w:highlight w:val="none"/>
                      <w:lang w:val="en-US" w:eastAsia="zh-CN" w:bidi="ar"/>
                    </w:rPr>
                    <w:t>厂内安全管理部门负责组织、指导应急预案的培训工作，各相关部门和应急救援专业组负责人</w:t>
                  </w:r>
                  <w:r>
                    <w:rPr>
                      <w:rFonts w:hint="eastAsia" w:cs="Times New Roman"/>
                      <w:color w:val="000000"/>
                      <w:kern w:val="0"/>
                      <w:sz w:val="21"/>
                      <w:szCs w:val="21"/>
                      <w:highlight w:val="none"/>
                      <w:lang w:val="en-US" w:eastAsia="zh-CN" w:bidi="ar"/>
                    </w:rPr>
                    <w:t>做好</w:t>
                  </w:r>
                  <w:r>
                    <w:rPr>
                      <w:rFonts w:hint="default" w:ascii="Times New Roman" w:hAnsi="Times New Roman" w:eastAsia="宋体" w:cs="Times New Roman"/>
                      <w:color w:val="000000"/>
                      <w:kern w:val="0"/>
                      <w:sz w:val="21"/>
                      <w:szCs w:val="21"/>
                      <w:highlight w:val="none"/>
                      <w:lang w:val="en-US" w:eastAsia="zh-CN" w:bidi="ar"/>
                    </w:rPr>
                    <w:t>日常预案的学习培训，根据预案实施情况制订相应的培训计划，采取多种形式对应急人员进行应急知识和技能的培训。培训应做好记录和培训评估。</w:t>
                  </w:r>
                </w:p>
              </w:tc>
            </w:tr>
          </w:tbl>
          <w:p w14:paraId="322AA07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综上，本项目虽然存在一定的环境风险，但在采取相应的环境风险防范措施后，项目的环境风险可降至可接受水平。综合分析，项目建设从环境风险角度分析是可行的。</w:t>
            </w:r>
          </w:p>
          <w:p w14:paraId="425FF50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599E023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1CC0AFA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70AE9ED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07527C4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6D3E8C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4F63EC8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6349C9E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0DE7B69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48FF1AF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49BA60E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35DE11E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49F0AF3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0A6C308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5316F2F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74662FA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03BE515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783E163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2E1D1BF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6A9929B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p w14:paraId="2BB71E6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宋体" w:cs="Times New Roman"/>
                <w:highlight w:val="none"/>
                <w:lang w:val="en-US" w:eastAsia="zh-CN"/>
              </w:rPr>
            </w:pPr>
          </w:p>
        </w:tc>
      </w:tr>
    </w:tbl>
    <w:p w14:paraId="182B54B8">
      <w:pPr>
        <w:adjustRightInd w:val="0"/>
        <w:snapToGrid w:val="0"/>
        <w:spacing w:line="360" w:lineRule="auto"/>
        <w:rPr>
          <w:rFonts w:hint="eastAsia" w:ascii="宋体" w:cs="宋体"/>
          <w:b/>
          <w:kern w:val="0"/>
          <w:sz w:val="28"/>
          <w:szCs w:val="28"/>
          <w:highlight w:val="none"/>
        </w:rPr>
        <w:sectPr>
          <w:pgSz w:w="11907" w:h="16840"/>
          <w:pgMar w:top="1701" w:right="1531" w:bottom="2127" w:left="1531" w:header="851" w:footer="1757" w:gutter="0"/>
          <w:pgBorders>
            <w:top w:val="none" w:sz="0" w:space="0"/>
            <w:left w:val="none" w:sz="0" w:space="0"/>
            <w:bottom w:val="none" w:sz="0" w:space="0"/>
            <w:right w:val="none" w:sz="0" w:space="0"/>
          </w:pgBorders>
          <w:pgNumType w:fmt="decimal"/>
          <w:cols w:space="720" w:num="1"/>
          <w:docGrid w:linePitch="312" w:charSpace="0"/>
        </w:sectPr>
      </w:pPr>
    </w:p>
    <w:p w14:paraId="3DD8C595">
      <w:pPr>
        <w:pStyle w:val="19"/>
        <w:jc w:val="center"/>
        <w:outlineLvl w:val="0"/>
        <w:rPr>
          <w:rFonts w:ascii="黑体" w:hAnsi="黑体" w:eastAsia="黑体"/>
          <w:snapToGrid w:val="0"/>
          <w:sz w:val="30"/>
          <w:szCs w:val="30"/>
          <w:highlight w:val="none"/>
        </w:rPr>
      </w:pPr>
      <w:bookmarkStart w:id="6" w:name="_Toc17347"/>
      <w:r>
        <w:rPr>
          <w:rFonts w:hint="eastAsia" w:ascii="黑体" w:hAnsi="黑体" w:eastAsia="黑体"/>
          <w:snapToGrid w:val="0"/>
          <w:sz w:val="30"/>
          <w:szCs w:val="30"/>
          <w:highlight w:val="none"/>
        </w:rPr>
        <w:t>五、</w:t>
      </w:r>
      <w:bookmarkStart w:id="7" w:name="_Hlk54167917"/>
      <w:r>
        <w:rPr>
          <w:rFonts w:hint="eastAsia" w:ascii="黑体" w:hAnsi="黑体" w:eastAsia="黑体"/>
          <w:snapToGrid w:val="0"/>
          <w:sz w:val="30"/>
          <w:szCs w:val="30"/>
          <w:highlight w:val="none"/>
        </w:rPr>
        <w:t>环境保护措施监督检查清单</w:t>
      </w:r>
      <w:bookmarkEnd w:id="6"/>
      <w:bookmarkEnd w:id="7"/>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4"/>
        <w:gridCol w:w="1651"/>
        <w:gridCol w:w="887"/>
        <w:gridCol w:w="3334"/>
        <w:gridCol w:w="1394"/>
      </w:tblGrid>
      <w:tr w14:paraId="43F9F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tcBorders>
              <w:tl2br w:val="single" w:color="auto" w:sz="4" w:space="0"/>
            </w:tcBorders>
            <w:noWrap w:val="0"/>
            <w:vAlign w:val="top"/>
          </w:tcPr>
          <w:p w14:paraId="3A8903E8">
            <w:pPr>
              <w:keepNext w:val="0"/>
              <w:keepLines w:val="0"/>
              <w:pageBreakBefore w:val="0"/>
              <w:widowControl w:val="0"/>
              <w:kinsoku/>
              <w:wordWrap/>
              <w:overflowPunct/>
              <w:topLinePunct w:val="0"/>
              <w:autoSpaceDE/>
              <w:autoSpaceDN/>
              <w:bidi w:val="0"/>
              <w:adjustRightInd w:val="0"/>
              <w:snapToGrid w:val="0"/>
              <w:spacing w:line="336" w:lineRule="auto"/>
              <w:ind w:firstLine="840"/>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内容</w:t>
            </w:r>
          </w:p>
          <w:p w14:paraId="54D830A4">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要素</w:t>
            </w:r>
          </w:p>
        </w:tc>
        <w:tc>
          <w:tcPr>
            <w:tcW w:w="1651" w:type="dxa"/>
            <w:noWrap w:val="0"/>
            <w:vAlign w:val="center"/>
          </w:tcPr>
          <w:p w14:paraId="4E77D3D6">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排放口</w:t>
            </w:r>
            <w:r>
              <w:rPr>
                <w:rFonts w:hint="eastAsia" w:cs="Times New Roman"/>
                <w:sz w:val="21"/>
                <w:szCs w:val="21"/>
                <w:highlight w:val="none"/>
                <w:lang w:eastAsia="zh-CN"/>
              </w:rPr>
              <w:t>（</w:t>
            </w:r>
            <w:r>
              <w:rPr>
                <w:rFonts w:hint="default" w:ascii="Times New Roman" w:hAnsi="Times New Roman" w:eastAsia="宋体" w:cs="Times New Roman"/>
                <w:sz w:val="21"/>
                <w:szCs w:val="21"/>
                <w:highlight w:val="none"/>
              </w:rPr>
              <w:t>编号、</w:t>
            </w:r>
          </w:p>
          <w:p w14:paraId="642EE046">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名称</w:t>
            </w:r>
            <w:r>
              <w:rPr>
                <w:rFonts w:hint="eastAsia" w:cs="Times New Roman"/>
                <w:sz w:val="21"/>
                <w:szCs w:val="21"/>
                <w:highlight w:val="none"/>
                <w:lang w:eastAsia="zh-CN"/>
              </w:rPr>
              <w:t>）</w:t>
            </w:r>
            <w:r>
              <w:rPr>
                <w:rFonts w:hint="default" w:ascii="Times New Roman" w:hAnsi="Times New Roman" w:eastAsia="宋体" w:cs="Times New Roman"/>
                <w:sz w:val="21"/>
                <w:szCs w:val="21"/>
                <w:highlight w:val="none"/>
              </w:rPr>
              <w:t>/污染源</w:t>
            </w:r>
          </w:p>
        </w:tc>
        <w:tc>
          <w:tcPr>
            <w:tcW w:w="887" w:type="dxa"/>
            <w:noWrap w:val="0"/>
            <w:vAlign w:val="center"/>
          </w:tcPr>
          <w:p w14:paraId="13C48238">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污染物项目</w:t>
            </w:r>
          </w:p>
        </w:tc>
        <w:tc>
          <w:tcPr>
            <w:tcW w:w="3334" w:type="dxa"/>
            <w:noWrap w:val="0"/>
            <w:vAlign w:val="center"/>
          </w:tcPr>
          <w:p w14:paraId="67FBE571">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环境保护措施</w:t>
            </w:r>
          </w:p>
        </w:tc>
        <w:tc>
          <w:tcPr>
            <w:tcW w:w="1394" w:type="dxa"/>
            <w:noWrap w:val="0"/>
            <w:vAlign w:val="center"/>
          </w:tcPr>
          <w:p w14:paraId="2EF7AD44">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执行标准</w:t>
            </w:r>
          </w:p>
        </w:tc>
      </w:tr>
      <w:tr w14:paraId="577430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Merge w:val="restart"/>
            <w:noWrap w:val="0"/>
            <w:vAlign w:val="center"/>
          </w:tcPr>
          <w:p w14:paraId="20A7A22F">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大气环境</w:t>
            </w:r>
          </w:p>
        </w:tc>
        <w:tc>
          <w:tcPr>
            <w:tcW w:w="1651" w:type="dxa"/>
            <w:noWrap w:val="0"/>
            <w:vAlign w:val="center"/>
          </w:tcPr>
          <w:p w14:paraId="789FB6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pPr>
            <w:r>
              <w:rPr>
                <w:rFonts w:hint="eastAsia" w:cs="Times New Roman"/>
                <w:b w:val="0"/>
                <w:bCs w:val="0"/>
                <w:color w:val="auto"/>
                <w:spacing w:val="0"/>
                <w:kern w:val="0"/>
                <w:sz w:val="24"/>
                <w:szCs w:val="24"/>
                <w:highlight w:val="none"/>
                <w:vertAlign w:val="baseline"/>
                <w:lang w:val="en-US" w:eastAsia="zh-CN" w:bidi="ar-SA"/>
              </w:rPr>
              <w:t>除锈</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废气排放口DA001</w:t>
            </w:r>
          </w:p>
        </w:tc>
        <w:tc>
          <w:tcPr>
            <w:tcW w:w="887" w:type="dxa"/>
            <w:noWrap w:val="0"/>
            <w:vAlign w:val="center"/>
          </w:tcPr>
          <w:p w14:paraId="6ABB49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kern w:val="0"/>
                <w:sz w:val="24"/>
                <w:szCs w:val="24"/>
                <w:highlight w:val="none"/>
                <w:lang w:val="en-US" w:eastAsia="zh-CN"/>
              </w:rPr>
            </w:pPr>
            <w:r>
              <w:rPr>
                <w:rFonts w:hint="default" w:ascii="Times New Roman" w:hAnsi="Times New Roman" w:eastAsia="宋体" w:cs="Times New Roman"/>
                <w:spacing w:val="0"/>
                <w:kern w:val="0"/>
                <w:sz w:val="24"/>
                <w:szCs w:val="24"/>
                <w:highlight w:val="none"/>
                <w:lang w:val="en-US" w:eastAsia="zh-CN"/>
              </w:rPr>
              <w:t>颗粒物</w:t>
            </w:r>
          </w:p>
        </w:tc>
        <w:tc>
          <w:tcPr>
            <w:tcW w:w="3334" w:type="dxa"/>
            <w:noWrap w:val="0"/>
            <w:vAlign w:val="center"/>
          </w:tcPr>
          <w:p w14:paraId="586270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pP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设置集气罩，废气收集后经袋式除尘器处理后由</w:t>
            </w: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15</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m高排气筒排放</w:t>
            </w:r>
          </w:p>
        </w:tc>
        <w:tc>
          <w:tcPr>
            <w:tcW w:w="1394" w:type="dxa"/>
            <w:vMerge w:val="restart"/>
            <w:noWrap w:val="0"/>
            <w:vAlign w:val="center"/>
          </w:tcPr>
          <w:p w14:paraId="25E695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17"/>
                <w:w w:val="100"/>
                <w:kern w:val="0"/>
                <w:sz w:val="24"/>
                <w:szCs w:val="24"/>
                <w:highlight w:val="none"/>
              </w:rPr>
            </w:pPr>
            <w:r>
              <w:rPr>
                <w:rFonts w:hint="default" w:ascii="Times New Roman" w:hAnsi="Times New Roman" w:eastAsia="宋体" w:cs="Times New Roman"/>
                <w:color w:val="auto"/>
                <w:spacing w:val="-17"/>
                <w:w w:val="100"/>
                <w:kern w:val="0"/>
                <w:sz w:val="24"/>
                <w:szCs w:val="24"/>
                <w:highlight w:val="none"/>
                <w:lang w:val="en-US" w:eastAsia="zh-CN" w:bidi="ar-SA"/>
              </w:rPr>
              <w:t>《长治市工业企业无组织排放治理实施方案》（长气防办〔2019〕9号）</w:t>
            </w:r>
          </w:p>
        </w:tc>
      </w:tr>
      <w:tr w14:paraId="51083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Merge w:val="continue"/>
            <w:noWrap w:val="0"/>
            <w:vAlign w:val="center"/>
          </w:tcPr>
          <w:p w14:paraId="4B408EAD">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p>
        </w:tc>
        <w:tc>
          <w:tcPr>
            <w:tcW w:w="1651" w:type="dxa"/>
            <w:noWrap w:val="0"/>
            <w:vAlign w:val="center"/>
          </w:tcPr>
          <w:p w14:paraId="235BBA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pP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1#</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氢碎炉含尘废气DA002</w:t>
            </w:r>
          </w:p>
        </w:tc>
        <w:tc>
          <w:tcPr>
            <w:tcW w:w="887" w:type="dxa"/>
            <w:noWrap w:val="0"/>
            <w:vAlign w:val="center"/>
          </w:tcPr>
          <w:p w14:paraId="0C88C0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kern w:val="0"/>
                <w:sz w:val="24"/>
                <w:szCs w:val="24"/>
                <w:highlight w:val="none"/>
                <w:lang w:val="en-US" w:eastAsia="zh-CN"/>
              </w:rPr>
            </w:pPr>
            <w:r>
              <w:rPr>
                <w:rFonts w:hint="eastAsia" w:ascii="Times New Roman" w:hAnsi="Times New Roman" w:eastAsia="宋体" w:cs="Times New Roman"/>
                <w:spacing w:val="0"/>
                <w:kern w:val="0"/>
                <w:sz w:val="24"/>
                <w:szCs w:val="24"/>
                <w:highlight w:val="none"/>
                <w:lang w:val="en-US" w:eastAsia="zh-CN"/>
              </w:rPr>
              <w:t>颗粒物</w:t>
            </w:r>
          </w:p>
        </w:tc>
        <w:tc>
          <w:tcPr>
            <w:tcW w:w="3334" w:type="dxa"/>
            <w:noWrap w:val="0"/>
            <w:vAlign w:val="center"/>
          </w:tcPr>
          <w:p w14:paraId="52566E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kern w:val="0"/>
                <w:sz w:val="24"/>
                <w:szCs w:val="24"/>
                <w:highlight w:val="none"/>
                <w:lang w:val="en-US" w:eastAsia="zh-CN" w:bidi="ar-SA"/>
              </w:rPr>
            </w:pPr>
            <w:r>
              <w:rPr>
                <w:rFonts w:hint="eastAsia" w:ascii="Times New Roman" w:hAnsi="Times New Roman" w:eastAsia="宋体" w:cs="Times New Roman"/>
                <w:spacing w:val="0"/>
                <w:kern w:val="0"/>
                <w:sz w:val="24"/>
                <w:szCs w:val="24"/>
                <w:highlight w:val="none"/>
                <w:lang w:val="en-US" w:eastAsia="zh-CN" w:bidi="ar-SA"/>
              </w:rPr>
              <w:t>脱氢过程产生的含尘废气经氢碎炉配备的</w:t>
            </w:r>
            <w:r>
              <w:rPr>
                <w:rFonts w:hint="default" w:ascii="Times New Roman" w:hAnsi="Times New Roman" w:eastAsia="宋体" w:cs="Times New Roman"/>
                <w:color w:val="auto"/>
                <w:spacing w:val="0"/>
                <w:kern w:val="0"/>
                <w:sz w:val="24"/>
                <w:szCs w:val="24"/>
                <w:highlight w:val="none"/>
                <w:lang w:val="en-US" w:eastAsia="zh-CN" w:bidi="ar-SA"/>
              </w:rPr>
              <w:t>超细粉过滤器</w:t>
            </w:r>
            <w:r>
              <w:rPr>
                <w:rFonts w:hint="eastAsia" w:ascii="Times New Roman" w:hAnsi="Times New Roman" w:eastAsia="宋体" w:cs="Times New Roman"/>
                <w:color w:val="auto"/>
                <w:spacing w:val="0"/>
                <w:kern w:val="0"/>
                <w:sz w:val="24"/>
                <w:szCs w:val="24"/>
                <w:highlight w:val="none"/>
                <w:lang w:val="en-US" w:eastAsia="zh-CN" w:bidi="ar-SA"/>
              </w:rPr>
              <w:t>过滤后</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由</w:t>
            </w: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15</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m高排气筒排放</w:t>
            </w:r>
          </w:p>
        </w:tc>
        <w:tc>
          <w:tcPr>
            <w:tcW w:w="1394" w:type="dxa"/>
            <w:vMerge w:val="continue"/>
            <w:noWrap w:val="0"/>
            <w:vAlign w:val="center"/>
          </w:tcPr>
          <w:p w14:paraId="0B96C8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17"/>
                <w:w w:val="100"/>
                <w:kern w:val="0"/>
                <w:sz w:val="24"/>
                <w:szCs w:val="24"/>
                <w:highlight w:val="none"/>
              </w:rPr>
            </w:pPr>
          </w:p>
        </w:tc>
      </w:tr>
      <w:tr w14:paraId="1E1CA7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Merge w:val="continue"/>
            <w:noWrap w:val="0"/>
            <w:vAlign w:val="center"/>
          </w:tcPr>
          <w:p w14:paraId="70C44841">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p>
        </w:tc>
        <w:tc>
          <w:tcPr>
            <w:tcW w:w="1651" w:type="dxa"/>
            <w:noWrap w:val="0"/>
            <w:vAlign w:val="center"/>
          </w:tcPr>
          <w:p w14:paraId="302131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pP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2#</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氢碎炉含尘废气DA00</w:t>
            </w: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3</w:t>
            </w:r>
          </w:p>
        </w:tc>
        <w:tc>
          <w:tcPr>
            <w:tcW w:w="887" w:type="dxa"/>
            <w:noWrap w:val="0"/>
            <w:vAlign w:val="center"/>
          </w:tcPr>
          <w:p w14:paraId="036B58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pacing w:val="0"/>
                <w:kern w:val="0"/>
                <w:sz w:val="24"/>
                <w:szCs w:val="24"/>
                <w:highlight w:val="none"/>
                <w:lang w:val="en-US" w:eastAsia="zh-CN" w:bidi="ar-SA"/>
              </w:rPr>
            </w:pPr>
            <w:r>
              <w:rPr>
                <w:rFonts w:hint="eastAsia" w:ascii="Times New Roman" w:hAnsi="Times New Roman" w:eastAsia="宋体" w:cs="Times New Roman"/>
                <w:spacing w:val="0"/>
                <w:kern w:val="0"/>
                <w:sz w:val="24"/>
                <w:szCs w:val="24"/>
                <w:highlight w:val="none"/>
                <w:lang w:val="en-US" w:eastAsia="zh-CN"/>
              </w:rPr>
              <w:t>颗粒物</w:t>
            </w:r>
          </w:p>
        </w:tc>
        <w:tc>
          <w:tcPr>
            <w:tcW w:w="3334" w:type="dxa"/>
            <w:noWrap w:val="0"/>
            <w:vAlign w:val="center"/>
          </w:tcPr>
          <w:p w14:paraId="6D6A01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pacing w:val="0"/>
                <w:kern w:val="0"/>
                <w:sz w:val="24"/>
                <w:szCs w:val="24"/>
                <w:highlight w:val="none"/>
                <w:lang w:val="en-US" w:eastAsia="zh-CN" w:bidi="ar-SA"/>
              </w:rPr>
            </w:pPr>
            <w:r>
              <w:rPr>
                <w:rFonts w:hint="eastAsia" w:ascii="Times New Roman" w:hAnsi="Times New Roman" w:eastAsia="宋体" w:cs="Times New Roman"/>
                <w:spacing w:val="0"/>
                <w:kern w:val="0"/>
                <w:sz w:val="24"/>
                <w:szCs w:val="24"/>
                <w:highlight w:val="none"/>
                <w:lang w:val="en-US" w:eastAsia="zh-CN" w:bidi="ar-SA"/>
              </w:rPr>
              <w:t>脱氢过程产生的含尘废气经氢碎炉配备的</w:t>
            </w:r>
            <w:r>
              <w:rPr>
                <w:rFonts w:hint="default" w:ascii="Times New Roman" w:hAnsi="Times New Roman" w:eastAsia="宋体" w:cs="Times New Roman"/>
                <w:color w:val="auto"/>
                <w:spacing w:val="0"/>
                <w:kern w:val="0"/>
                <w:sz w:val="24"/>
                <w:szCs w:val="24"/>
                <w:highlight w:val="none"/>
                <w:lang w:val="en-US" w:eastAsia="zh-CN" w:bidi="ar-SA"/>
              </w:rPr>
              <w:t>超细粉过滤器</w:t>
            </w:r>
            <w:r>
              <w:rPr>
                <w:rFonts w:hint="eastAsia" w:ascii="Times New Roman" w:hAnsi="Times New Roman" w:eastAsia="宋体" w:cs="Times New Roman"/>
                <w:color w:val="auto"/>
                <w:spacing w:val="0"/>
                <w:kern w:val="0"/>
                <w:sz w:val="24"/>
                <w:szCs w:val="24"/>
                <w:highlight w:val="none"/>
                <w:lang w:val="en-US" w:eastAsia="zh-CN" w:bidi="ar-SA"/>
              </w:rPr>
              <w:t>过滤后</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由</w:t>
            </w: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15</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m高排气筒排放</w:t>
            </w:r>
          </w:p>
        </w:tc>
        <w:tc>
          <w:tcPr>
            <w:tcW w:w="1394" w:type="dxa"/>
            <w:vMerge w:val="continue"/>
            <w:noWrap w:val="0"/>
            <w:vAlign w:val="center"/>
          </w:tcPr>
          <w:p w14:paraId="55ABF2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17"/>
                <w:w w:val="100"/>
                <w:kern w:val="0"/>
                <w:sz w:val="24"/>
                <w:szCs w:val="24"/>
                <w:highlight w:val="none"/>
              </w:rPr>
            </w:pPr>
          </w:p>
        </w:tc>
      </w:tr>
      <w:tr w14:paraId="09AB98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Merge w:val="continue"/>
            <w:noWrap w:val="0"/>
            <w:vAlign w:val="center"/>
          </w:tcPr>
          <w:p w14:paraId="184C485C">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p>
        </w:tc>
        <w:tc>
          <w:tcPr>
            <w:tcW w:w="1651" w:type="dxa"/>
            <w:noWrap w:val="0"/>
            <w:vAlign w:val="center"/>
          </w:tcPr>
          <w:p w14:paraId="4B1B2D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pP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等静压</w:t>
            </w: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工序废气排放口DA00</w:t>
            </w: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4</w:t>
            </w:r>
          </w:p>
        </w:tc>
        <w:tc>
          <w:tcPr>
            <w:tcW w:w="887" w:type="dxa"/>
            <w:noWrap w:val="0"/>
            <w:vAlign w:val="center"/>
          </w:tcPr>
          <w:p w14:paraId="54C693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kern w:val="0"/>
                <w:sz w:val="24"/>
                <w:szCs w:val="24"/>
                <w:highlight w:val="none"/>
                <w:lang w:val="en-US" w:eastAsia="zh-CN" w:bidi="ar-SA"/>
              </w:rPr>
            </w:pPr>
            <w:r>
              <w:rPr>
                <w:rFonts w:hint="default" w:ascii="Times New Roman" w:hAnsi="Times New Roman" w:eastAsia="宋体" w:cs="Times New Roman"/>
                <w:spacing w:val="0"/>
                <w:kern w:val="0"/>
                <w:sz w:val="24"/>
                <w:szCs w:val="24"/>
                <w:highlight w:val="none"/>
                <w:lang w:val="en-US" w:eastAsia="zh-CN"/>
              </w:rPr>
              <w:t>非甲烷总烃</w:t>
            </w:r>
          </w:p>
        </w:tc>
        <w:tc>
          <w:tcPr>
            <w:tcW w:w="3334" w:type="dxa"/>
            <w:noWrap w:val="0"/>
            <w:vAlign w:val="center"/>
          </w:tcPr>
          <w:p w14:paraId="3F6E95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kern w:val="0"/>
                <w:sz w:val="24"/>
                <w:szCs w:val="24"/>
                <w:highlight w:val="none"/>
                <w:lang w:val="en-US" w:eastAsia="zh-CN" w:bidi="ar-SA"/>
              </w:rPr>
            </w:pPr>
            <w:r>
              <w:rPr>
                <w:rFonts w:hint="default" w:ascii="Times New Roman" w:hAnsi="Times New Roman" w:eastAsia="宋体" w:cs="Times New Roman"/>
                <w:spacing w:val="0"/>
                <w:kern w:val="0"/>
                <w:sz w:val="24"/>
                <w:szCs w:val="24"/>
                <w:highlight w:val="none"/>
                <w:lang w:val="en-US" w:eastAsia="zh-CN" w:bidi="ar-SA"/>
              </w:rPr>
              <w:t>采用</w:t>
            </w:r>
            <w:r>
              <w:rPr>
                <w:rFonts w:hint="eastAsia" w:ascii="Times New Roman" w:hAnsi="Times New Roman" w:eastAsia="宋体" w:cs="Times New Roman"/>
                <w:spacing w:val="0"/>
                <w:kern w:val="0"/>
                <w:sz w:val="24"/>
                <w:szCs w:val="24"/>
                <w:highlight w:val="none"/>
                <w:lang w:val="en-US" w:eastAsia="zh-CN" w:bidi="ar-SA"/>
              </w:rPr>
              <w:t>二级活性炭吸附</w:t>
            </w:r>
            <w:r>
              <w:rPr>
                <w:rFonts w:hint="default" w:ascii="Times New Roman" w:hAnsi="Times New Roman" w:eastAsia="宋体" w:cs="Times New Roman"/>
                <w:spacing w:val="0"/>
                <w:kern w:val="0"/>
                <w:sz w:val="24"/>
                <w:szCs w:val="24"/>
                <w:highlight w:val="none"/>
                <w:lang w:val="en-US" w:eastAsia="zh-CN" w:bidi="ar-SA"/>
              </w:rPr>
              <w:t>的方法处理达标后通过一根不低于1</w:t>
            </w:r>
            <w:r>
              <w:rPr>
                <w:rFonts w:hint="eastAsia" w:ascii="Times New Roman" w:hAnsi="Times New Roman" w:eastAsia="宋体" w:cs="Times New Roman"/>
                <w:spacing w:val="0"/>
                <w:kern w:val="0"/>
                <w:sz w:val="24"/>
                <w:szCs w:val="24"/>
                <w:highlight w:val="none"/>
                <w:lang w:val="en-US" w:eastAsia="zh-CN" w:bidi="ar-SA"/>
              </w:rPr>
              <w:t>5</w:t>
            </w:r>
            <w:r>
              <w:rPr>
                <w:rFonts w:hint="default" w:ascii="Times New Roman" w:hAnsi="Times New Roman" w:eastAsia="宋体" w:cs="Times New Roman"/>
                <w:spacing w:val="0"/>
                <w:kern w:val="0"/>
                <w:sz w:val="24"/>
                <w:szCs w:val="24"/>
                <w:highlight w:val="none"/>
                <w:lang w:val="en-US" w:eastAsia="zh-CN" w:bidi="ar-SA"/>
              </w:rPr>
              <w:t>m高排气筒排放。</w:t>
            </w:r>
          </w:p>
        </w:tc>
        <w:tc>
          <w:tcPr>
            <w:tcW w:w="1394" w:type="dxa"/>
            <w:vMerge w:val="restart"/>
            <w:noWrap w:val="0"/>
            <w:vAlign w:val="center"/>
          </w:tcPr>
          <w:p w14:paraId="3D55A9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17"/>
                <w:w w:val="100"/>
                <w:kern w:val="0"/>
                <w:sz w:val="24"/>
                <w:szCs w:val="24"/>
                <w:highlight w:val="none"/>
              </w:rPr>
            </w:pPr>
            <w:r>
              <w:rPr>
                <w:rFonts w:hint="default" w:ascii="Times New Roman" w:hAnsi="Times New Roman" w:eastAsia="宋体" w:cs="Times New Roman"/>
                <w:color w:val="auto"/>
                <w:spacing w:val="-17"/>
                <w:w w:val="100"/>
                <w:kern w:val="0"/>
                <w:sz w:val="24"/>
                <w:szCs w:val="24"/>
                <w:highlight w:val="none"/>
                <w:lang w:val="zh-CN" w:eastAsia="zh-CN" w:bidi="ar-SA"/>
              </w:rPr>
              <w:t>《山西省重点行业挥发性有机物（VOCs）2017年专项治理方案》（晋气防办〔2017〕32号）</w:t>
            </w:r>
          </w:p>
        </w:tc>
      </w:tr>
      <w:tr w14:paraId="22D864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Merge w:val="continue"/>
            <w:noWrap w:val="0"/>
            <w:vAlign w:val="center"/>
          </w:tcPr>
          <w:p w14:paraId="26301DD8">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p>
        </w:tc>
        <w:tc>
          <w:tcPr>
            <w:tcW w:w="1651" w:type="dxa"/>
            <w:noWrap w:val="0"/>
            <w:vAlign w:val="center"/>
          </w:tcPr>
          <w:p w14:paraId="474DE9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pPr>
            <w:r>
              <w:rPr>
                <w:rFonts w:hint="default" w:ascii="Times New Roman" w:hAnsi="Times New Roman" w:eastAsia="宋体" w:cs="Times New Roman"/>
                <w:b w:val="0"/>
                <w:bCs w:val="0"/>
                <w:color w:val="auto"/>
                <w:spacing w:val="0"/>
                <w:kern w:val="0"/>
                <w:sz w:val="24"/>
                <w:szCs w:val="24"/>
                <w:highlight w:val="none"/>
                <w:vertAlign w:val="baseline"/>
                <w:lang w:val="en-US" w:eastAsia="zh-CN" w:bidi="ar-SA"/>
              </w:rPr>
              <w:t>烧结工序废气排放口DA00</w:t>
            </w:r>
            <w:r>
              <w:rPr>
                <w:rFonts w:hint="eastAsia" w:ascii="Times New Roman" w:hAnsi="Times New Roman" w:eastAsia="宋体" w:cs="Times New Roman"/>
                <w:b w:val="0"/>
                <w:bCs w:val="0"/>
                <w:color w:val="auto"/>
                <w:spacing w:val="0"/>
                <w:kern w:val="0"/>
                <w:sz w:val="24"/>
                <w:szCs w:val="24"/>
                <w:highlight w:val="none"/>
                <w:vertAlign w:val="baseline"/>
                <w:lang w:val="en-US" w:eastAsia="zh-CN" w:bidi="ar-SA"/>
              </w:rPr>
              <w:t>5</w:t>
            </w:r>
          </w:p>
        </w:tc>
        <w:tc>
          <w:tcPr>
            <w:tcW w:w="887" w:type="dxa"/>
            <w:noWrap w:val="0"/>
            <w:vAlign w:val="center"/>
          </w:tcPr>
          <w:p w14:paraId="365DD3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kern w:val="0"/>
                <w:sz w:val="24"/>
                <w:szCs w:val="24"/>
                <w:highlight w:val="none"/>
                <w:lang w:val="en-US" w:eastAsia="zh-CN" w:bidi="ar-SA"/>
              </w:rPr>
            </w:pPr>
            <w:r>
              <w:rPr>
                <w:rFonts w:hint="default" w:ascii="Times New Roman" w:hAnsi="Times New Roman" w:eastAsia="宋体" w:cs="Times New Roman"/>
                <w:spacing w:val="0"/>
                <w:kern w:val="0"/>
                <w:sz w:val="24"/>
                <w:szCs w:val="24"/>
                <w:highlight w:val="none"/>
                <w:lang w:val="en-US" w:eastAsia="zh-CN"/>
              </w:rPr>
              <w:t>非甲烷总烃</w:t>
            </w:r>
          </w:p>
        </w:tc>
        <w:tc>
          <w:tcPr>
            <w:tcW w:w="3334" w:type="dxa"/>
            <w:noWrap w:val="0"/>
            <w:vAlign w:val="center"/>
          </w:tcPr>
          <w:p w14:paraId="500266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kern w:val="0"/>
                <w:sz w:val="24"/>
                <w:szCs w:val="24"/>
                <w:highlight w:val="none"/>
                <w:lang w:val="en-US" w:eastAsia="zh-CN" w:bidi="ar-SA"/>
              </w:rPr>
            </w:pPr>
            <w:r>
              <w:rPr>
                <w:rFonts w:hint="default" w:ascii="Times New Roman" w:hAnsi="Times New Roman" w:eastAsia="宋体" w:cs="Times New Roman"/>
                <w:spacing w:val="0"/>
                <w:kern w:val="0"/>
                <w:sz w:val="24"/>
                <w:szCs w:val="24"/>
                <w:highlight w:val="none"/>
                <w:lang w:val="en-US" w:eastAsia="zh-CN" w:bidi="ar-SA"/>
              </w:rPr>
              <w:t>采用</w:t>
            </w:r>
            <w:r>
              <w:rPr>
                <w:rFonts w:hint="eastAsia" w:ascii="Times New Roman" w:hAnsi="Times New Roman" w:eastAsia="宋体" w:cs="Times New Roman"/>
                <w:spacing w:val="0"/>
                <w:kern w:val="0"/>
                <w:sz w:val="24"/>
                <w:szCs w:val="24"/>
                <w:highlight w:val="none"/>
                <w:lang w:val="en-US" w:eastAsia="zh-CN" w:bidi="ar-SA"/>
              </w:rPr>
              <w:t>二级活性炭吸附</w:t>
            </w:r>
            <w:r>
              <w:rPr>
                <w:rFonts w:hint="default" w:ascii="Times New Roman" w:hAnsi="Times New Roman" w:eastAsia="宋体" w:cs="Times New Roman"/>
                <w:spacing w:val="0"/>
                <w:kern w:val="0"/>
                <w:sz w:val="24"/>
                <w:szCs w:val="24"/>
                <w:highlight w:val="none"/>
                <w:lang w:val="en-US" w:eastAsia="zh-CN" w:bidi="ar-SA"/>
              </w:rPr>
              <w:t>的方法处理烧结炉抽真空尾气，各烧结炉抽真空废气汇总至一根总管后，再经处理达标后通过一根不低于1</w:t>
            </w:r>
            <w:r>
              <w:rPr>
                <w:rFonts w:hint="eastAsia" w:ascii="Times New Roman" w:hAnsi="Times New Roman" w:eastAsia="宋体" w:cs="Times New Roman"/>
                <w:spacing w:val="0"/>
                <w:kern w:val="0"/>
                <w:sz w:val="24"/>
                <w:szCs w:val="24"/>
                <w:highlight w:val="none"/>
                <w:lang w:val="en-US" w:eastAsia="zh-CN" w:bidi="ar-SA"/>
              </w:rPr>
              <w:t>5</w:t>
            </w:r>
            <w:r>
              <w:rPr>
                <w:rFonts w:hint="default" w:ascii="Times New Roman" w:hAnsi="Times New Roman" w:eastAsia="宋体" w:cs="Times New Roman"/>
                <w:spacing w:val="0"/>
                <w:kern w:val="0"/>
                <w:sz w:val="24"/>
                <w:szCs w:val="24"/>
                <w:highlight w:val="none"/>
                <w:lang w:val="en-US" w:eastAsia="zh-CN" w:bidi="ar-SA"/>
              </w:rPr>
              <w:t>m高排气筒排放。</w:t>
            </w:r>
          </w:p>
        </w:tc>
        <w:tc>
          <w:tcPr>
            <w:tcW w:w="1394" w:type="dxa"/>
            <w:vMerge w:val="continue"/>
            <w:noWrap w:val="0"/>
            <w:vAlign w:val="center"/>
          </w:tcPr>
          <w:p w14:paraId="0A89A9A6">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spacing w:val="-17"/>
                <w:w w:val="100"/>
                <w:kern w:val="0"/>
                <w:sz w:val="21"/>
                <w:szCs w:val="21"/>
                <w:highlight w:val="none"/>
                <w:lang w:val="en-US" w:eastAsia="zh-CN"/>
              </w:rPr>
            </w:pPr>
          </w:p>
        </w:tc>
      </w:tr>
      <w:tr w14:paraId="3E6DAD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vMerge w:val="restart"/>
            <w:noWrap w:val="0"/>
            <w:vAlign w:val="center"/>
          </w:tcPr>
          <w:p w14:paraId="565C0D19">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地表水环境</w:t>
            </w:r>
          </w:p>
        </w:tc>
        <w:tc>
          <w:tcPr>
            <w:tcW w:w="1651" w:type="dxa"/>
            <w:noWrap w:val="0"/>
            <w:vAlign w:val="center"/>
          </w:tcPr>
          <w:p w14:paraId="4D743459">
            <w:pPr>
              <w:keepNext w:val="0"/>
              <w:keepLines w:val="0"/>
              <w:pageBreakBefore w:val="0"/>
              <w:widowControl w:val="0"/>
              <w:kinsoku/>
              <w:wordWrap/>
              <w:overflowPunct/>
              <w:topLinePunct w:val="0"/>
              <w:autoSpaceDE/>
              <w:autoSpaceDN/>
              <w:bidi w:val="0"/>
              <w:adjustRightInd w:val="0"/>
              <w:snapToGrid/>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职工生活</w:t>
            </w:r>
          </w:p>
        </w:tc>
        <w:tc>
          <w:tcPr>
            <w:tcW w:w="887" w:type="dxa"/>
            <w:noWrap w:val="0"/>
            <w:vAlign w:val="center"/>
          </w:tcPr>
          <w:p w14:paraId="6914E8C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spacing w:val="-17"/>
                <w:kern w:val="0"/>
                <w:sz w:val="24"/>
                <w:szCs w:val="24"/>
                <w:highlight w:val="none"/>
                <w:lang w:val="en-US" w:eastAsia="zh-CN"/>
              </w:rPr>
            </w:pPr>
            <w:r>
              <w:rPr>
                <w:rFonts w:hint="default" w:ascii="Times New Roman" w:hAnsi="Times New Roman" w:eastAsia="宋体" w:cs="Times New Roman"/>
                <w:color w:val="auto"/>
                <w:spacing w:val="-17"/>
                <w:kern w:val="0"/>
                <w:sz w:val="24"/>
                <w:szCs w:val="24"/>
                <w:highlight w:val="none"/>
                <w:vertAlign w:val="baseline"/>
                <w:lang w:val="en-US" w:eastAsia="zh-CN" w:bidi="ar-SA"/>
              </w:rPr>
              <w:t>COD、NH</w:t>
            </w:r>
            <w:r>
              <w:rPr>
                <w:rFonts w:hint="default" w:ascii="Times New Roman" w:hAnsi="Times New Roman" w:eastAsia="宋体" w:cs="Times New Roman"/>
                <w:color w:val="auto"/>
                <w:spacing w:val="-17"/>
                <w:kern w:val="0"/>
                <w:sz w:val="24"/>
                <w:szCs w:val="24"/>
                <w:highlight w:val="none"/>
                <w:vertAlign w:val="subscript"/>
                <w:lang w:val="en-US" w:eastAsia="zh-CN" w:bidi="ar-SA"/>
              </w:rPr>
              <w:t>3</w:t>
            </w:r>
            <w:r>
              <w:rPr>
                <w:rFonts w:hint="default" w:ascii="Times New Roman" w:hAnsi="Times New Roman" w:eastAsia="宋体" w:cs="Times New Roman"/>
                <w:color w:val="auto"/>
                <w:spacing w:val="-17"/>
                <w:kern w:val="0"/>
                <w:sz w:val="24"/>
                <w:szCs w:val="24"/>
                <w:highlight w:val="none"/>
                <w:vertAlign w:val="baseline"/>
                <w:lang w:val="en-US" w:eastAsia="zh-CN" w:bidi="ar-SA"/>
              </w:rPr>
              <w:t>-N、SS</w:t>
            </w:r>
          </w:p>
        </w:tc>
        <w:tc>
          <w:tcPr>
            <w:tcW w:w="3334" w:type="dxa"/>
            <w:noWrap w:val="0"/>
            <w:vAlign w:val="center"/>
          </w:tcPr>
          <w:p w14:paraId="0B2147ED">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0" w:firstLineChars="0"/>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color w:val="auto"/>
                <w:kern w:val="2"/>
                <w:sz w:val="24"/>
                <w:szCs w:val="24"/>
                <w:highlight w:val="none"/>
                <w:vertAlign w:val="baseline"/>
                <w:lang w:val="en-US" w:eastAsia="zh-CN" w:bidi="ar-SA"/>
              </w:rPr>
              <w:t>排入园区污水管网</w:t>
            </w:r>
          </w:p>
        </w:tc>
        <w:tc>
          <w:tcPr>
            <w:tcW w:w="1394" w:type="dxa"/>
            <w:noWrap w:val="0"/>
            <w:vAlign w:val="center"/>
          </w:tcPr>
          <w:p w14:paraId="71563C01">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spacing w:val="-17"/>
                <w:w w:val="100"/>
                <w:kern w:val="0"/>
                <w:sz w:val="24"/>
                <w:szCs w:val="24"/>
                <w:highlight w:val="none"/>
                <w:lang w:val="en-US" w:eastAsia="zh-CN"/>
              </w:rPr>
            </w:pPr>
            <w:r>
              <w:rPr>
                <w:rFonts w:hint="eastAsia" w:ascii="Times New Roman" w:hAnsi="Times New Roman" w:eastAsia="宋体" w:cs="Times New Roman"/>
                <w:color w:val="auto"/>
                <w:spacing w:val="-17"/>
                <w:w w:val="100"/>
                <w:kern w:val="0"/>
                <w:sz w:val="24"/>
                <w:szCs w:val="24"/>
                <w:highlight w:val="none"/>
                <w:lang w:val="en-US" w:eastAsia="zh-CN" w:bidi="ar-SA"/>
              </w:rPr>
              <w:t>《污水排入城镇下水道水质标准》（GB/T31962-2015）A级限值</w:t>
            </w:r>
          </w:p>
        </w:tc>
      </w:tr>
      <w:tr w14:paraId="0C22E9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vMerge w:val="continue"/>
            <w:noWrap w:val="0"/>
            <w:vAlign w:val="center"/>
          </w:tcPr>
          <w:p w14:paraId="30355BB5">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p>
        </w:tc>
        <w:tc>
          <w:tcPr>
            <w:tcW w:w="1651" w:type="dxa"/>
            <w:noWrap w:val="0"/>
            <w:vAlign w:val="center"/>
          </w:tcPr>
          <w:p w14:paraId="697F4525">
            <w:pPr>
              <w:keepNext w:val="0"/>
              <w:keepLines w:val="0"/>
              <w:pageBreakBefore w:val="0"/>
              <w:widowControl w:val="0"/>
              <w:kinsoku/>
              <w:wordWrap/>
              <w:overflowPunct/>
              <w:topLinePunct w:val="0"/>
              <w:autoSpaceDE/>
              <w:autoSpaceDN/>
              <w:bidi w:val="0"/>
              <w:adjustRightInd w:val="0"/>
              <w:snapToGrid/>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color w:val="000000"/>
                <w:kern w:val="2"/>
                <w:sz w:val="24"/>
                <w:szCs w:val="24"/>
                <w:highlight w:val="none"/>
                <w:lang w:val="en-US" w:eastAsia="zh-CN" w:bidi="ar-SA"/>
              </w:rPr>
              <w:t>冷却系统排水</w:t>
            </w:r>
          </w:p>
        </w:tc>
        <w:tc>
          <w:tcPr>
            <w:tcW w:w="887" w:type="dxa"/>
            <w:noWrap w:val="0"/>
            <w:vAlign w:val="center"/>
          </w:tcPr>
          <w:p w14:paraId="45C7C29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spacing w:val="-17"/>
                <w:kern w:val="0"/>
                <w:sz w:val="24"/>
                <w:szCs w:val="24"/>
                <w:highlight w:val="none"/>
                <w:lang w:val="en-US" w:eastAsia="zh-CN"/>
              </w:rPr>
            </w:pPr>
            <w:r>
              <w:rPr>
                <w:rFonts w:hint="default" w:ascii="Times New Roman" w:hAnsi="Times New Roman" w:eastAsia="宋体" w:cs="Times New Roman"/>
                <w:color w:val="000000"/>
                <w:spacing w:val="-17"/>
                <w:kern w:val="0"/>
                <w:sz w:val="24"/>
                <w:szCs w:val="24"/>
                <w:highlight w:val="none"/>
                <w:lang w:val="en-US" w:eastAsia="zh-CN" w:bidi="ar-SA"/>
              </w:rPr>
              <w:t>pH、SS、COD、TDS</w:t>
            </w:r>
          </w:p>
        </w:tc>
        <w:tc>
          <w:tcPr>
            <w:tcW w:w="3334" w:type="dxa"/>
            <w:noWrap w:val="0"/>
            <w:vAlign w:val="center"/>
          </w:tcPr>
          <w:p w14:paraId="7D443905">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0" w:firstLineChars="0"/>
              <w:jc w:val="center"/>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color w:val="auto"/>
                <w:kern w:val="2"/>
                <w:sz w:val="24"/>
                <w:szCs w:val="24"/>
                <w:highlight w:val="none"/>
                <w:lang w:val="en-US" w:eastAsia="zh-CN" w:bidi="ar-SA"/>
              </w:rPr>
              <w:t>循环冷却水</w:t>
            </w:r>
            <w:r>
              <w:rPr>
                <w:rFonts w:hint="eastAsia" w:cs="Times New Roman"/>
                <w:color w:val="auto"/>
                <w:kern w:val="2"/>
                <w:sz w:val="24"/>
                <w:szCs w:val="24"/>
                <w:highlight w:val="none"/>
                <w:lang w:val="en-US" w:eastAsia="zh-CN" w:bidi="ar-SA"/>
              </w:rPr>
              <w:t>定排水用于办公区域地面清洁</w:t>
            </w:r>
            <w:r>
              <w:rPr>
                <w:rFonts w:hint="eastAsia" w:ascii="Times New Roman" w:hAnsi="Times New Roman" w:eastAsia="宋体" w:cs="Times New Roman"/>
                <w:color w:val="auto"/>
                <w:kern w:val="2"/>
                <w:sz w:val="24"/>
                <w:szCs w:val="24"/>
                <w:highlight w:val="none"/>
                <w:lang w:val="en-US" w:eastAsia="zh-CN" w:bidi="ar-SA"/>
              </w:rPr>
              <w:t>。</w:t>
            </w:r>
          </w:p>
        </w:tc>
        <w:tc>
          <w:tcPr>
            <w:tcW w:w="1394" w:type="dxa"/>
            <w:noWrap w:val="0"/>
            <w:vAlign w:val="center"/>
          </w:tcPr>
          <w:p w14:paraId="0243F681">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废水不外排</w:t>
            </w:r>
          </w:p>
        </w:tc>
      </w:tr>
      <w:tr w14:paraId="0C9D4E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noWrap w:val="0"/>
            <w:vAlign w:val="center"/>
          </w:tcPr>
          <w:p w14:paraId="6C804BD2">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声环境</w:t>
            </w:r>
          </w:p>
        </w:tc>
        <w:tc>
          <w:tcPr>
            <w:tcW w:w="1651" w:type="dxa"/>
            <w:noWrap w:val="0"/>
            <w:vAlign w:val="center"/>
          </w:tcPr>
          <w:p w14:paraId="4E62B03D">
            <w:pPr>
              <w:keepNext w:val="0"/>
              <w:keepLines w:val="0"/>
              <w:pageBreakBefore w:val="0"/>
              <w:widowControl w:val="0"/>
              <w:kinsoku/>
              <w:wordWrap/>
              <w:overflowPunct/>
              <w:topLinePunct w:val="0"/>
              <w:autoSpaceDE/>
              <w:autoSpaceDN/>
              <w:bidi w:val="0"/>
              <w:adjustRightInd w:val="0"/>
              <w:snapToGrid/>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kern w:val="0"/>
                <w:sz w:val="24"/>
                <w:szCs w:val="24"/>
                <w:highlight w:val="none"/>
              </w:rPr>
              <w:t>铸片炉</w:t>
            </w:r>
            <w:r>
              <w:rPr>
                <w:rFonts w:hint="default" w:ascii="Times New Roman" w:hAnsi="Times New Roman" w:eastAsia="宋体" w:cs="Times New Roman"/>
                <w:sz w:val="24"/>
                <w:szCs w:val="24"/>
                <w:highlight w:val="none"/>
                <w:lang w:val="en-US" w:eastAsia="zh-CN"/>
              </w:rPr>
              <w:t>、氢处理炉、成型机、烧结炉等设备</w:t>
            </w:r>
          </w:p>
        </w:tc>
        <w:tc>
          <w:tcPr>
            <w:tcW w:w="887" w:type="dxa"/>
            <w:noWrap w:val="0"/>
            <w:vAlign w:val="center"/>
          </w:tcPr>
          <w:p w14:paraId="0D39BA0C">
            <w:pPr>
              <w:keepNext w:val="0"/>
              <w:keepLines w:val="0"/>
              <w:pageBreakBefore w:val="0"/>
              <w:widowControl w:val="0"/>
              <w:kinsoku/>
              <w:wordWrap/>
              <w:overflowPunct/>
              <w:topLinePunct w:val="0"/>
              <w:autoSpaceDE/>
              <w:autoSpaceDN/>
              <w:bidi w:val="0"/>
              <w:adjustRightInd w:val="0"/>
              <w:snapToGrid/>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设备噪声</w:t>
            </w:r>
          </w:p>
        </w:tc>
        <w:tc>
          <w:tcPr>
            <w:tcW w:w="3334" w:type="dxa"/>
            <w:noWrap w:val="0"/>
            <w:vAlign w:val="center"/>
          </w:tcPr>
          <w:p w14:paraId="0FFDB881">
            <w:pPr>
              <w:keepNext w:val="0"/>
              <w:keepLines w:val="0"/>
              <w:pageBreakBefore w:val="0"/>
              <w:widowControl w:val="0"/>
              <w:kinsoku/>
              <w:wordWrap/>
              <w:overflowPunct/>
              <w:topLinePunct w:val="0"/>
              <w:autoSpaceDE/>
              <w:autoSpaceDN/>
              <w:bidi w:val="0"/>
              <w:adjustRightInd w:val="0"/>
              <w:snapToGrid/>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选用低噪设备、合理布局、基础减振、厂房隔声等</w:t>
            </w:r>
          </w:p>
        </w:tc>
        <w:tc>
          <w:tcPr>
            <w:tcW w:w="1394" w:type="dxa"/>
            <w:noWrap w:val="0"/>
            <w:vAlign w:val="center"/>
          </w:tcPr>
          <w:p w14:paraId="665142F5">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sz w:val="24"/>
                <w:szCs w:val="24"/>
                <w:highlight w:val="none"/>
                <w:lang w:val="zh-CN" w:eastAsia="zh-CN"/>
              </w:rPr>
            </w:pPr>
            <w:r>
              <w:rPr>
                <w:rFonts w:hint="eastAsia" w:ascii="Times New Roman" w:hAnsi="Times New Roman" w:eastAsia="宋体" w:cs="Times New Roman"/>
                <w:color w:val="auto"/>
                <w:spacing w:val="-17"/>
                <w:w w:val="100"/>
                <w:kern w:val="0"/>
                <w:sz w:val="24"/>
                <w:szCs w:val="24"/>
                <w:highlight w:val="none"/>
                <w:lang w:val="en-US" w:eastAsia="zh-CN" w:bidi="ar-SA"/>
              </w:rPr>
              <w:t>《工业企业厂界环境噪声排放标准》（GB12348-2008）</w:t>
            </w:r>
          </w:p>
        </w:tc>
      </w:tr>
      <w:tr w14:paraId="5A10EC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noWrap w:val="0"/>
            <w:vAlign w:val="center"/>
          </w:tcPr>
          <w:p w14:paraId="2E4F77F3">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电磁辐射</w:t>
            </w:r>
          </w:p>
        </w:tc>
        <w:tc>
          <w:tcPr>
            <w:tcW w:w="1651" w:type="dxa"/>
            <w:noWrap w:val="0"/>
            <w:vAlign w:val="center"/>
          </w:tcPr>
          <w:p w14:paraId="0E4616EB">
            <w:pPr>
              <w:keepNext w:val="0"/>
              <w:keepLines w:val="0"/>
              <w:pageBreakBefore w:val="0"/>
              <w:widowControl w:val="0"/>
              <w:kinsoku/>
              <w:wordWrap/>
              <w:overflowPunct/>
              <w:topLinePunct w:val="0"/>
              <w:autoSpaceDE/>
              <w:autoSpaceDN/>
              <w:bidi w:val="0"/>
              <w:adjustRightInd w:val="0"/>
              <w:snapToGrid/>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无</w:t>
            </w:r>
          </w:p>
        </w:tc>
        <w:tc>
          <w:tcPr>
            <w:tcW w:w="887" w:type="dxa"/>
            <w:noWrap w:val="0"/>
            <w:vAlign w:val="center"/>
          </w:tcPr>
          <w:p w14:paraId="2AC3A36C">
            <w:pPr>
              <w:keepNext w:val="0"/>
              <w:keepLines w:val="0"/>
              <w:pageBreakBefore w:val="0"/>
              <w:widowControl w:val="0"/>
              <w:kinsoku/>
              <w:wordWrap/>
              <w:overflowPunct/>
              <w:topLinePunct w:val="0"/>
              <w:autoSpaceDE/>
              <w:autoSpaceDN/>
              <w:bidi w:val="0"/>
              <w:adjustRightInd w:val="0"/>
              <w:snapToGrid/>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无</w:t>
            </w:r>
          </w:p>
        </w:tc>
        <w:tc>
          <w:tcPr>
            <w:tcW w:w="3334" w:type="dxa"/>
            <w:noWrap w:val="0"/>
            <w:vAlign w:val="center"/>
          </w:tcPr>
          <w:p w14:paraId="41BCAFEE">
            <w:pPr>
              <w:keepNext w:val="0"/>
              <w:keepLines w:val="0"/>
              <w:pageBreakBefore w:val="0"/>
              <w:widowControl w:val="0"/>
              <w:kinsoku/>
              <w:wordWrap/>
              <w:overflowPunct/>
              <w:topLinePunct w:val="0"/>
              <w:autoSpaceDE/>
              <w:autoSpaceDN/>
              <w:bidi w:val="0"/>
              <w:adjustRightInd w:val="0"/>
              <w:snapToGrid/>
              <w:spacing w:line="260" w:lineRule="exact"/>
              <w:jc w:val="center"/>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无</w:t>
            </w:r>
          </w:p>
        </w:tc>
        <w:tc>
          <w:tcPr>
            <w:tcW w:w="1394" w:type="dxa"/>
            <w:noWrap w:val="0"/>
            <w:vAlign w:val="center"/>
          </w:tcPr>
          <w:p w14:paraId="2CBEA61F">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无</w:t>
            </w:r>
          </w:p>
        </w:tc>
      </w:tr>
      <w:tr w14:paraId="525748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noWrap w:val="0"/>
            <w:vAlign w:val="center"/>
          </w:tcPr>
          <w:p w14:paraId="1B844F66">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固体废物</w:t>
            </w:r>
          </w:p>
        </w:tc>
        <w:tc>
          <w:tcPr>
            <w:tcW w:w="7266" w:type="dxa"/>
            <w:gridSpan w:val="4"/>
            <w:noWrap w:val="0"/>
            <w:vAlign w:val="center"/>
          </w:tcPr>
          <w:p w14:paraId="1C0A2736">
            <w:pPr>
              <w:keepNext w:val="0"/>
              <w:keepLines w:val="0"/>
              <w:pageBreakBefore w:val="0"/>
              <w:widowControl w:val="0"/>
              <w:kinsoku/>
              <w:wordWrap/>
              <w:overflowPunct/>
              <w:topLinePunct w:val="0"/>
              <w:autoSpaceDE/>
              <w:autoSpaceDN/>
              <w:bidi w:val="0"/>
              <w:adjustRightInd w:val="0"/>
              <w:snapToGrid w:val="0"/>
              <w:spacing w:line="336" w:lineRule="auto"/>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项目废润滑油、真空泵废油、废活性炭、废塑料袋、废液压油收集后暂存于危废贮存库，送有资质单位处置；磨泥收集后外售原料厂家重新提炼金属；废边角料</w:t>
            </w:r>
            <w:r>
              <w:rPr>
                <w:rFonts w:hint="eastAsia" w:cs="Times New Roman"/>
                <w:sz w:val="24"/>
                <w:szCs w:val="24"/>
                <w:highlight w:val="none"/>
                <w:lang w:val="en-US" w:eastAsia="zh-CN"/>
              </w:rPr>
              <w:t>、废氧化铁屑</w:t>
            </w:r>
            <w:r>
              <w:rPr>
                <w:rFonts w:hint="eastAsia" w:ascii="Times New Roman" w:hAnsi="Times New Roman" w:eastAsia="宋体" w:cs="Times New Roman"/>
                <w:sz w:val="24"/>
                <w:szCs w:val="24"/>
                <w:highlight w:val="none"/>
                <w:lang w:val="en-US" w:eastAsia="zh-CN"/>
              </w:rPr>
              <w:t>由原料厂家定期进行回收再生产原料；废布袋、废包装材料由厂家回收处理；生活垃圾由环卫部门统一清运处置。</w:t>
            </w:r>
          </w:p>
        </w:tc>
      </w:tr>
      <w:tr w14:paraId="66A20F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noWrap w:val="0"/>
            <w:vAlign w:val="center"/>
          </w:tcPr>
          <w:p w14:paraId="5F219175">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土壤及地下水</w:t>
            </w:r>
          </w:p>
          <w:p w14:paraId="117113C5">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污染防治措施</w:t>
            </w:r>
          </w:p>
        </w:tc>
        <w:tc>
          <w:tcPr>
            <w:tcW w:w="7266" w:type="dxa"/>
            <w:gridSpan w:val="4"/>
            <w:noWrap w:val="0"/>
            <w:vAlign w:val="center"/>
          </w:tcPr>
          <w:p w14:paraId="142BCD67">
            <w:pPr>
              <w:keepNext w:val="0"/>
              <w:keepLines w:val="0"/>
              <w:pageBreakBefore w:val="0"/>
              <w:widowControl w:val="0"/>
              <w:kinsoku/>
              <w:wordWrap/>
              <w:overflowPunct/>
              <w:topLinePunct w:val="0"/>
              <w:autoSpaceDE/>
              <w:autoSpaceDN/>
              <w:bidi w:val="0"/>
              <w:adjustRightInd w:val="0"/>
              <w:snapToGrid w:val="0"/>
              <w:spacing w:line="336" w:lineRule="auto"/>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项目采取分区防渗措施防治地下水和土壤污染。重点防渗区：项目重点防渗区为危废贮存库。本次环评要求危废贮存库铺设</w:t>
            </w:r>
            <w:r>
              <w:rPr>
                <w:rFonts w:hint="default" w:ascii="Times New Roman" w:hAnsi="Times New Roman" w:eastAsia="宋体" w:cs="Times New Roman"/>
                <w:sz w:val="24"/>
                <w:szCs w:val="24"/>
                <w:highlight w:val="none"/>
                <w:lang w:val="en-US" w:eastAsia="zh-CN"/>
              </w:rPr>
              <w:t>2mm</w:t>
            </w:r>
            <w:r>
              <w:rPr>
                <w:rFonts w:hint="eastAsia" w:ascii="Times New Roman" w:hAnsi="Times New Roman" w:eastAsia="宋体" w:cs="Times New Roman"/>
                <w:sz w:val="24"/>
                <w:szCs w:val="24"/>
                <w:highlight w:val="none"/>
                <w:lang w:val="en-US" w:eastAsia="zh-CN"/>
              </w:rPr>
              <w:t>厚高密度聚乙烯（</w:t>
            </w:r>
            <w:r>
              <w:rPr>
                <w:rFonts w:hint="default" w:ascii="Times New Roman" w:hAnsi="Times New Roman" w:eastAsia="宋体" w:cs="Times New Roman"/>
                <w:sz w:val="24"/>
                <w:szCs w:val="24"/>
                <w:highlight w:val="none"/>
                <w:lang w:val="en-US" w:eastAsia="zh-CN"/>
              </w:rPr>
              <w:t>HDPE</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+10cm</w:t>
            </w:r>
            <w:r>
              <w:rPr>
                <w:rFonts w:hint="eastAsia" w:ascii="Times New Roman" w:hAnsi="Times New Roman" w:eastAsia="宋体" w:cs="Times New Roman"/>
                <w:sz w:val="24"/>
                <w:szCs w:val="24"/>
                <w:highlight w:val="none"/>
                <w:lang w:val="en-US" w:eastAsia="zh-CN"/>
              </w:rPr>
              <w:t>防渗混凝土</w:t>
            </w:r>
            <w:r>
              <w:rPr>
                <w:rFonts w:hint="default" w:ascii="Times New Roman" w:hAnsi="Times New Roman" w:eastAsia="宋体" w:cs="Times New Roman"/>
                <w:sz w:val="24"/>
                <w:szCs w:val="24"/>
                <w:highlight w:val="none"/>
                <w:lang w:val="en-US" w:eastAsia="zh-CN"/>
              </w:rPr>
              <w:t>+5~7mm</w:t>
            </w:r>
            <w:r>
              <w:rPr>
                <w:rFonts w:hint="eastAsia" w:ascii="Times New Roman" w:hAnsi="Times New Roman" w:eastAsia="宋体" w:cs="Times New Roman"/>
                <w:sz w:val="24"/>
                <w:szCs w:val="24"/>
                <w:highlight w:val="none"/>
                <w:lang w:val="en-US" w:eastAsia="zh-CN"/>
              </w:rPr>
              <w:t>厚防油渗耐磨涂料，墙裙采用</w:t>
            </w:r>
            <w:r>
              <w:rPr>
                <w:rFonts w:hint="default" w:ascii="Times New Roman" w:hAnsi="Times New Roman" w:eastAsia="宋体" w:cs="Times New Roman"/>
                <w:sz w:val="24"/>
                <w:szCs w:val="24"/>
                <w:highlight w:val="none"/>
                <w:lang w:val="en-US" w:eastAsia="zh-CN"/>
              </w:rPr>
              <w:t>2mm</w:t>
            </w:r>
            <w:r>
              <w:rPr>
                <w:rFonts w:hint="eastAsia" w:ascii="Times New Roman" w:hAnsi="Times New Roman" w:eastAsia="宋体" w:cs="Times New Roman"/>
                <w:sz w:val="24"/>
                <w:szCs w:val="24"/>
                <w:highlight w:val="none"/>
                <w:lang w:val="en-US" w:eastAsia="zh-CN"/>
              </w:rPr>
              <w:t>厚高密度聚乙烯（</w:t>
            </w:r>
            <w:r>
              <w:rPr>
                <w:rFonts w:hint="default" w:ascii="Times New Roman" w:hAnsi="Times New Roman" w:eastAsia="宋体" w:cs="Times New Roman"/>
                <w:sz w:val="24"/>
                <w:szCs w:val="24"/>
                <w:highlight w:val="none"/>
                <w:lang w:val="en-US" w:eastAsia="zh-CN"/>
              </w:rPr>
              <w:t>HDPE</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防渗混凝土进行防渗，渗透系数</w:t>
            </w:r>
            <w:r>
              <w:rPr>
                <w:rFonts w:hint="default" w:ascii="Times New Roman" w:hAnsi="Times New Roman" w:eastAsia="宋体" w:cs="Times New Roman"/>
                <w:sz w:val="24"/>
                <w:szCs w:val="24"/>
                <w:highlight w:val="none"/>
                <w:lang w:val="en-US" w:eastAsia="zh-CN"/>
              </w:rPr>
              <w:t>≤10</w:t>
            </w:r>
            <w:r>
              <w:rPr>
                <w:rFonts w:hint="default" w:ascii="Times New Roman" w:hAnsi="Times New Roman" w:eastAsia="宋体" w:cs="Times New Roman"/>
                <w:sz w:val="24"/>
                <w:szCs w:val="24"/>
                <w:highlight w:val="none"/>
                <w:vertAlign w:val="superscript"/>
                <w:lang w:val="en-US" w:eastAsia="zh-CN"/>
              </w:rPr>
              <w:t>-10</w:t>
            </w:r>
            <w:r>
              <w:rPr>
                <w:rFonts w:hint="default" w:ascii="Times New Roman" w:hAnsi="Times New Roman" w:eastAsia="宋体" w:cs="Times New Roman"/>
                <w:sz w:val="24"/>
                <w:szCs w:val="24"/>
                <w:highlight w:val="none"/>
                <w:lang w:val="en-US" w:eastAsia="zh-CN"/>
              </w:rPr>
              <w:t>cm/s</w:t>
            </w:r>
            <w:r>
              <w:rPr>
                <w:rFonts w:hint="eastAsia" w:ascii="Times New Roman" w:hAnsi="Times New Roman" w:eastAsia="宋体" w:cs="Times New Roman"/>
                <w:sz w:val="24"/>
                <w:szCs w:val="24"/>
                <w:highlight w:val="none"/>
                <w:lang w:val="en-US" w:eastAsia="zh-CN"/>
              </w:rPr>
              <w:t>。一般防渗区：项目一般防渗区为生产区，本次环评要求基础防渗，应达到等效黏土防渗层Mb≥1.5m，K≤1×10</w:t>
            </w:r>
            <w:r>
              <w:rPr>
                <w:rFonts w:hint="eastAsia" w:ascii="Times New Roman" w:hAnsi="Times New Roman" w:eastAsia="宋体" w:cs="Times New Roman"/>
                <w:sz w:val="24"/>
                <w:szCs w:val="24"/>
                <w:highlight w:val="none"/>
                <w:vertAlign w:val="superscript"/>
                <w:lang w:val="en-US" w:eastAsia="zh-CN"/>
              </w:rPr>
              <w:t>-7</w:t>
            </w:r>
            <w:r>
              <w:rPr>
                <w:rFonts w:hint="eastAsia" w:ascii="Times New Roman" w:hAnsi="Times New Roman" w:eastAsia="宋体" w:cs="Times New Roman"/>
                <w:sz w:val="24"/>
                <w:szCs w:val="24"/>
                <w:highlight w:val="none"/>
                <w:lang w:val="en-US" w:eastAsia="zh-CN"/>
              </w:rPr>
              <w:t>cm/s。简单防渗区为办公区，地面水泥硬化。</w:t>
            </w:r>
          </w:p>
        </w:tc>
      </w:tr>
      <w:tr w14:paraId="4352AC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noWrap w:val="0"/>
            <w:vAlign w:val="center"/>
          </w:tcPr>
          <w:p w14:paraId="10D8EAD3">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生态保护措施</w:t>
            </w:r>
          </w:p>
        </w:tc>
        <w:tc>
          <w:tcPr>
            <w:tcW w:w="7266" w:type="dxa"/>
            <w:gridSpan w:val="4"/>
            <w:noWrap w:val="0"/>
            <w:vAlign w:val="center"/>
          </w:tcPr>
          <w:p w14:paraId="2FCAA716">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w:t>
            </w:r>
          </w:p>
        </w:tc>
      </w:tr>
      <w:tr w14:paraId="08112A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noWrap w:val="0"/>
            <w:vAlign w:val="center"/>
          </w:tcPr>
          <w:p w14:paraId="66D80E94">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pacing w:val="-8"/>
                <w:sz w:val="21"/>
                <w:szCs w:val="21"/>
                <w:highlight w:val="none"/>
              </w:rPr>
            </w:pPr>
            <w:r>
              <w:rPr>
                <w:rFonts w:hint="default" w:ascii="Times New Roman" w:hAnsi="Times New Roman" w:eastAsia="宋体" w:cs="Times New Roman"/>
                <w:spacing w:val="-8"/>
                <w:sz w:val="21"/>
                <w:szCs w:val="21"/>
                <w:highlight w:val="none"/>
              </w:rPr>
              <w:t>环境风险</w:t>
            </w:r>
          </w:p>
          <w:p w14:paraId="4CAA1A49">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pacing w:val="-8"/>
                <w:sz w:val="21"/>
                <w:szCs w:val="21"/>
                <w:highlight w:val="none"/>
              </w:rPr>
            </w:pPr>
            <w:r>
              <w:rPr>
                <w:rFonts w:hint="default" w:ascii="Times New Roman" w:hAnsi="Times New Roman" w:eastAsia="宋体" w:cs="Times New Roman"/>
                <w:spacing w:val="-8"/>
                <w:sz w:val="21"/>
                <w:szCs w:val="21"/>
                <w:highlight w:val="none"/>
              </w:rPr>
              <w:t>防范措施</w:t>
            </w:r>
          </w:p>
        </w:tc>
        <w:tc>
          <w:tcPr>
            <w:tcW w:w="7266" w:type="dxa"/>
            <w:gridSpan w:val="4"/>
            <w:noWrap w:val="0"/>
            <w:vAlign w:val="center"/>
          </w:tcPr>
          <w:p w14:paraId="26F1DFAF">
            <w:pPr>
              <w:keepNext w:val="0"/>
              <w:keepLines w:val="0"/>
              <w:pageBreakBefore w:val="0"/>
              <w:widowControl w:val="0"/>
              <w:kinsoku/>
              <w:wordWrap/>
              <w:overflowPunct/>
              <w:topLinePunct w:val="0"/>
              <w:autoSpaceDE/>
              <w:autoSpaceDN/>
              <w:bidi w:val="0"/>
              <w:adjustRightInd w:val="0"/>
              <w:snapToGrid w:val="0"/>
              <w:spacing w:line="336" w:lineRule="auto"/>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加强火源管理，严禁携带火源进入</w:t>
            </w:r>
            <w:r>
              <w:rPr>
                <w:rFonts w:hint="eastAsia" w:ascii="Times New Roman" w:hAnsi="Times New Roman" w:eastAsia="宋体" w:cs="Times New Roman"/>
                <w:sz w:val="24"/>
                <w:szCs w:val="24"/>
                <w:highlight w:val="none"/>
                <w:lang w:val="en-US" w:eastAsia="zh-CN"/>
              </w:rPr>
              <w:t>危废贮存库</w:t>
            </w:r>
            <w:r>
              <w:rPr>
                <w:rFonts w:hint="default" w:ascii="Times New Roman" w:hAnsi="Times New Roman" w:eastAsia="宋体" w:cs="Times New Roman"/>
                <w:sz w:val="24"/>
                <w:szCs w:val="24"/>
                <w:highlight w:val="none"/>
                <w:lang w:val="en-US" w:eastAsia="zh-CN"/>
              </w:rPr>
              <w:t>等；</w:t>
            </w:r>
            <w:r>
              <w:rPr>
                <w:rFonts w:hint="eastAsia" w:ascii="Times New Roman" w:hAnsi="Times New Roman" w:eastAsia="宋体" w:cs="Times New Roman"/>
                <w:sz w:val="24"/>
                <w:szCs w:val="24"/>
                <w:highlight w:val="none"/>
                <w:lang w:val="en-US" w:eastAsia="zh-CN"/>
              </w:rPr>
              <w:t>危废贮存库</w:t>
            </w:r>
            <w:r>
              <w:rPr>
                <w:rFonts w:hint="default" w:ascii="Times New Roman" w:hAnsi="Times New Roman" w:eastAsia="宋体" w:cs="Times New Roman"/>
                <w:sz w:val="24"/>
                <w:szCs w:val="24"/>
                <w:highlight w:val="none"/>
                <w:lang w:val="en-US" w:eastAsia="zh-CN"/>
              </w:rPr>
              <w:t>周围严禁堆放可燃物品，设置严禁烟火等危险标识；各车间设置灭火器、消防沙等消防应急物资，并定期检查保持消防设施完好、灭火器材有效；合理组织安排生产，减少厂区</w:t>
            </w:r>
            <w:r>
              <w:rPr>
                <w:rFonts w:hint="eastAsia" w:ascii="Times New Roman" w:hAnsi="Times New Roman" w:eastAsia="宋体" w:cs="Times New Roman"/>
                <w:sz w:val="24"/>
                <w:szCs w:val="24"/>
                <w:highlight w:val="none"/>
                <w:lang w:val="en-US" w:eastAsia="zh-CN"/>
              </w:rPr>
              <w:t>油类物质</w:t>
            </w:r>
            <w:r>
              <w:rPr>
                <w:rFonts w:hint="default" w:ascii="Times New Roman" w:hAnsi="Times New Roman" w:eastAsia="宋体" w:cs="Times New Roman"/>
                <w:sz w:val="24"/>
                <w:szCs w:val="24"/>
                <w:highlight w:val="none"/>
                <w:lang w:val="en-US" w:eastAsia="zh-CN"/>
              </w:rPr>
              <w:t>存储量；</w:t>
            </w:r>
            <w:r>
              <w:rPr>
                <w:rFonts w:hint="eastAsia" w:ascii="Times New Roman" w:hAnsi="Times New Roman" w:eastAsia="宋体" w:cs="Times New Roman"/>
                <w:sz w:val="24"/>
                <w:szCs w:val="24"/>
                <w:highlight w:val="none"/>
                <w:lang w:val="en-US" w:eastAsia="zh-CN"/>
              </w:rPr>
              <w:t>危废贮存库</w:t>
            </w:r>
            <w:r>
              <w:rPr>
                <w:rFonts w:hint="default" w:ascii="Times New Roman" w:hAnsi="Times New Roman" w:eastAsia="宋体" w:cs="Times New Roman"/>
                <w:sz w:val="24"/>
                <w:szCs w:val="24"/>
                <w:highlight w:val="none"/>
                <w:lang w:val="en-US" w:eastAsia="zh-CN"/>
              </w:rPr>
              <w:t>内储备相应消防灭火器材，同时对项目员工进行消防器材使用培训，确保</w:t>
            </w:r>
            <w:r>
              <w:rPr>
                <w:rFonts w:hint="eastAsia" w:ascii="Times New Roman" w:hAnsi="Times New Roman" w:eastAsia="宋体" w:cs="Times New Roman"/>
                <w:sz w:val="24"/>
                <w:szCs w:val="24"/>
                <w:highlight w:val="none"/>
                <w:lang w:val="en-US" w:eastAsia="zh-CN"/>
              </w:rPr>
              <w:t>危废贮存库</w:t>
            </w:r>
            <w:r>
              <w:rPr>
                <w:rFonts w:hint="default" w:ascii="Times New Roman" w:hAnsi="Times New Roman" w:eastAsia="宋体" w:cs="Times New Roman"/>
                <w:sz w:val="24"/>
                <w:szCs w:val="24"/>
                <w:highlight w:val="none"/>
                <w:lang w:val="en-US" w:eastAsia="zh-CN"/>
              </w:rPr>
              <w:t>发生火灾事故时可得到有效应急处置；项目危险废物应建立进出库台账，在收集、暂存、转运等过程中应严格执行《危险废物收集、贮存、运输技术规范》中的相关要求，处置应交有相应资质的单位，并严格执行《危险废物转移联单制度》；加强</w:t>
            </w:r>
            <w:r>
              <w:rPr>
                <w:rFonts w:hint="eastAsia" w:ascii="Times New Roman" w:hAnsi="Times New Roman" w:eastAsia="宋体" w:cs="Times New Roman"/>
                <w:sz w:val="24"/>
                <w:szCs w:val="24"/>
                <w:highlight w:val="none"/>
                <w:lang w:val="en-US" w:eastAsia="zh-CN"/>
              </w:rPr>
              <w:t>危废贮存库</w:t>
            </w:r>
            <w:r>
              <w:rPr>
                <w:rFonts w:hint="default" w:ascii="Times New Roman" w:hAnsi="Times New Roman" w:eastAsia="宋体" w:cs="Times New Roman"/>
                <w:sz w:val="24"/>
                <w:szCs w:val="24"/>
                <w:highlight w:val="none"/>
                <w:lang w:val="en-US" w:eastAsia="zh-CN"/>
              </w:rPr>
              <w:t>管理，定期巡查，发现泄漏隐患及时整改；项目区进行分区防渗，具体防渗要求详见地下水和土壤污染防治；制定事故应急预案。</w:t>
            </w:r>
          </w:p>
        </w:tc>
      </w:tr>
      <w:tr w14:paraId="5CC9B1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4" w:type="dxa"/>
            <w:noWrap w:val="0"/>
            <w:vAlign w:val="center"/>
          </w:tcPr>
          <w:p w14:paraId="367FFF98">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pacing w:val="-8"/>
                <w:sz w:val="21"/>
                <w:szCs w:val="21"/>
                <w:highlight w:val="none"/>
              </w:rPr>
            </w:pPr>
            <w:r>
              <w:rPr>
                <w:rFonts w:hint="default" w:ascii="Times New Roman" w:hAnsi="Times New Roman" w:eastAsia="宋体" w:cs="Times New Roman"/>
                <w:spacing w:val="-8"/>
                <w:sz w:val="21"/>
                <w:szCs w:val="21"/>
                <w:highlight w:val="none"/>
              </w:rPr>
              <w:t>其他环境</w:t>
            </w:r>
          </w:p>
          <w:p w14:paraId="53354038">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pacing w:val="-8"/>
                <w:sz w:val="21"/>
                <w:szCs w:val="21"/>
                <w:highlight w:val="none"/>
              </w:rPr>
            </w:pPr>
            <w:r>
              <w:rPr>
                <w:rFonts w:hint="default" w:ascii="Times New Roman" w:hAnsi="Times New Roman" w:eastAsia="宋体" w:cs="Times New Roman"/>
                <w:spacing w:val="-8"/>
                <w:sz w:val="21"/>
                <w:szCs w:val="21"/>
                <w:highlight w:val="none"/>
              </w:rPr>
              <w:t>管理要求</w:t>
            </w:r>
          </w:p>
        </w:tc>
        <w:tc>
          <w:tcPr>
            <w:tcW w:w="7266" w:type="dxa"/>
            <w:gridSpan w:val="4"/>
            <w:noWrap w:val="0"/>
            <w:vAlign w:val="center"/>
          </w:tcPr>
          <w:p w14:paraId="5CAAA6B5">
            <w:pPr>
              <w:keepNext w:val="0"/>
              <w:keepLines w:val="0"/>
              <w:pageBreakBefore w:val="0"/>
              <w:widowControl w:val="0"/>
              <w:numPr>
                <w:ilvl w:val="0"/>
                <w:numId w:val="1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执行排污许可制度，未取得排污许可不得排放污染物。项目应根据《固定污染源排污许可分类管理名录》（</w:t>
            </w:r>
            <w:r>
              <w:rPr>
                <w:rFonts w:hint="default" w:ascii="Times New Roman" w:hAnsi="Times New Roman" w:eastAsia="宋体" w:cs="Times New Roman"/>
                <w:sz w:val="24"/>
                <w:szCs w:val="24"/>
                <w:highlight w:val="none"/>
                <w:lang w:val="en-US" w:eastAsia="zh-CN"/>
              </w:rPr>
              <w:t>2019</w:t>
            </w:r>
            <w:r>
              <w:rPr>
                <w:rFonts w:hint="eastAsia" w:ascii="Times New Roman" w:hAnsi="Times New Roman" w:eastAsia="宋体" w:cs="Times New Roman"/>
                <w:sz w:val="24"/>
                <w:szCs w:val="24"/>
                <w:highlight w:val="none"/>
                <w:lang w:val="en-US" w:eastAsia="zh-CN"/>
              </w:rPr>
              <w:t>年版）、《排污许可证申请与核发技术规范 电子工业》（HJ1031-2019）规定申报排污许可，并严格落实排污单位自行监测计划；</w:t>
            </w:r>
          </w:p>
          <w:p w14:paraId="44E8CCB4">
            <w:pPr>
              <w:keepNext w:val="0"/>
              <w:keepLines w:val="0"/>
              <w:pageBreakBefore w:val="0"/>
              <w:widowControl w:val="0"/>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w:t>
            </w:r>
            <w:r>
              <w:rPr>
                <w:rFonts w:hint="eastAsia" w:ascii="Times New Roman" w:hAnsi="Times New Roman" w:eastAsia="宋体" w:cs="Times New Roman"/>
                <w:sz w:val="24"/>
                <w:szCs w:val="24"/>
                <w:highlight w:val="none"/>
                <w:lang w:val="en-US" w:eastAsia="zh-CN"/>
              </w:rPr>
              <w:t>、排污口规范化管理，建设单位应在各排污口处设立较明显的排污口标志牌，其上应注明主要排放污染物的名称，详见下表。</w:t>
            </w:r>
          </w:p>
          <w:p w14:paraId="4572C5A4">
            <w:pPr>
              <w:keepNext w:val="0"/>
              <w:keepLines w:val="0"/>
              <w:pageBreakBefore w:val="0"/>
              <w:widowControl w:val="0"/>
              <w:kinsoku/>
              <w:wordWrap/>
              <w:overflowPunct/>
              <w:topLinePunct w:val="0"/>
              <w:autoSpaceDE/>
              <w:autoSpaceDN/>
              <w:bidi w:val="0"/>
              <w:adjustRightInd/>
              <w:snapToGrid/>
              <w:spacing w:line="336" w:lineRule="auto"/>
              <w:ind w:firstLine="0" w:firstLineChars="0"/>
              <w:jc w:val="center"/>
              <w:textAlignment w:val="auto"/>
              <w:rPr>
                <w:rFonts w:hint="eastAsia"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表5-1  污染物排放或暂存场所标识</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13"/>
              <w:gridCol w:w="1341"/>
              <w:gridCol w:w="1928"/>
              <w:gridCol w:w="1928"/>
              <w:gridCol w:w="1340"/>
            </w:tblGrid>
            <w:tr w14:paraId="4AABED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13" w:type="dxa"/>
                  <w:tcBorders>
                    <w:tl2br w:val="nil"/>
                    <w:tr2bl w:val="nil"/>
                  </w:tcBorders>
                  <w:noWrap w:val="0"/>
                  <w:vAlign w:val="center"/>
                </w:tcPr>
                <w:p w14:paraId="1AF997C5">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序号</w:t>
                  </w:r>
                </w:p>
              </w:tc>
              <w:tc>
                <w:tcPr>
                  <w:tcW w:w="1341" w:type="dxa"/>
                  <w:tcBorders>
                    <w:tl2br w:val="nil"/>
                    <w:tr2bl w:val="nil"/>
                  </w:tcBorders>
                  <w:noWrap w:val="0"/>
                  <w:vAlign w:val="center"/>
                </w:tcPr>
                <w:p w14:paraId="65881530">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标志名称</w:t>
                  </w:r>
                </w:p>
              </w:tc>
              <w:tc>
                <w:tcPr>
                  <w:tcW w:w="1928" w:type="dxa"/>
                  <w:tcBorders>
                    <w:tl2br w:val="nil"/>
                    <w:tr2bl w:val="nil"/>
                  </w:tcBorders>
                  <w:noWrap w:val="0"/>
                  <w:vAlign w:val="center"/>
                </w:tcPr>
                <w:p w14:paraId="414C76A8">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提示图形符号</w:t>
                  </w:r>
                </w:p>
              </w:tc>
              <w:tc>
                <w:tcPr>
                  <w:tcW w:w="1928" w:type="dxa"/>
                  <w:tcBorders>
                    <w:tl2br w:val="nil"/>
                    <w:tr2bl w:val="nil"/>
                  </w:tcBorders>
                  <w:noWrap w:val="0"/>
                  <w:vAlign w:val="center"/>
                </w:tcPr>
                <w:p w14:paraId="153F9E2D">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警告图形符号</w:t>
                  </w:r>
                </w:p>
              </w:tc>
              <w:tc>
                <w:tcPr>
                  <w:tcW w:w="1340" w:type="dxa"/>
                  <w:tcBorders>
                    <w:tl2br w:val="nil"/>
                    <w:tr2bl w:val="nil"/>
                  </w:tcBorders>
                  <w:noWrap w:val="0"/>
                  <w:vAlign w:val="center"/>
                </w:tcPr>
                <w:p w14:paraId="1680631F">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功能说明</w:t>
                  </w:r>
                </w:p>
              </w:tc>
            </w:tr>
            <w:tr w14:paraId="56C4A3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13" w:type="dxa"/>
                  <w:tcBorders>
                    <w:tl2br w:val="nil"/>
                    <w:tr2bl w:val="nil"/>
                  </w:tcBorders>
                  <w:noWrap w:val="0"/>
                  <w:vAlign w:val="center"/>
                </w:tcPr>
                <w:p w14:paraId="696286F3">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w:t>
                  </w:r>
                </w:p>
              </w:tc>
              <w:tc>
                <w:tcPr>
                  <w:tcW w:w="1341" w:type="dxa"/>
                  <w:tcBorders>
                    <w:tl2br w:val="nil"/>
                    <w:tr2bl w:val="nil"/>
                  </w:tcBorders>
                  <w:noWrap w:val="0"/>
                  <w:vAlign w:val="center"/>
                </w:tcPr>
                <w:p w14:paraId="152C917C">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废气排放口</w:t>
                  </w:r>
                </w:p>
              </w:tc>
              <w:tc>
                <w:tcPr>
                  <w:tcW w:w="1928" w:type="dxa"/>
                  <w:tcBorders>
                    <w:tl2br w:val="nil"/>
                    <w:tr2bl w:val="nil"/>
                  </w:tcBorders>
                  <w:noWrap w:val="0"/>
                  <w:vAlign w:val="center"/>
                </w:tcPr>
                <w:p w14:paraId="170D966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drawing>
                      <wp:inline distT="0" distB="0" distL="114300" distR="114300">
                        <wp:extent cx="720090" cy="720090"/>
                        <wp:effectExtent l="0" t="0" r="3810" b="3810"/>
                        <wp:docPr id="38" name="图片 27" descr="废气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7" descr="废气排放口"/>
                                <pic:cNvPicPr>
                                  <a:picLocks noChangeAspect="1"/>
                                </pic:cNvPicPr>
                              </pic:nvPicPr>
                              <pic:blipFill>
                                <a:blip r:embed="rId23"/>
                                <a:stretch>
                                  <a:fillRect/>
                                </a:stretch>
                              </pic:blipFill>
                              <pic:spPr>
                                <a:xfrm>
                                  <a:off x="0" y="0"/>
                                  <a:ext cx="720090" cy="720090"/>
                                </a:xfrm>
                                <a:prstGeom prst="rect">
                                  <a:avLst/>
                                </a:prstGeom>
                                <a:noFill/>
                                <a:ln>
                                  <a:noFill/>
                                </a:ln>
                              </pic:spPr>
                            </pic:pic>
                          </a:graphicData>
                        </a:graphic>
                      </wp:inline>
                    </w:drawing>
                  </w:r>
                </w:p>
              </w:tc>
              <w:tc>
                <w:tcPr>
                  <w:tcW w:w="1928" w:type="dxa"/>
                  <w:tcBorders>
                    <w:tl2br w:val="nil"/>
                    <w:tr2bl w:val="nil"/>
                  </w:tcBorders>
                  <w:noWrap w:val="0"/>
                  <w:vAlign w:val="center"/>
                </w:tcPr>
                <w:p w14:paraId="1D2941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drawing>
                      <wp:inline distT="0" distB="0" distL="114300" distR="114300">
                        <wp:extent cx="885825" cy="720090"/>
                        <wp:effectExtent l="0" t="0" r="9525" b="3810"/>
                        <wp:docPr id="39" name="图片 31" descr="废气排放口警告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1" descr="废气排放口警告标识"/>
                                <pic:cNvPicPr>
                                  <a:picLocks noChangeAspect="1"/>
                                </pic:cNvPicPr>
                              </pic:nvPicPr>
                              <pic:blipFill>
                                <a:blip r:embed="rId24"/>
                                <a:stretch>
                                  <a:fillRect/>
                                </a:stretch>
                              </pic:blipFill>
                              <pic:spPr>
                                <a:xfrm>
                                  <a:off x="0" y="0"/>
                                  <a:ext cx="885825" cy="720090"/>
                                </a:xfrm>
                                <a:prstGeom prst="rect">
                                  <a:avLst/>
                                </a:prstGeom>
                                <a:noFill/>
                                <a:ln>
                                  <a:noFill/>
                                </a:ln>
                              </pic:spPr>
                            </pic:pic>
                          </a:graphicData>
                        </a:graphic>
                      </wp:inline>
                    </w:drawing>
                  </w:r>
                </w:p>
              </w:tc>
              <w:tc>
                <w:tcPr>
                  <w:tcW w:w="1340" w:type="dxa"/>
                  <w:tcBorders>
                    <w:tl2br w:val="nil"/>
                    <w:tr2bl w:val="nil"/>
                  </w:tcBorders>
                  <w:noWrap w:val="0"/>
                  <w:vAlign w:val="center"/>
                </w:tcPr>
                <w:p w14:paraId="21E5BB1C">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表示向大气环境排放废气</w:t>
                  </w:r>
                </w:p>
              </w:tc>
            </w:tr>
            <w:tr w14:paraId="260D15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13" w:type="dxa"/>
                  <w:tcBorders>
                    <w:tl2br w:val="nil"/>
                    <w:tr2bl w:val="nil"/>
                  </w:tcBorders>
                  <w:noWrap w:val="0"/>
                  <w:vAlign w:val="center"/>
                </w:tcPr>
                <w:p w14:paraId="7588364B">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2</w:t>
                  </w:r>
                </w:p>
              </w:tc>
              <w:tc>
                <w:tcPr>
                  <w:tcW w:w="1341" w:type="dxa"/>
                  <w:tcBorders>
                    <w:tl2br w:val="nil"/>
                    <w:tr2bl w:val="nil"/>
                  </w:tcBorders>
                  <w:noWrap w:val="0"/>
                  <w:vAlign w:val="center"/>
                </w:tcPr>
                <w:p w14:paraId="2EAB023D">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噪声排放源</w:t>
                  </w:r>
                </w:p>
              </w:tc>
              <w:tc>
                <w:tcPr>
                  <w:tcW w:w="1928" w:type="dxa"/>
                  <w:tcBorders>
                    <w:tl2br w:val="nil"/>
                    <w:tr2bl w:val="nil"/>
                  </w:tcBorders>
                  <w:noWrap w:val="0"/>
                  <w:vAlign w:val="center"/>
                </w:tcPr>
                <w:p w14:paraId="0E5129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drawing>
                      <wp:inline distT="0" distB="0" distL="114300" distR="114300">
                        <wp:extent cx="720090" cy="720090"/>
                        <wp:effectExtent l="0" t="0" r="3810" b="3810"/>
                        <wp:docPr id="40" name="图片 28" descr="噪声排放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8" descr="噪声排放源"/>
                                <pic:cNvPicPr>
                                  <a:picLocks noChangeAspect="1"/>
                                </pic:cNvPicPr>
                              </pic:nvPicPr>
                              <pic:blipFill>
                                <a:blip r:embed="rId25"/>
                                <a:stretch>
                                  <a:fillRect/>
                                </a:stretch>
                              </pic:blipFill>
                              <pic:spPr>
                                <a:xfrm>
                                  <a:off x="0" y="0"/>
                                  <a:ext cx="720090" cy="720090"/>
                                </a:xfrm>
                                <a:prstGeom prst="rect">
                                  <a:avLst/>
                                </a:prstGeom>
                                <a:noFill/>
                                <a:ln>
                                  <a:noFill/>
                                </a:ln>
                              </pic:spPr>
                            </pic:pic>
                          </a:graphicData>
                        </a:graphic>
                      </wp:inline>
                    </w:drawing>
                  </w:r>
                </w:p>
              </w:tc>
              <w:tc>
                <w:tcPr>
                  <w:tcW w:w="1928" w:type="dxa"/>
                  <w:tcBorders>
                    <w:tl2br w:val="nil"/>
                    <w:tr2bl w:val="nil"/>
                  </w:tcBorders>
                  <w:noWrap w:val="0"/>
                  <w:vAlign w:val="center"/>
                </w:tcPr>
                <w:p w14:paraId="03724E6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drawing>
                      <wp:inline distT="0" distB="0" distL="114300" distR="114300">
                        <wp:extent cx="880745" cy="720090"/>
                        <wp:effectExtent l="0" t="0" r="14605" b="3810"/>
                        <wp:docPr id="41" name="图片 32" descr="噪声排放源警告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2" descr="噪声排放源警告标识"/>
                                <pic:cNvPicPr>
                                  <a:picLocks noChangeAspect="1"/>
                                </pic:cNvPicPr>
                              </pic:nvPicPr>
                              <pic:blipFill>
                                <a:blip r:embed="rId26"/>
                                <a:stretch>
                                  <a:fillRect/>
                                </a:stretch>
                              </pic:blipFill>
                              <pic:spPr>
                                <a:xfrm>
                                  <a:off x="0" y="0"/>
                                  <a:ext cx="880745" cy="720090"/>
                                </a:xfrm>
                                <a:prstGeom prst="rect">
                                  <a:avLst/>
                                </a:prstGeom>
                                <a:noFill/>
                                <a:ln>
                                  <a:noFill/>
                                </a:ln>
                              </pic:spPr>
                            </pic:pic>
                          </a:graphicData>
                        </a:graphic>
                      </wp:inline>
                    </w:drawing>
                  </w:r>
                </w:p>
              </w:tc>
              <w:tc>
                <w:tcPr>
                  <w:tcW w:w="1340" w:type="dxa"/>
                  <w:tcBorders>
                    <w:tl2br w:val="nil"/>
                    <w:tr2bl w:val="nil"/>
                  </w:tcBorders>
                  <w:noWrap w:val="0"/>
                  <w:vAlign w:val="center"/>
                </w:tcPr>
                <w:p w14:paraId="3AC5C178">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表示向环境排放噪声</w:t>
                  </w:r>
                </w:p>
              </w:tc>
            </w:tr>
            <w:tr w14:paraId="1EA645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13" w:type="dxa"/>
                  <w:tcBorders>
                    <w:tl2br w:val="nil"/>
                    <w:tr2bl w:val="nil"/>
                  </w:tcBorders>
                  <w:noWrap w:val="0"/>
                  <w:vAlign w:val="center"/>
                </w:tcPr>
                <w:p w14:paraId="29783BBA">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w:t>
                  </w:r>
                </w:p>
              </w:tc>
              <w:tc>
                <w:tcPr>
                  <w:tcW w:w="1341" w:type="dxa"/>
                  <w:tcBorders>
                    <w:tl2br w:val="nil"/>
                    <w:tr2bl w:val="nil"/>
                  </w:tcBorders>
                  <w:noWrap w:val="0"/>
                  <w:vAlign w:val="center"/>
                </w:tcPr>
                <w:p w14:paraId="6A9238A8">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一般固体废物</w:t>
                  </w:r>
                </w:p>
              </w:tc>
              <w:tc>
                <w:tcPr>
                  <w:tcW w:w="1928" w:type="dxa"/>
                  <w:tcBorders>
                    <w:tl2br w:val="nil"/>
                    <w:tr2bl w:val="nil"/>
                  </w:tcBorders>
                  <w:noWrap w:val="0"/>
                  <w:vAlign w:val="center"/>
                </w:tcPr>
                <w:p w14:paraId="7F33B4D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highlight w:val="none"/>
                    </w:rPr>
                    <w:drawing>
                      <wp:inline distT="0" distB="0" distL="114300" distR="114300">
                        <wp:extent cx="720090" cy="720090"/>
                        <wp:effectExtent l="0" t="0" r="3810" b="3810"/>
                        <wp:docPr id="42" name="图片 16"/>
                        <wp:cNvGraphicFramePr/>
                        <a:graphic xmlns:a="http://schemas.openxmlformats.org/drawingml/2006/main">
                          <a:graphicData uri="http://schemas.openxmlformats.org/drawingml/2006/picture">
                            <pic:pic xmlns:pic="http://schemas.openxmlformats.org/drawingml/2006/picture">
                              <pic:nvPicPr>
                                <pic:cNvPr id="42" name="图片 16"/>
                                <pic:cNvPicPr/>
                              </pic:nvPicPr>
                              <pic:blipFill>
                                <a:blip r:embed="rId27"/>
                                <a:stretch>
                                  <a:fillRect/>
                                </a:stretch>
                              </pic:blipFill>
                              <pic:spPr>
                                <a:xfrm>
                                  <a:off x="0" y="0"/>
                                  <a:ext cx="720090" cy="720090"/>
                                </a:xfrm>
                                <a:prstGeom prst="rect">
                                  <a:avLst/>
                                </a:prstGeom>
                                <a:noFill/>
                                <a:ln>
                                  <a:noFill/>
                                </a:ln>
                              </pic:spPr>
                            </pic:pic>
                          </a:graphicData>
                        </a:graphic>
                      </wp:inline>
                    </w:drawing>
                  </w:r>
                </w:p>
              </w:tc>
              <w:tc>
                <w:tcPr>
                  <w:tcW w:w="1928" w:type="dxa"/>
                  <w:tcBorders>
                    <w:tl2br w:val="nil"/>
                    <w:tr2bl w:val="nil"/>
                  </w:tcBorders>
                  <w:noWrap w:val="0"/>
                  <w:vAlign w:val="center"/>
                </w:tcPr>
                <w:p w14:paraId="5C7D7FA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drawing>
                      <wp:inline distT="0" distB="0" distL="114300" distR="114300">
                        <wp:extent cx="864235" cy="720090"/>
                        <wp:effectExtent l="0" t="0" r="12065" b="3810"/>
                        <wp:docPr id="43" name="图片 33" descr="一般固体废弃物警告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3" descr="一般固体废弃物警告标识"/>
                                <pic:cNvPicPr>
                                  <a:picLocks noChangeAspect="1"/>
                                </pic:cNvPicPr>
                              </pic:nvPicPr>
                              <pic:blipFill>
                                <a:blip r:embed="rId28"/>
                                <a:stretch>
                                  <a:fillRect/>
                                </a:stretch>
                              </pic:blipFill>
                              <pic:spPr>
                                <a:xfrm>
                                  <a:off x="0" y="0"/>
                                  <a:ext cx="864235" cy="720090"/>
                                </a:xfrm>
                                <a:prstGeom prst="rect">
                                  <a:avLst/>
                                </a:prstGeom>
                                <a:noFill/>
                                <a:ln>
                                  <a:noFill/>
                                </a:ln>
                              </pic:spPr>
                            </pic:pic>
                          </a:graphicData>
                        </a:graphic>
                      </wp:inline>
                    </w:drawing>
                  </w:r>
                </w:p>
              </w:tc>
              <w:tc>
                <w:tcPr>
                  <w:tcW w:w="1340" w:type="dxa"/>
                  <w:tcBorders>
                    <w:tl2br w:val="nil"/>
                    <w:tr2bl w:val="nil"/>
                  </w:tcBorders>
                  <w:noWrap w:val="0"/>
                  <w:vAlign w:val="center"/>
                </w:tcPr>
                <w:p w14:paraId="6F659C82">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表示一般固废贮存、处置场</w:t>
                  </w:r>
                </w:p>
              </w:tc>
            </w:tr>
            <w:tr w14:paraId="07C92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13" w:type="dxa"/>
                  <w:tcBorders>
                    <w:tl2br w:val="nil"/>
                    <w:tr2bl w:val="nil"/>
                  </w:tcBorders>
                  <w:noWrap w:val="0"/>
                  <w:vAlign w:val="center"/>
                </w:tcPr>
                <w:p w14:paraId="38AD6BF6">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4</w:t>
                  </w:r>
                </w:p>
              </w:tc>
              <w:tc>
                <w:tcPr>
                  <w:tcW w:w="1341" w:type="dxa"/>
                  <w:tcBorders>
                    <w:tl2br w:val="nil"/>
                    <w:tr2bl w:val="nil"/>
                  </w:tcBorders>
                  <w:noWrap w:val="0"/>
                  <w:vAlign w:val="center"/>
                </w:tcPr>
                <w:p w14:paraId="070F6D97">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危险废物</w:t>
                  </w:r>
                </w:p>
              </w:tc>
              <w:tc>
                <w:tcPr>
                  <w:tcW w:w="1928" w:type="dxa"/>
                  <w:tcBorders>
                    <w:tl2br w:val="nil"/>
                    <w:tr2bl w:val="nil"/>
                  </w:tcBorders>
                  <w:noWrap w:val="0"/>
                  <w:vAlign w:val="center"/>
                </w:tcPr>
                <w:p w14:paraId="26F2AC6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1928" w:type="dxa"/>
                  <w:tcBorders>
                    <w:tl2br w:val="nil"/>
                    <w:tr2bl w:val="nil"/>
                  </w:tcBorders>
                  <w:noWrap w:val="0"/>
                  <w:vAlign w:val="center"/>
                </w:tcPr>
                <w:p w14:paraId="731E047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drawing>
                      <wp:inline distT="0" distB="0" distL="114300" distR="114300">
                        <wp:extent cx="1271270" cy="683260"/>
                        <wp:effectExtent l="0" t="0" r="5080" b="2540"/>
                        <wp:docPr id="44" name="图片 376" descr="危险废物贮存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76" descr="危险废物贮存标识"/>
                                <pic:cNvPicPr>
                                  <a:picLocks noChangeAspect="1"/>
                                </pic:cNvPicPr>
                              </pic:nvPicPr>
                              <pic:blipFill>
                                <a:blip r:embed="rId29"/>
                                <a:stretch>
                                  <a:fillRect/>
                                </a:stretch>
                              </pic:blipFill>
                              <pic:spPr>
                                <a:xfrm>
                                  <a:off x="0" y="0"/>
                                  <a:ext cx="1271270" cy="683260"/>
                                </a:xfrm>
                                <a:prstGeom prst="rect">
                                  <a:avLst/>
                                </a:prstGeom>
                                <a:noFill/>
                                <a:ln>
                                  <a:noFill/>
                                </a:ln>
                              </pic:spPr>
                            </pic:pic>
                          </a:graphicData>
                        </a:graphic>
                      </wp:inline>
                    </w:drawing>
                  </w:r>
                </w:p>
              </w:tc>
              <w:tc>
                <w:tcPr>
                  <w:tcW w:w="1340" w:type="dxa"/>
                  <w:tcBorders>
                    <w:tl2br w:val="nil"/>
                    <w:tr2bl w:val="nil"/>
                  </w:tcBorders>
                  <w:noWrap w:val="0"/>
                  <w:vAlign w:val="center"/>
                </w:tcPr>
                <w:p w14:paraId="53C4D633">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表示危废贮存库</w:t>
                  </w:r>
                </w:p>
              </w:tc>
            </w:tr>
          </w:tbl>
          <w:p w14:paraId="343805A2">
            <w:pPr>
              <w:keepNext w:val="0"/>
              <w:keepLines w:val="0"/>
              <w:pageBreakBefore w:val="0"/>
              <w:widowControl w:val="0"/>
              <w:numPr>
                <w:ilvl w:val="0"/>
                <w:numId w:val="11"/>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4"/>
                <w:szCs w:val="24"/>
                <w:highlight w:val="none"/>
                <w:lang w:val="en-US" w:eastAsia="zh-CN"/>
              </w:rPr>
              <w:t>加强环境管理，建立环保设施运行台账，设专人负责环保设施的维护管理，确保污染治理设施的正常运转和污染物的稳定达标排放；加强环境风险管控，杜绝环境污染事故发生。</w:t>
            </w:r>
          </w:p>
          <w:p w14:paraId="186FD697">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060B03E0">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35B2DB94">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0CBC73D0">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286F2C28">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22FE8006">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06D9C40C">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190C471C">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1EF83345">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1D338588">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3F20488E">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4FC10C37">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7FD829A9">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77D45D07">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2CB708E8">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3BB31C70">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438E994F">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48089EF0">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p w14:paraId="19DF46BB">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jc w:val="both"/>
              <w:textAlignment w:val="auto"/>
              <w:rPr>
                <w:rFonts w:hint="eastAsia" w:ascii="Times New Roman" w:hAnsi="Times New Roman" w:eastAsia="宋体" w:cs="Times New Roman"/>
                <w:sz w:val="24"/>
                <w:szCs w:val="24"/>
                <w:highlight w:val="none"/>
                <w:lang w:val="en-US" w:eastAsia="zh-CN"/>
              </w:rPr>
            </w:pPr>
          </w:p>
        </w:tc>
      </w:tr>
    </w:tbl>
    <w:p w14:paraId="3413554C">
      <w:pPr>
        <w:pStyle w:val="19"/>
        <w:jc w:val="center"/>
        <w:outlineLvl w:val="0"/>
        <w:rPr>
          <w:rFonts w:ascii="黑体" w:hAnsi="黑体" w:eastAsia="黑体"/>
          <w:snapToGrid w:val="0"/>
          <w:sz w:val="30"/>
          <w:szCs w:val="30"/>
          <w:highlight w:val="none"/>
        </w:rPr>
      </w:pPr>
      <w:r>
        <w:rPr>
          <w:snapToGrid w:val="0"/>
          <w:highlight w:val="none"/>
        </w:rPr>
        <w:br w:type="page"/>
      </w:r>
      <w:bookmarkStart w:id="8" w:name="_Toc26719"/>
      <w:r>
        <w:rPr>
          <w:rFonts w:hint="eastAsia" w:ascii="黑体" w:hAnsi="黑体" w:eastAsia="黑体"/>
          <w:snapToGrid w:val="0"/>
          <w:sz w:val="30"/>
          <w:szCs w:val="30"/>
          <w:highlight w:val="none"/>
        </w:rPr>
        <w:t>六、结论</w:t>
      </w:r>
      <w:bookmarkEnd w:id="8"/>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05C39A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0105E33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本项目符合国家产业政策，选址符合规划。项目所在区域无重大环境制约要素，环境质量现状良好。项目贯彻了</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总量控制</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和</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达标排放</w:t>
            </w:r>
            <w:r>
              <w:rPr>
                <w:rFonts w:hint="eastAsia"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原则，采取的污染物治理方案技术可行，措施有效，工程实施后对环境影响轻微，只要落实本报告表提出的环保措施，本项目建设从环境保护角度而言是可行的。</w:t>
            </w:r>
          </w:p>
          <w:p w14:paraId="43B921EC">
            <w:pPr>
              <w:spacing w:line="360" w:lineRule="auto"/>
              <w:rPr>
                <w:rFonts w:ascii="宋体" w:cs="宋体"/>
                <w:sz w:val="24"/>
                <w:highlight w:val="none"/>
              </w:rPr>
            </w:pPr>
          </w:p>
        </w:tc>
      </w:tr>
    </w:tbl>
    <w:p w14:paraId="5DEDE4B3">
      <w:pPr>
        <w:rPr>
          <w:rFonts w:ascii="宋体"/>
          <w:highlight w:val="none"/>
        </w:rPr>
        <w:sectPr>
          <w:pgSz w:w="11906" w:h="16838"/>
          <w:pgMar w:top="1701" w:right="1531" w:bottom="1701" w:left="1531" w:header="851" w:footer="1247" w:gutter="0"/>
          <w:pgBorders>
            <w:top w:val="none" w:sz="0" w:space="0"/>
            <w:left w:val="none" w:sz="0" w:space="0"/>
            <w:bottom w:val="none" w:sz="0" w:space="0"/>
            <w:right w:val="none" w:sz="0" w:space="0"/>
          </w:pgBorders>
          <w:pgNumType w:fmt="decimal"/>
          <w:cols w:space="720" w:num="1"/>
          <w:docGrid w:linePitch="312" w:charSpace="0"/>
        </w:sectPr>
      </w:pPr>
    </w:p>
    <w:p w14:paraId="7ABDE27E">
      <w:pPr>
        <w:pStyle w:val="19"/>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0"/>
        <w:rPr>
          <w:rFonts w:ascii="黑体" w:hAnsi="黑体" w:eastAsia="黑体"/>
          <w:snapToGrid w:val="0"/>
          <w:sz w:val="32"/>
          <w:szCs w:val="32"/>
          <w:highlight w:val="none"/>
        </w:rPr>
      </w:pPr>
      <w:bookmarkStart w:id="9" w:name="_Toc29283"/>
      <w:r>
        <w:rPr>
          <w:rFonts w:hint="eastAsia" w:ascii="黑体" w:hAnsi="黑体" w:eastAsia="黑体"/>
          <w:snapToGrid w:val="0"/>
          <w:sz w:val="32"/>
          <w:szCs w:val="32"/>
          <w:highlight w:val="none"/>
        </w:rPr>
        <w:t>附表</w:t>
      </w:r>
      <w:bookmarkEnd w:id="9"/>
    </w:p>
    <w:p w14:paraId="0B8E12E5">
      <w:pPr>
        <w:pStyle w:val="19"/>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eastAsia" w:ascii="方正小标宋_GBK" w:hAnsi="黑体" w:eastAsia="方正小标宋_GBK"/>
          <w:snapToGrid w:val="0"/>
          <w:sz w:val="38"/>
          <w:szCs w:val="38"/>
          <w:highlight w:val="none"/>
        </w:rPr>
      </w:pPr>
      <w:bookmarkStart w:id="10" w:name="_Toc31037"/>
      <w:r>
        <w:rPr>
          <w:rFonts w:hint="eastAsia" w:ascii="方正小标宋_GBK" w:hAnsi="黑体" w:eastAsia="方正小标宋_GBK"/>
          <w:snapToGrid w:val="0"/>
          <w:sz w:val="38"/>
          <w:szCs w:val="38"/>
          <w:highlight w:val="none"/>
        </w:rPr>
        <w:t>建设项目污染物排放量汇总表</w:t>
      </w:r>
      <w:bookmarkEnd w:id="10"/>
    </w:p>
    <w:tbl>
      <w:tblPr>
        <w:tblStyle w:val="2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588"/>
        <w:gridCol w:w="1417"/>
        <w:gridCol w:w="1701"/>
        <w:gridCol w:w="1276"/>
        <w:gridCol w:w="1701"/>
        <w:gridCol w:w="1559"/>
        <w:gridCol w:w="1761"/>
        <w:gridCol w:w="1630"/>
        <w:gridCol w:w="1155"/>
      </w:tblGrid>
      <w:tr w14:paraId="573EF3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tcBorders>
              <w:tl2br w:val="single" w:color="auto" w:sz="4" w:space="0"/>
            </w:tcBorders>
            <w:noWrap w:val="0"/>
            <w:tcMar>
              <w:left w:w="28" w:type="dxa"/>
              <w:right w:w="28" w:type="dxa"/>
            </w:tcMar>
            <w:vAlign w:val="center"/>
          </w:tcPr>
          <w:p w14:paraId="59CF9FAE">
            <w:pPr>
              <w:pStyle w:val="40"/>
              <w:keepNext w:val="0"/>
              <w:keepLines w:val="0"/>
              <w:pageBreakBefore w:val="0"/>
              <w:kinsoku/>
              <w:wordWrap/>
              <w:overflowPunct/>
              <w:topLinePunct w:val="0"/>
              <w:autoSpaceDE/>
              <w:autoSpaceDN/>
              <w:bidi w:val="0"/>
              <w:spacing w:beforeLines="0" w:afterLines="0" w:line="400" w:lineRule="exact"/>
              <w:jc w:val="righ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项目</w:t>
            </w:r>
          </w:p>
          <w:p w14:paraId="45779056">
            <w:pPr>
              <w:pStyle w:val="40"/>
              <w:keepNext w:val="0"/>
              <w:keepLines w:val="0"/>
              <w:pageBreakBefore w:val="0"/>
              <w:kinsoku/>
              <w:wordWrap/>
              <w:overflowPunct/>
              <w:topLinePunct w:val="0"/>
              <w:autoSpaceDE/>
              <w:autoSpaceDN/>
              <w:bidi w:val="0"/>
              <w:spacing w:beforeLines="0" w:afterLines="0" w:line="400" w:lineRule="exact"/>
              <w:jc w:val="lef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分类</w:t>
            </w:r>
          </w:p>
        </w:tc>
        <w:tc>
          <w:tcPr>
            <w:tcW w:w="1417" w:type="dxa"/>
            <w:noWrap w:val="0"/>
            <w:tcMar>
              <w:left w:w="28" w:type="dxa"/>
              <w:right w:w="28" w:type="dxa"/>
            </w:tcMar>
            <w:vAlign w:val="center"/>
          </w:tcPr>
          <w:p w14:paraId="126DECF5">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污染物名称</w:t>
            </w:r>
          </w:p>
        </w:tc>
        <w:tc>
          <w:tcPr>
            <w:tcW w:w="1701" w:type="dxa"/>
            <w:noWrap w:val="0"/>
            <w:tcMar>
              <w:left w:w="28" w:type="dxa"/>
              <w:right w:w="28" w:type="dxa"/>
            </w:tcMar>
            <w:vAlign w:val="center"/>
          </w:tcPr>
          <w:p w14:paraId="570928DA">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现有工程</w:t>
            </w:r>
          </w:p>
          <w:p w14:paraId="2AE0B240">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排放量（固体废物产生量）</w:t>
            </w:r>
            <w:r>
              <w:rPr>
                <w:rFonts w:hint="default" w:ascii="Times New Roman" w:hAnsi="Times New Roman" w:eastAsia="黑体" w:cs="Times New Roman"/>
                <w:snapToGrid w:val="0"/>
                <w:color w:val="000000"/>
                <w:spacing w:val="-6"/>
                <w:kern w:val="21"/>
                <w:sz w:val="21"/>
                <w:szCs w:val="21"/>
                <w:highlight w:val="none"/>
              </w:rPr>
              <w:fldChar w:fldCharType="begin"/>
            </w:r>
            <w:r>
              <w:rPr>
                <w:rFonts w:hint="default" w:ascii="Times New Roman" w:hAnsi="Times New Roman" w:eastAsia="黑体" w:cs="Times New Roman"/>
                <w:snapToGrid w:val="0"/>
                <w:color w:val="000000"/>
                <w:spacing w:val="-6"/>
                <w:kern w:val="21"/>
                <w:sz w:val="21"/>
                <w:szCs w:val="21"/>
                <w:highlight w:val="none"/>
              </w:rPr>
              <w:instrText xml:space="preserve">=1\*GB3\*MERGEFORMAT</w:instrText>
            </w:r>
            <w:r>
              <w:rPr>
                <w:rFonts w:hint="default" w:ascii="Times New Roman" w:hAnsi="Times New Roman" w:eastAsia="黑体" w:cs="Times New Roman"/>
                <w:snapToGrid w:val="0"/>
                <w:color w:val="000000"/>
                <w:spacing w:val="-6"/>
                <w:kern w:val="21"/>
                <w:sz w:val="21"/>
                <w:szCs w:val="21"/>
                <w:highlight w:val="none"/>
              </w:rPr>
              <w:fldChar w:fldCharType="separate"/>
            </w:r>
            <w:r>
              <w:rPr>
                <w:rFonts w:hint="default" w:ascii="Times New Roman" w:hAnsi="Times New Roman" w:eastAsia="黑体" w:cs="Times New Roman"/>
                <w:kern w:val="2"/>
                <w:sz w:val="21"/>
                <w:szCs w:val="21"/>
                <w:highlight w:val="none"/>
              </w:rPr>
              <w:t>①</w:t>
            </w:r>
            <w:r>
              <w:rPr>
                <w:rFonts w:hint="default" w:ascii="Times New Roman" w:hAnsi="Times New Roman" w:eastAsia="黑体" w:cs="Times New Roman"/>
                <w:snapToGrid w:val="0"/>
                <w:color w:val="000000"/>
                <w:spacing w:val="-6"/>
                <w:kern w:val="21"/>
                <w:sz w:val="21"/>
                <w:szCs w:val="21"/>
                <w:highlight w:val="none"/>
              </w:rPr>
              <w:fldChar w:fldCharType="end"/>
            </w:r>
          </w:p>
        </w:tc>
        <w:tc>
          <w:tcPr>
            <w:tcW w:w="1276" w:type="dxa"/>
            <w:noWrap w:val="0"/>
            <w:tcMar>
              <w:left w:w="28" w:type="dxa"/>
              <w:right w:w="28" w:type="dxa"/>
            </w:tcMar>
            <w:vAlign w:val="center"/>
          </w:tcPr>
          <w:p w14:paraId="62B5085F">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现有工程</w:t>
            </w:r>
          </w:p>
          <w:p w14:paraId="531659F8">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许可排放量</w:t>
            </w:r>
          </w:p>
          <w:p w14:paraId="64661FF7">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fldChar w:fldCharType="begin"/>
            </w:r>
            <w:r>
              <w:rPr>
                <w:rFonts w:hint="default" w:ascii="Times New Roman" w:hAnsi="Times New Roman" w:eastAsia="黑体" w:cs="Times New Roman"/>
                <w:snapToGrid w:val="0"/>
                <w:color w:val="000000"/>
                <w:spacing w:val="-6"/>
                <w:kern w:val="21"/>
                <w:sz w:val="21"/>
                <w:szCs w:val="21"/>
                <w:highlight w:val="none"/>
              </w:rPr>
              <w:instrText xml:space="preserve">=2\*GB3\*MERGEFORMAT</w:instrText>
            </w:r>
            <w:r>
              <w:rPr>
                <w:rFonts w:hint="default" w:ascii="Times New Roman" w:hAnsi="Times New Roman" w:eastAsia="黑体" w:cs="Times New Roman"/>
                <w:snapToGrid w:val="0"/>
                <w:color w:val="000000"/>
                <w:spacing w:val="-6"/>
                <w:kern w:val="21"/>
                <w:sz w:val="21"/>
                <w:szCs w:val="21"/>
                <w:highlight w:val="none"/>
              </w:rPr>
              <w:fldChar w:fldCharType="separate"/>
            </w:r>
            <w:r>
              <w:rPr>
                <w:rFonts w:hint="default" w:ascii="Times New Roman" w:hAnsi="Times New Roman" w:eastAsia="黑体" w:cs="Times New Roman"/>
                <w:snapToGrid w:val="0"/>
                <w:color w:val="000000"/>
                <w:spacing w:val="-6"/>
                <w:kern w:val="21"/>
                <w:sz w:val="21"/>
                <w:szCs w:val="21"/>
                <w:highlight w:val="none"/>
              </w:rPr>
              <w:t>②</w:t>
            </w:r>
            <w:r>
              <w:rPr>
                <w:rFonts w:hint="default" w:ascii="Times New Roman" w:hAnsi="Times New Roman" w:eastAsia="黑体" w:cs="Times New Roman"/>
                <w:snapToGrid w:val="0"/>
                <w:color w:val="000000"/>
                <w:spacing w:val="-6"/>
                <w:kern w:val="21"/>
                <w:sz w:val="21"/>
                <w:szCs w:val="21"/>
                <w:highlight w:val="none"/>
              </w:rPr>
              <w:fldChar w:fldCharType="end"/>
            </w:r>
          </w:p>
        </w:tc>
        <w:tc>
          <w:tcPr>
            <w:tcW w:w="1701" w:type="dxa"/>
            <w:noWrap w:val="0"/>
            <w:tcMar>
              <w:left w:w="28" w:type="dxa"/>
              <w:right w:w="28" w:type="dxa"/>
            </w:tcMar>
            <w:vAlign w:val="center"/>
          </w:tcPr>
          <w:p w14:paraId="568A6DA4">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在建工程</w:t>
            </w:r>
          </w:p>
          <w:p w14:paraId="6CC11631">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排放量（固体废物产生量）</w:t>
            </w:r>
            <w:r>
              <w:rPr>
                <w:rFonts w:hint="default" w:ascii="Times New Roman" w:hAnsi="Times New Roman" w:eastAsia="黑体" w:cs="Times New Roman"/>
                <w:snapToGrid w:val="0"/>
                <w:color w:val="000000"/>
                <w:spacing w:val="-6"/>
                <w:kern w:val="21"/>
                <w:sz w:val="21"/>
                <w:szCs w:val="21"/>
                <w:highlight w:val="none"/>
              </w:rPr>
              <w:fldChar w:fldCharType="begin"/>
            </w:r>
            <w:r>
              <w:rPr>
                <w:rFonts w:hint="default" w:ascii="Times New Roman" w:hAnsi="Times New Roman" w:eastAsia="黑体" w:cs="Times New Roman"/>
                <w:snapToGrid w:val="0"/>
                <w:color w:val="000000"/>
                <w:spacing w:val="-6"/>
                <w:kern w:val="21"/>
                <w:sz w:val="21"/>
                <w:szCs w:val="21"/>
                <w:highlight w:val="none"/>
              </w:rPr>
              <w:instrText xml:space="preserve">=3\*GB3\*MERGEFORMAT</w:instrText>
            </w:r>
            <w:r>
              <w:rPr>
                <w:rFonts w:hint="default" w:ascii="Times New Roman" w:hAnsi="Times New Roman" w:eastAsia="黑体" w:cs="Times New Roman"/>
                <w:snapToGrid w:val="0"/>
                <w:color w:val="000000"/>
                <w:spacing w:val="-6"/>
                <w:kern w:val="21"/>
                <w:sz w:val="21"/>
                <w:szCs w:val="21"/>
                <w:highlight w:val="none"/>
              </w:rPr>
              <w:fldChar w:fldCharType="separate"/>
            </w:r>
            <w:r>
              <w:rPr>
                <w:rFonts w:hint="default" w:ascii="Times New Roman" w:hAnsi="Times New Roman" w:eastAsia="黑体" w:cs="Times New Roman"/>
                <w:kern w:val="2"/>
                <w:sz w:val="21"/>
                <w:szCs w:val="21"/>
                <w:highlight w:val="none"/>
              </w:rPr>
              <w:t>③</w:t>
            </w:r>
            <w:r>
              <w:rPr>
                <w:rFonts w:hint="default" w:ascii="Times New Roman" w:hAnsi="Times New Roman" w:eastAsia="黑体" w:cs="Times New Roman"/>
                <w:snapToGrid w:val="0"/>
                <w:color w:val="000000"/>
                <w:spacing w:val="-6"/>
                <w:kern w:val="21"/>
                <w:sz w:val="21"/>
                <w:szCs w:val="21"/>
                <w:highlight w:val="none"/>
              </w:rPr>
              <w:fldChar w:fldCharType="end"/>
            </w:r>
          </w:p>
        </w:tc>
        <w:tc>
          <w:tcPr>
            <w:tcW w:w="1559" w:type="dxa"/>
            <w:noWrap w:val="0"/>
            <w:tcMar>
              <w:left w:w="28" w:type="dxa"/>
              <w:right w:w="28" w:type="dxa"/>
            </w:tcMar>
            <w:vAlign w:val="center"/>
          </w:tcPr>
          <w:p w14:paraId="5BDFAB4A">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本项目</w:t>
            </w:r>
          </w:p>
          <w:p w14:paraId="2F2B7977">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排放量（固体废物产生量）</w:t>
            </w:r>
            <w:r>
              <w:rPr>
                <w:rFonts w:hint="default" w:ascii="Times New Roman" w:hAnsi="Times New Roman" w:eastAsia="黑体" w:cs="Times New Roman"/>
                <w:snapToGrid w:val="0"/>
                <w:color w:val="000000"/>
                <w:spacing w:val="-6"/>
                <w:kern w:val="21"/>
                <w:sz w:val="21"/>
                <w:szCs w:val="21"/>
                <w:highlight w:val="none"/>
              </w:rPr>
              <w:fldChar w:fldCharType="begin"/>
            </w:r>
            <w:r>
              <w:rPr>
                <w:rFonts w:hint="default" w:ascii="Times New Roman" w:hAnsi="Times New Roman" w:eastAsia="黑体" w:cs="Times New Roman"/>
                <w:snapToGrid w:val="0"/>
                <w:color w:val="000000"/>
                <w:spacing w:val="-6"/>
                <w:kern w:val="21"/>
                <w:sz w:val="21"/>
                <w:szCs w:val="21"/>
                <w:highlight w:val="none"/>
              </w:rPr>
              <w:instrText xml:space="preserve">=4\*GB3\*MERGEFORMAT</w:instrText>
            </w:r>
            <w:r>
              <w:rPr>
                <w:rFonts w:hint="default" w:ascii="Times New Roman" w:hAnsi="Times New Roman" w:eastAsia="黑体" w:cs="Times New Roman"/>
                <w:snapToGrid w:val="0"/>
                <w:color w:val="000000"/>
                <w:spacing w:val="-6"/>
                <w:kern w:val="21"/>
                <w:sz w:val="21"/>
                <w:szCs w:val="21"/>
                <w:highlight w:val="none"/>
              </w:rPr>
              <w:fldChar w:fldCharType="separate"/>
            </w:r>
            <w:r>
              <w:rPr>
                <w:rFonts w:hint="default" w:ascii="Times New Roman" w:hAnsi="Times New Roman" w:eastAsia="黑体" w:cs="Times New Roman"/>
                <w:kern w:val="2"/>
                <w:sz w:val="21"/>
                <w:szCs w:val="21"/>
                <w:highlight w:val="none"/>
              </w:rPr>
              <w:t>④</w:t>
            </w:r>
            <w:r>
              <w:rPr>
                <w:rFonts w:hint="default" w:ascii="Times New Roman" w:hAnsi="Times New Roman" w:eastAsia="黑体" w:cs="Times New Roman"/>
                <w:snapToGrid w:val="0"/>
                <w:color w:val="000000"/>
                <w:spacing w:val="-6"/>
                <w:kern w:val="21"/>
                <w:sz w:val="21"/>
                <w:szCs w:val="21"/>
                <w:highlight w:val="none"/>
              </w:rPr>
              <w:fldChar w:fldCharType="end"/>
            </w:r>
          </w:p>
        </w:tc>
        <w:tc>
          <w:tcPr>
            <w:tcW w:w="1761" w:type="dxa"/>
            <w:noWrap w:val="0"/>
            <w:tcMar>
              <w:left w:w="28" w:type="dxa"/>
              <w:right w:w="28" w:type="dxa"/>
            </w:tcMar>
            <w:vAlign w:val="center"/>
          </w:tcPr>
          <w:p w14:paraId="5A77EA56">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16"/>
                <w:kern w:val="21"/>
                <w:sz w:val="21"/>
                <w:szCs w:val="21"/>
                <w:highlight w:val="none"/>
              </w:rPr>
            </w:pPr>
            <w:r>
              <w:rPr>
                <w:rFonts w:hint="default" w:ascii="Times New Roman" w:hAnsi="Times New Roman" w:eastAsia="黑体" w:cs="Times New Roman"/>
                <w:snapToGrid w:val="0"/>
                <w:color w:val="000000"/>
                <w:spacing w:val="-16"/>
                <w:kern w:val="21"/>
                <w:sz w:val="21"/>
                <w:szCs w:val="21"/>
                <w:highlight w:val="none"/>
              </w:rPr>
              <w:t>以新带老削减量</w:t>
            </w:r>
          </w:p>
          <w:p w14:paraId="2E3EBEAE">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16"/>
                <w:kern w:val="21"/>
                <w:sz w:val="21"/>
                <w:szCs w:val="21"/>
                <w:highlight w:val="none"/>
              </w:rPr>
            </w:pPr>
            <w:r>
              <w:rPr>
                <w:rFonts w:hint="default" w:ascii="Times New Roman" w:hAnsi="Times New Roman" w:eastAsia="黑体" w:cs="Times New Roman"/>
                <w:snapToGrid w:val="0"/>
                <w:color w:val="000000"/>
                <w:spacing w:val="-16"/>
                <w:kern w:val="21"/>
                <w:sz w:val="21"/>
                <w:szCs w:val="21"/>
                <w:highlight w:val="none"/>
              </w:rPr>
              <w:t>（新建项目不填）</w:t>
            </w:r>
            <w:r>
              <w:rPr>
                <w:rFonts w:hint="default" w:ascii="Times New Roman" w:hAnsi="Times New Roman" w:eastAsia="黑体" w:cs="Times New Roman"/>
                <w:snapToGrid w:val="0"/>
                <w:color w:val="000000"/>
                <w:spacing w:val="-16"/>
                <w:kern w:val="21"/>
                <w:sz w:val="21"/>
                <w:szCs w:val="21"/>
                <w:highlight w:val="none"/>
              </w:rPr>
              <w:fldChar w:fldCharType="begin"/>
            </w:r>
            <w:r>
              <w:rPr>
                <w:rFonts w:hint="default" w:ascii="Times New Roman" w:hAnsi="Times New Roman" w:eastAsia="黑体" w:cs="Times New Roman"/>
                <w:snapToGrid w:val="0"/>
                <w:color w:val="000000"/>
                <w:spacing w:val="-16"/>
                <w:kern w:val="21"/>
                <w:sz w:val="21"/>
                <w:szCs w:val="21"/>
                <w:highlight w:val="none"/>
              </w:rPr>
              <w:instrText xml:space="preserve">=5\*GB3\*MERGEFORMAT</w:instrText>
            </w:r>
            <w:r>
              <w:rPr>
                <w:rFonts w:hint="default" w:ascii="Times New Roman" w:hAnsi="Times New Roman" w:eastAsia="黑体" w:cs="Times New Roman"/>
                <w:snapToGrid w:val="0"/>
                <w:color w:val="000000"/>
                <w:spacing w:val="-16"/>
                <w:kern w:val="21"/>
                <w:sz w:val="21"/>
                <w:szCs w:val="21"/>
                <w:highlight w:val="none"/>
              </w:rPr>
              <w:fldChar w:fldCharType="separate"/>
            </w:r>
            <w:r>
              <w:rPr>
                <w:rFonts w:hint="default" w:ascii="Times New Roman" w:hAnsi="Times New Roman" w:eastAsia="黑体" w:cs="Times New Roman"/>
                <w:kern w:val="2"/>
                <w:sz w:val="21"/>
                <w:szCs w:val="21"/>
                <w:highlight w:val="none"/>
              </w:rPr>
              <w:t>⑤</w:t>
            </w:r>
            <w:r>
              <w:rPr>
                <w:rFonts w:hint="default" w:ascii="Times New Roman" w:hAnsi="Times New Roman" w:eastAsia="黑体" w:cs="Times New Roman"/>
                <w:snapToGrid w:val="0"/>
                <w:color w:val="000000"/>
                <w:spacing w:val="-16"/>
                <w:kern w:val="21"/>
                <w:sz w:val="21"/>
                <w:szCs w:val="21"/>
                <w:highlight w:val="none"/>
              </w:rPr>
              <w:fldChar w:fldCharType="end"/>
            </w:r>
          </w:p>
        </w:tc>
        <w:tc>
          <w:tcPr>
            <w:tcW w:w="1630" w:type="dxa"/>
            <w:noWrap w:val="0"/>
            <w:tcMar>
              <w:left w:w="28" w:type="dxa"/>
              <w:right w:w="28" w:type="dxa"/>
            </w:tcMar>
            <w:vAlign w:val="center"/>
          </w:tcPr>
          <w:p w14:paraId="53EE8067">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16"/>
                <w:kern w:val="21"/>
                <w:sz w:val="21"/>
                <w:szCs w:val="21"/>
                <w:highlight w:val="none"/>
              </w:rPr>
            </w:pPr>
            <w:r>
              <w:rPr>
                <w:rFonts w:hint="default" w:ascii="Times New Roman" w:hAnsi="Times New Roman" w:eastAsia="黑体" w:cs="Times New Roman"/>
                <w:snapToGrid w:val="0"/>
                <w:color w:val="000000"/>
                <w:spacing w:val="-16"/>
                <w:kern w:val="21"/>
                <w:sz w:val="21"/>
                <w:szCs w:val="21"/>
                <w:highlight w:val="none"/>
              </w:rPr>
              <w:t>本项目建成后</w:t>
            </w:r>
          </w:p>
          <w:p w14:paraId="272B20D2">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16"/>
                <w:kern w:val="21"/>
                <w:sz w:val="21"/>
                <w:szCs w:val="21"/>
                <w:highlight w:val="none"/>
              </w:rPr>
            </w:pPr>
            <w:r>
              <w:rPr>
                <w:rFonts w:hint="default" w:ascii="Times New Roman" w:hAnsi="Times New Roman" w:eastAsia="黑体" w:cs="Times New Roman"/>
                <w:snapToGrid w:val="0"/>
                <w:color w:val="000000"/>
                <w:spacing w:val="-16"/>
                <w:kern w:val="21"/>
                <w:sz w:val="21"/>
                <w:szCs w:val="21"/>
                <w:highlight w:val="none"/>
              </w:rPr>
              <w:t>全厂排放量（固体废物产生量）</w:t>
            </w:r>
            <w:r>
              <w:rPr>
                <w:rFonts w:hint="default" w:ascii="Times New Roman" w:hAnsi="Times New Roman" w:eastAsia="黑体" w:cs="Times New Roman"/>
                <w:snapToGrid w:val="0"/>
                <w:color w:val="000000"/>
                <w:spacing w:val="-16"/>
                <w:kern w:val="21"/>
                <w:sz w:val="21"/>
                <w:szCs w:val="21"/>
                <w:highlight w:val="none"/>
              </w:rPr>
              <w:fldChar w:fldCharType="begin"/>
            </w:r>
            <w:r>
              <w:rPr>
                <w:rFonts w:hint="default" w:ascii="Times New Roman" w:hAnsi="Times New Roman" w:eastAsia="黑体" w:cs="Times New Roman"/>
                <w:snapToGrid w:val="0"/>
                <w:color w:val="000000"/>
                <w:spacing w:val="-16"/>
                <w:kern w:val="21"/>
                <w:sz w:val="21"/>
                <w:szCs w:val="21"/>
                <w:highlight w:val="none"/>
              </w:rPr>
              <w:instrText xml:space="preserve">=6\*GB3\*MERGEFORMAT</w:instrText>
            </w:r>
            <w:r>
              <w:rPr>
                <w:rFonts w:hint="default" w:ascii="Times New Roman" w:hAnsi="Times New Roman" w:eastAsia="黑体" w:cs="Times New Roman"/>
                <w:snapToGrid w:val="0"/>
                <w:color w:val="000000"/>
                <w:spacing w:val="-16"/>
                <w:kern w:val="21"/>
                <w:sz w:val="21"/>
                <w:szCs w:val="21"/>
                <w:highlight w:val="none"/>
              </w:rPr>
              <w:fldChar w:fldCharType="separate"/>
            </w:r>
            <w:r>
              <w:rPr>
                <w:rFonts w:hint="default" w:ascii="Times New Roman" w:hAnsi="Times New Roman" w:eastAsia="黑体" w:cs="Times New Roman"/>
                <w:kern w:val="2"/>
                <w:sz w:val="21"/>
                <w:szCs w:val="21"/>
                <w:highlight w:val="none"/>
              </w:rPr>
              <w:t>⑥</w:t>
            </w:r>
            <w:r>
              <w:rPr>
                <w:rFonts w:hint="default" w:ascii="Times New Roman" w:hAnsi="Times New Roman" w:eastAsia="黑体" w:cs="Times New Roman"/>
                <w:snapToGrid w:val="0"/>
                <w:color w:val="000000"/>
                <w:spacing w:val="-16"/>
                <w:kern w:val="21"/>
                <w:sz w:val="21"/>
                <w:szCs w:val="21"/>
                <w:highlight w:val="none"/>
              </w:rPr>
              <w:fldChar w:fldCharType="end"/>
            </w:r>
          </w:p>
        </w:tc>
        <w:tc>
          <w:tcPr>
            <w:tcW w:w="1155" w:type="dxa"/>
            <w:noWrap w:val="0"/>
            <w:tcMar>
              <w:left w:w="28" w:type="dxa"/>
              <w:right w:w="28" w:type="dxa"/>
            </w:tcMar>
            <w:vAlign w:val="center"/>
          </w:tcPr>
          <w:p w14:paraId="580818C1">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t>变化量</w:t>
            </w:r>
          </w:p>
          <w:p w14:paraId="0AE4BA06">
            <w:pPr>
              <w:pStyle w:val="40"/>
              <w:keepNext w:val="0"/>
              <w:keepLines w:val="0"/>
              <w:pageBreakBefore w:val="0"/>
              <w:kinsoku/>
              <w:wordWrap/>
              <w:overflowPunct/>
              <w:topLinePunct w:val="0"/>
              <w:autoSpaceDE/>
              <w:autoSpaceDN/>
              <w:bidi w:val="0"/>
              <w:spacing w:beforeLines="0" w:afterLines="0" w:line="400" w:lineRule="exact"/>
              <w:textAlignment w:val="auto"/>
              <w:rPr>
                <w:rFonts w:hint="default" w:ascii="Times New Roman" w:hAnsi="Times New Roman" w:eastAsia="黑体" w:cs="Times New Roman"/>
                <w:snapToGrid w:val="0"/>
                <w:color w:val="000000"/>
                <w:spacing w:val="-6"/>
                <w:kern w:val="21"/>
                <w:sz w:val="21"/>
                <w:szCs w:val="21"/>
                <w:highlight w:val="none"/>
              </w:rPr>
            </w:pPr>
            <w:r>
              <w:rPr>
                <w:rFonts w:hint="default" w:ascii="Times New Roman" w:hAnsi="Times New Roman" w:eastAsia="黑体" w:cs="Times New Roman"/>
                <w:snapToGrid w:val="0"/>
                <w:color w:val="000000"/>
                <w:spacing w:val="-6"/>
                <w:kern w:val="21"/>
                <w:sz w:val="21"/>
                <w:szCs w:val="21"/>
                <w:highlight w:val="none"/>
              </w:rPr>
              <w:fldChar w:fldCharType="begin"/>
            </w:r>
            <w:r>
              <w:rPr>
                <w:rFonts w:hint="default" w:ascii="Times New Roman" w:hAnsi="Times New Roman" w:eastAsia="黑体" w:cs="Times New Roman"/>
                <w:snapToGrid w:val="0"/>
                <w:color w:val="000000"/>
                <w:spacing w:val="-6"/>
                <w:kern w:val="21"/>
                <w:sz w:val="21"/>
                <w:szCs w:val="21"/>
                <w:highlight w:val="none"/>
              </w:rPr>
              <w:instrText xml:space="preserve">=7\*GB3\*MERGEFORMAT</w:instrText>
            </w:r>
            <w:r>
              <w:rPr>
                <w:rFonts w:hint="default" w:ascii="Times New Roman" w:hAnsi="Times New Roman" w:eastAsia="黑体" w:cs="Times New Roman"/>
                <w:snapToGrid w:val="0"/>
                <w:color w:val="000000"/>
                <w:spacing w:val="-6"/>
                <w:kern w:val="21"/>
                <w:sz w:val="21"/>
                <w:szCs w:val="21"/>
                <w:highlight w:val="none"/>
              </w:rPr>
              <w:fldChar w:fldCharType="separate"/>
            </w:r>
            <w:r>
              <w:rPr>
                <w:rFonts w:hint="default" w:ascii="Times New Roman" w:hAnsi="Times New Roman" w:eastAsia="黑体" w:cs="Times New Roman"/>
                <w:kern w:val="2"/>
                <w:sz w:val="21"/>
                <w:szCs w:val="21"/>
                <w:highlight w:val="none"/>
              </w:rPr>
              <w:t>⑦</w:t>
            </w:r>
            <w:r>
              <w:rPr>
                <w:rFonts w:hint="default" w:ascii="Times New Roman" w:hAnsi="Times New Roman" w:eastAsia="黑体" w:cs="Times New Roman"/>
                <w:snapToGrid w:val="0"/>
                <w:color w:val="000000"/>
                <w:spacing w:val="-6"/>
                <w:kern w:val="21"/>
                <w:sz w:val="21"/>
                <w:szCs w:val="21"/>
                <w:highlight w:val="none"/>
              </w:rPr>
              <w:fldChar w:fldCharType="end"/>
            </w:r>
          </w:p>
        </w:tc>
      </w:tr>
      <w:tr w14:paraId="2F24B2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restart"/>
            <w:noWrap w:val="0"/>
            <w:vAlign w:val="center"/>
          </w:tcPr>
          <w:p w14:paraId="3CC690D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r>
              <w:rPr>
                <w:rFonts w:hint="default" w:ascii="Times New Roman" w:hAnsi="Times New Roman" w:cs="Times New Roman"/>
                <w:snapToGrid w:val="0"/>
                <w:color w:val="000000"/>
                <w:kern w:val="21"/>
                <w:sz w:val="21"/>
                <w:szCs w:val="21"/>
                <w:highlight w:val="none"/>
              </w:rPr>
              <w:t>废气</w:t>
            </w:r>
          </w:p>
        </w:tc>
        <w:tc>
          <w:tcPr>
            <w:tcW w:w="1417" w:type="dxa"/>
            <w:noWrap w:val="0"/>
            <w:vAlign w:val="center"/>
          </w:tcPr>
          <w:p w14:paraId="58A8EDF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颗粒物</w:t>
            </w:r>
          </w:p>
        </w:tc>
        <w:tc>
          <w:tcPr>
            <w:tcW w:w="1701" w:type="dxa"/>
            <w:noWrap w:val="0"/>
            <w:vAlign w:val="center"/>
          </w:tcPr>
          <w:p w14:paraId="1B67664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370AA47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404201B9">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4666797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0.</w:t>
            </w:r>
            <w:r>
              <w:rPr>
                <w:rFonts w:hint="eastAsia" w:ascii="Times New Roman" w:cs="Times New Roman"/>
                <w:color w:val="auto"/>
                <w:kern w:val="2"/>
                <w:sz w:val="21"/>
                <w:szCs w:val="21"/>
                <w:highlight w:val="none"/>
                <w:lang w:val="en-US" w:eastAsia="zh-CN" w:bidi="ar-SA"/>
              </w:rPr>
              <w:t>133</w:t>
            </w:r>
            <w:r>
              <w:rPr>
                <w:rFonts w:hint="eastAsia" w:ascii="Times New Roman" w:hAnsi="Times New Roman" w:eastAsia="宋体" w:cs="Times New Roman"/>
                <w:snapToGrid w:val="0"/>
                <w:color w:val="000000"/>
                <w:kern w:val="21"/>
                <w:sz w:val="21"/>
                <w:szCs w:val="21"/>
                <w:highlight w:val="none"/>
                <w:lang w:val="en-US" w:eastAsia="zh-CN"/>
              </w:rPr>
              <w:t>t/a</w:t>
            </w:r>
          </w:p>
        </w:tc>
        <w:tc>
          <w:tcPr>
            <w:tcW w:w="1761" w:type="dxa"/>
            <w:noWrap w:val="0"/>
            <w:vAlign w:val="center"/>
          </w:tcPr>
          <w:p w14:paraId="30DAAC2D">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3FF91A55">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0.</w:t>
            </w:r>
            <w:r>
              <w:rPr>
                <w:rFonts w:hint="eastAsia" w:ascii="Times New Roman" w:cs="Times New Roman"/>
                <w:color w:val="auto"/>
                <w:kern w:val="2"/>
                <w:sz w:val="21"/>
                <w:szCs w:val="21"/>
                <w:highlight w:val="none"/>
                <w:lang w:val="en-US" w:eastAsia="zh-CN" w:bidi="ar-SA"/>
              </w:rPr>
              <w:t>133</w:t>
            </w:r>
            <w:r>
              <w:rPr>
                <w:rFonts w:hint="eastAsia" w:ascii="Times New Roman" w:hAnsi="Times New Roman" w:eastAsia="宋体" w:cs="Times New Roman"/>
                <w:snapToGrid w:val="0"/>
                <w:color w:val="000000"/>
                <w:kern w:val="21"/>
                <w:sz w:val="21"/>
                <w:szCs w:val="21"/>
                <w:highlight w:val="none"/>
                <w:lang w:val="en-US" w:eastAsia="zh-CN"/>
              </w:rPr>
              <w:t>t/a</w:t>
            </w:r>
          </w:p>
        </w:tc>
        <w:tc>
          <w:tcPr>
            <w:tcW w:w="1155" w:type="dxa"/>
            <w:noWrap w:val="0"/>
            <w:vAlign w:val="center"/>
          </w:tcPr>
          <w:p w14:paraId="2DF97168">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r>
              <w:rPr>
                <w:rFonts w:hint="eastAsia" w:ascii="Times New Roman" w:hAnsi="Times New Roman" w:eastAsia="宋体" w:cs="Times New Roman"/>
                <w:color w:val="auto"/>
                <w:kern w:val="2"/>
                <w:sz w:val="21"/>
                <w:szCs w:val="21"/>
                <w:highlight w:val="none"/>
                <w:lang w:val="en-US" w:eastAsia="zh-CN" w:bidi="ar-SA"/>
              </w:rPr>
              <w:t>0.</w:t>
            </w:r>
            <w:r>
              <w:rPr>
                <w:rFonts w:hint="eastAsia" w:ascii="Times New Roman" w:cs="Times New Roman"/>
                <w:color w:val="auto"/>
                <w:kern w:val="2"/>
                <w:sz w:val="21"/>
                <w:szCs w:val="21"/>
                <w:highlight w:val="none"/>
                <w:lang w:val="en-US" w:eastAsia="zh-CN" w:bidi="ar-SA"/>
              </w:rPr>
              <w:t>133</w:t>
            </w:r>
            <w:r>
              <w:rPr>
                <w:rFonts w:hint="eastAsia" w:ascii="Times New Roman" w:hAnsi="Times New Roman" w:eastAsia="宋体" w:cs="Times New Roman"/>
                <w:snapToGrid w:val="0"/>
                <w:color w:val="000000"/>
                <w:kern w:val="21"/>
                <w:sz w:val="21"/>
                <w:szCs w:val="21"/>
                <w:highlight w:val="none"/>
                <w:lang w:val="en-US" w:eastAsia="zh-CN"/>
              </w:rPr>
              <w:t>t/a</w:t>
            </w:r>
          </w:p>
        </w:tc>
      </w:tr>
      <w:tr w14:paraId="624965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01DB9CED">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1E03726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非甲烷总烃</w:t>
            </w:r>
          </w:p>
        </w:tc>
        <w:tc>
          <w:tcPr>
            <w:tcW w:w="1701" w:type="dxa"/>
            <w:noWrap w:val="0"/>
            <w:vAlign w:val="center"/>
          </w:tcPr>
          <w:p w14:paraId="5608F92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6CB3CE1E">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6DC691E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0168F88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0.050</w:t>
            </w:r>
            <w:r>
              <w:rPr>
                <w:rFonts w:hint="eastAsia" w:ascii="Times New Roman" w:hAnsi="Times New Roman" w:eastAsia="宋体" w:cs="Times New Roman"/>
                <w:snapToGrid w:val="0"/>
                <w:color w:val="000000"/>
                <w:kern w:val="21"/>
                <w:sz w:val="21"/>
                <w:szCs w:val="21"/>
                <w:highlight w:val="none"/>
                <w:lang w:val="en-US" w:eastAsia="zh-CN"/>
              </w:rPr>
              <w:t>t/a</w:t>
            </w:r>
          </w:p>
        </w:tc>
        <w:tc>
          <w:tcPr>
            <w:tcW w:w="1761" w:type="dxa"/>
            <w:noWrap w:val="0"/>
            <w:vAlign w:val="center"/>
          </w:tcPr>
          <w:p w14:paraId="3C7CEA8D">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1421DB6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0.050</w:t>
            </w:r>
            <w:r>
              <w:rPr>
                <w:rFonts w:hint="eastAsia" w:ascii="Times New Roman" w:hAnsi="Times New Roman" w:eastAsia="宋体" w:cs="Times New Roman"/>
                <w:snapToGrid w:val="0"/>
                <w:color w:val="000000"/>
                <w:kern w:val="21"/>
                <w:sz w:val="21"/>
                <w:szCs w:val="21"/>
                <w:highlight w:val="none"/>
                <w:lang w:val="en-US" w:eastAsia="zh-CN"/>
              </w:rPr>
              <w:t>t/a</w:t>
            </w:r>
          </w:p>
        </w:tc>
        <w:tc>
          <w:tcPr>
            <w:tcW w:w="1155" w:type="dxa"/>
            <w:noWrap w:val="0"/>
            <w:vAlign w:val="center"/>
          </w:tcPr>
          <w:p w14:paraId="3E27E975">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r>
              <w:rPr>
                <w:rFonts w:hint="eastAsia" w:ascii="Times New Roman" w:cs="Times New Roman"/>
                <w:snapToGrid w:val="0"/>
                <w:color w:val="000000"/>
                <w:kern w:val="21"/>
                <w:sz w:val="21"/>
                <w:szCs w:val="21"/>
                <w:highlight w:val="none"/>
                <w:lang w:val="en-US" w:eastAsia="zh-CN"/>
              </w:rPr>
              <w:t>0.050</w:t>
            </w:r>
            <w:r>
              <w:rPr>
                <w:rFonts w:hint="eastAsia" w:ascii="Times New Roman" w:hAnsi="Times New Roman" w:eastAsia="宋体" w:cs="Times New Roman"/>
                <w:snapToGrid w:val="0"/>
                <w:color w:val="000000"/>
                <w:kern w:val="21"/>
                <w:sz w:val="21"/>
                <w:szCs w:val="21"/>
                <w:highlight w:val="none"/>
                <w:lang w:val="en-US" w:eastAsia="zh-CN"/>
              </w:rPr>
              <w:t>t/a</w:t>
            </w:r>
          </w:p>
        </w:tc>
      </w:tr>
      <w:tr w14:paraId="5D948F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restart"/>
            <w:noWrap w:val="0"/>
            <w:vAlign w:val="center"/>
          </w:tcPr>
          <w:p w14:paraId="638DECB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r>
              <w:rPr>
                <w:rFonts w:hint="default" w:ascii="Times New Roman" w:hAnsi="Times New Roman" w:cs="Times New Roman"/>
                <w:snapToGrid w:val="0"/>
                <w:color w:val="000000"/>
                <w:kern w:val="21"/>
                <w:sz w:val="21"/>
                <w:szCs w:val="21"/>
                <w:highlight w:val="none"/>
              </w:rPr>
              <w:t>废水</w:t>
            </w:r>
          </w:p>
        </w:tc>
        <w:tc>
          <w:tcPr>
            <w:tcW w:w="1417" w:type="dxa"/>
            <w:noWrap w:val="0"/>
            <w:vAlign w:val="center"/>
          </w:tcPr>
          <w:p w14:paraId="2A4643B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化学需氧量</w:t>
            </w:r>
          </w:p>
        </w:tc>
        <w:tc>
          <w:tcPr>
            <w:tcW w:w="1701" w:type="dxa"/>
            <w:noWrap w:val="0"/>
            <w:vAlign w:val="center"/>
          </w:tcPr>
          <w:p w14:paraId="38D945C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0168312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55F5AD0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4D488EB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0.47t/a</w:t>
            </w:r>
          </w:p>
        </w:tc>
        <w:tc>
          <w:tcPr>
            <w:tcW w:w="1761" w:type="dxa"/>
            <w:noWrap w:val="0"/>
            <w:vAlign w:val="center"/>
          </w:tcPr>
          <w:p w14:paraId="768E330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452ECF07">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0.47t/a</w:t>
            </w:r>
          </w:p>
        </w:tc>
        <w:tc>
          <w:tcPr>
            <w:tcW w:w="1155" w:type="dxa"/>
            <w:noWrap w:val="0"/>
            <w:vAlign w:val="center"/>
          </w:tcPr>
          <w:p w14:paraId="2C4BDD77">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r>
              <w:rPr>
                <w:rFonts w:hint="default" w:ascii="Times New Roman" w:hAnsi="Times New Roman" w:eastAsia="宋体" w:cs="Times New Roman"/>
                <w:snapToGrid w:val="0"/>
                <w:color w:val="000000"/>
                <w:kern w:val="21"/>
                <w:sz w:val="21"/>
                <w:szCs w:val="21"/>
                <w:highlight w:val="none"/>
                <w:lang w:val="en-US" w:eastAsia="zh-CN"/>
              </w:rPr>
              <w:t>0.47t/a</w:t>
            </w:r>
          </w:p>
        </w:tc>
      </w:tr>
      <w:tr w14:paraId="5C3D62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66F655CE">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559C4F8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氨氮</w:t>
            </w:r>
          </w:p>
        </w:tc>
        <w:tc>
          <w:tcPr>
            <w:tcW w:w="1701" w:type="dxa"/>
            <w:noWrap w:val="0"/>
            <w:vAlign w:val="center"/>
          </w:tcPr>
          <w:p w14:paraId="5D4D16F6">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2A931AA8">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3A56FF0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3018655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bidi="ar-SA"/>
              </w:rPr>
              <w:t>0.03t/a</w:t>
            </w:r>
          </w:p>
        </w:tc>
        <w:tc>
          <w:tcPr>
            <w:tcW w:w="1761" w:type="dxa"/>
            <w:noWrap w:val="0"/>
            <w:vAlign w:val="center"/>
          </w:tcPr>
          <w:p w14:paraId="77237EB0">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658EF7C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bidi="ar-SA"/>
              </w:rPr>
              <w:t>0.03t/a</w:t>
            </w:r>
          </w:p>
        </w:tc>
        <w:tc>
          <w:tcPr>
            <w:tcW w:w="1155" w:type="dxa"/>
            <w:noWrap w:val="0"/>
            <w:vAlign w:val="center"/>
          </w:tcPr>
          <w:p w14:paraId="41C14720">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r>
              <w:rPr>
                <w:rFonts w:hint="default" w:ascii="Times New Roman" w:hAnsi="Times New Roman" w:eastAsia="宋体" w:cs="Times New Roman"/>
                <w:snapToGrid w:val="0"/>
                <w:color w:val="000000"/>
                <w:kern w:val="21"/>
                <w:sz w:val="21"/>
                <w:szCs w:val="21"/>
                <w:highlight w:val="none"/>
                <w:lang w:val="en-US" w:eastAsia="zh-CN" w:bidi="ar-SA"/>
              </w:rPr>
              <w:t>0.03t/a</w:t>
            </w:r>
          </w:p>
        </w:tc>
      </w:tr>
      <w:tr w14:paraId="071B76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restart"/>
            <w:noWrap w:val="0"/>
            <w:vAlign w:val="center"/>
          </w:tcPr>
          <w:p w14:paraId="3237700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r>
              <w:rPr>
                <w:rFonts w:hint="default" w:ascii="Times New Roman" w:hAnsi="Times New Roman" w:cs="Times New Roman"/>
                <w:snapToGrid w:val="0"/>
                <w:color w:val="000000"/>
                <w:kern w:val="21"/>
                <w:sz w:val="21"/>
                <w:szCs w:val="21"/>
                <w:highlight w:val="none"/>
              </w:rPr>
              <w:t>一般工业</w:t>
            </w:r>
          </w:p>
          <w:p w14:paraId="62A7D64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r>
              <w:rPr>
                <w:rFonts w:hint="default" w:ascii="Times New Roman" w:hAnsi="Times New Roman" w:cs="Times New Roman"/>
                <w:snapToGrid w:val="0"/>
                <w:color w:val="000000"/>
                <w:kern w:val="21"/>
                <w:sz w:val="21"/>
                <w:szCs w:val="21"/>
                <w:highlight w:val="none"/>
              </w:rPr>
              <w:t>固体废物</w:t>
            </w:r>
          </w:p>
        </w:tc>
        <w:tc>
          <w:tcPr>
            <w:tcW w:w="1417" w:type="dxa"/>
            <w:noWrap w:val="0"/>
            <w:vAlign w:val="center"/>
          </w:tcPr>
          <w:p w14:paraId="00A2B3B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磨泥</w:t>
            </w:r>
          </w:p>
        </w:tc>
        <w:tc>
          <w:tcPr>
            <w:tcW w:w="1701" w:type="dxa"/>
            <w:noWrap w:val="0"/>
            <w:vAlign w:val="center"/>
          </w:tcPr>
          <w:p w14:paraId="6A7D112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bidi="ar-SA"/>
              </w:rPr>
              <w:t>/</w:t>
            </w:r>
          </w:p>
        </w:tc>
        <w:tc>
          <w:tcPr>
            <w:tcW w:w="1276" w:type="dxa"/>
            <w:noWrap w:val="0"/>
            <w:vAlign w:val="center"/>
          </w:tcPr>
          <w:p w14:paraId="603CC54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bidi="ar-SA"/>
              </w:rPr>
              <w:t>/</w:t>
            </w:r>
          </w:p>
        </w:tc>
        <w:tc>
          <w:tcPr>
            <w:tcW w:w="1701" w:type="dxa"/>
            <w:noWrap w:val="0"/>
            <w:vAlign w:val="center"/>
          </w:tcPr>
          <w:p w14:paraId="49F4C135">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bidi="ar-SA"/>
              </w:rPr>
              <w:t>/</w:t>
            </w:r>
          </w:p>
        </w:tc>
        <w:tc>
          <w:tcPr>
            <w:tcW w:w="1559" w:type="dxa"/>
            <w:noWrap w:val="0"/>
            <w:vAlign w:val="center"/>
          </w:tcPr>
          <w:p w14:paraId="0F642FD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2.5t/a</w:t>
            </w:r>
          </w:p>
        </w:tc>
        <w:tc>
          <w:tcPr>
            <w:tcW w:w="1761" w:type="dxa"/>
            <w:noWrap w:val="0"/>
            <w:vAlign w:val="center"/>
          </w:tcPr>
          <w:p w14:paraId="6289C9D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3455BB78">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2.5t/a</w:t>
            </w:r>
          </w:p>
        </w:tc>
        <w:tc>
          <w:tcPr>
            <w:tcW w:w="1155" w:type="dxa"/>
            <w:noWrap w:val="0"/>
            <w:vAlign w:val="center"/>
          </w:tcPr>
          <w:p w14:paraId="12438315">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+2.5t/a</w:t>
            </w:r>
          </w:p>
        </w:tc>
      </w:tr>
      <w:tr w14:paraId="675972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16829E3E">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25EDDE4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废边角料</w:t>
            </w:r>
          </w:p>
        </w:tc>
        <w:tc>
          <w:tcPr>
            <w:tcW w:w="1701" w:type="dxa"/>
            <w:noWrap w:val="0"/>
            <w:vAlign w:val="center"/>
          </w:tcPr>
          <w:p w14:paraId="1E1D568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276" w:type="dxa"/>
            <w:noWrap w:val="0"/>
            <w:vAlign w:val="center"/>
          </w:tcPr>
          <w:p w14:paraId="4AA2693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701" w:type="dxa"/>
            <w:noWrap w:val="0"/>
            <w:vAlign w:val="center"/>
          </w:tcPr>
          <w:p w14:paraId="3CFF96A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559" w:type="dxa"/>
            <w:noWrap w:val="0"/>
            <w:vAlign w:val="center"/>
          </w:tcPr>
          <w:p w14:paraId="5C28589E">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14.1</w:t>
            </w:r>
            <w:r>
              <w:rPr>
                <w:rFonts w:hint="eastAsia" w:ascii="Times New Roman" w:hAnsi="Times New Roman" w:eastAsia="宋体" w:cs="Times New Roman"/>
                <w:snapToGrid w:val="0"/>
                <w:color w:val="000000"/>
                <w:kern w:val="21"/>
                <w:sz w:val="21"/>
                <w:szCs w:val="21"/>
                <w:highlight w:val="none"/>
                <w:lang w:val="en-US" w:eastAsia="zh-CN"/>
              </w:rPr>
              <w:t>t/a</w:t>
            </w:r>
          </w:p>
        </w:tc>
        <w:tc>
          <w:tcPr>
            <w:tcW w:w="1761" w:type="dxa"/>
            <w:noWrap w:val="0"/>
            <w:vAlign w:val="center"/>
          </w:tcPr>
          <w:p w14:paraId="3E1BFA09">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79534736">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14.1</w:t>
            </w:r>
            <w:r>
              <w:rPr>
                <w:rFonts w:hint="eastAsia" w:ascii="Times New Roman" w:hAnsi="Times New Roman" w:eastAsia="宋体" w:cs="Times New Roman"/>
                <w:snapToGrid w:val="0"/>
                <w:color w:val="000000"/>
                <w:kern w:val="21"/>
                <w:sz w:val="21"/>
                <w:szCs w:val="21"/>
                <w:highlight w:val="none"/>
                <w:lang w:val="en-US" w:eastAsia="zh-CN"/>
              </w:rPr>
              <w:t>t/a</w:t>
            </w:r>
          </w:p>
        </w:tc>
        <w:tc>
          <w:tcPr>
            <w:tcW w:w="1155" w:type="dxa"/>
            <w:noWrap w:val="0"/>
            <w:vAlign w:val="center"/>
          </w:tcPr>
          <w:p w14:paraId="33677DF9">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r>
              <w:rPr>
                <w:rFonts w:hint="eastAsia" w:ascii="Times New Roman" w:cs="Times New Roman"/>
                <w:snapToGrid w:val="0"/>
                <w:color w:val="000000"/>
                <w:kern w:val="21"/>
                <w:sz w:val="21"/>
                <w:szCs w:val="21"/>
                <w:highlight w:val="none"/>
                <w:lang w:val="en-US" w:eastAsia="zh-CN"/>
              </w:rPr>
              <w:t>14.1</w:t>
            </w:r>
            <w:r>
              <w:rPr>
                <w:rFonts w:hint="eastAsia" w:ascii="Times New Roman" w:hAnsi="Times New Roman" w:eastAsia="宋体" w:cs="Times New Roman"/>
                <w:snapToGrid w:val="0"/>
                <w:color w:val="000000"/>
                <w:kern w:val="21"/>
                <w:sz w:val="21"/>
                <w:szCs w:val="21"/>
                <w:highlight w:val="none"/>
                <w:lang w:val="en-US" w:eastAsia="zh-CN"/>
              </w:rPr>
              <w:t>t/a</w:t>
            </w:r>
          </w:p>
        </w:tc>
      </w:tr>
      <w:tr w14:paraId="6DB347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577D42DD">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7EA1C2E7">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废氧化铁屑</w:t>
            </w:r>
          </w:p>
        </w:tc>
        <w:tc>
          <w:tcPr>
            <w:tcW w:w="1701" w:type="dxa"/>
            <w:shd w:val="clear" w:color="auto" w:fill="auto"/>
            <w:noWrap w:val="0"/>
            <w:vAlign w:val="center"/>
          </w:tcPr>
          <w:p w14:paraId="52136C4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276" w:type="dxa"/>
            <w:shd w:val="clear" w:color="auto" w:fill="auto"/>
            <w:noWrap w:val="0"/>
            <w:vAlign w:val="center"/>
          </w:tcPr>
          <w:p w14:paraId="252EA166">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701" w:type="dxa"/>
            <w:shd w:val="clear" w:color="auto" w:fill="auto"/>
            <w:noWrap w:val="0"/>
            <w:vAlign w:val="center"/>
          </w:tcPr>
          <w:p w14:paraId="62BCFFE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559" w:type="dxa"/>
            <w:noWrap w:val="0"/>
            <w:vAlign w:val="center"/>
          </w:tcPr>
          <w:p w14:paraId="50583B1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3.1</w:t>
            </w:r>
            <w:r>
              <w:rPr>
                <w:rFonts w:hint="eastAsia" w:ascii="Times New Roman" w:hAnsi="Times New Roman" w:eastAsia="宋体" w:cs="Times New Roman"/>
                <w:snapToGrid w:val="0"/>
                <w:color w:val="000000"/>
                <w:kern w:val="21"/>
                <w:sz w:val="21"/>
                <w:szCs w:val="21"/>
                <w:highlight w:val="none"/>
                <w:lang w:val="en-US" w:eastAsia="zh-CN"/>
              </w:rPr>
              <w:t>t/a</w:t>
            </w:r>
          </w:p>
        </w:tc>
        <w:tc>
          <w:tcPr>
            <w:tcW w:w="1761" w:type="dxa"/>
            <w:noWrap w:val="0"/>
            <w:vAlign w:val="center"/>
          </w:tcPr>
          <w:p w14:paraId="38A001E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34FC7145">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3.1</w:t>
            </w:r>
            <w:r>
              <w:rPr>
                <w:rFonts w:hint="eastAsia" w:ascii="Times New Roman" w:hAnsi="Times New Roman" w:eastAsia="宋体" w:cs="Times New Roman"/>
                <w:snapToGrid w:val="0"/>
                <w:color w:val="000000"/>
                <w:kern w:val="21"/>
                <w:sz w:val="21"/>
                <w:szCs w:val="21"/>
                <w:highlight w:val="none"/>
                <w:lang w:val="en-US" w:eastAsia="zh-CN"/>
              </w:rPr>
              <w:t>t/a</w:t>
            </w:r>
          </w:p>
        </w:tc>
        <w:tc>
          <w:tcPr>
            <w:tcW w:w="1155" w:type="dxa"/>
            <w:noWrap w:val="0"/>
            <w:vAlign w:val="center"/>
          </w:tcPr>
          <w:p w14:paraId="159C9AA9">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+3.1</w:t>
            </w:r>
            <w:r>
              <w:rPr>
                <w:rFonts w:hint="eastAsia" w:ascii="Times New Roman" w:hAnsi="Times New Roman" w:eastAsia="宋体" w:cs="Times New Roman"/>
                <w:snapToGrid w:val="0"/>
                <w:color w:val="000000"/>
                <w:kern w:val="21"/>
                <w:sz w:val="21"/>
                <w:szCs w:val="21"/>
                <w:highlight w:val="none"/>
                <w:lang w:val="en-US" w:eastAsia="zh-CN"/>
              </w:rPr>
              <w:t>t/a</w:t>
            </w:r>
          </w:p>
        </w:tc>
      </w:tr>
      <w:tr w14:paraId="38454E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79F3ADB0">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7718757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rPr>
              <w:t>废布袋</w:t>
            </w:r>
          </w:p>
        </w:tc>
        <w:tc>
          <w:tcPr>
            <w:tcW w:w="1701" w:type="dxa"/>
            <w:noWrap w:val="0"/>
            <w:vAlign w:val="center"/>
          </w:tcPr>
          <w:p w14:paraId="2DACB82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bidi="ar-SA"/>
              </w:rPr>
              <w:t>/</w:t>
            </w:r>
          </w:p>
        </w:tc>
        <w:tc>
          <w:tcPr>
            <w:tcW w:w="1276" w:type="dxa"/>
            <w:noWrap w:val="0"/>
            <w:vAlign w:val="center"/>
          </w:tcPr>
          <w:p w14:paraId="028A624D">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bidi="ar-SA"/>
              </w:rPr>
              <w:t>/</w:t>
            </w:r>
          </w:p>
        </w:tc>
        <w:tc>
          <w:tcPr>
            <w:tcW w:w="1701" w:type="dxa"/>
            <w:noWrap w:val="0"/>
            <w:vAlign w:val="center"/>
          </w:tcPr>
          <w:p w14:paraId="2A6FEED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bidi="ar-SA"/>
              </w:rPr>
              <w:t>/</w:t>
            </w:r>
          </w:p>
        </w:tc>
        <w:tc>
          <w:tcPr>
            <w:tcW w:w="1559" w:type="dxa"/>
            <w:noWrap w:val="0"/>
            <w:vAlign w:val="center"/>
          </w:tcPr>
          <w:p w14:paraId="0746E45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rPr>
              <w:t>0.1t/a</w:t>
            </w:r>
          </w:p>
        </w:tc>
        <w:tc>
          <w:tcPr>
            <w:tcW w:w="1761" w:type="dxa"/>
            <w:noWrap w:val="0"/>
            <w:vAlign w:val="center"/>
          </w:tcPr>
          <w:p w14:paraId="6581EA9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422CCE9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rPr>
              <w:t>0.1t/a</w:t>
            </w:r>
          </w:p>
        </w:tc>
        <w:tc>
          <w:tcPr>
            <w:tcW w:w="1155" w:type="dxa"/>
            <w:noWrap w:val="0"/>
            <w:vAlign w:val="center"/>
          </w:tcPr>
          <w:p w14:paraId="312CE0D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rPr>
              <w:t>+0.1t/a</w:t>
            </w:r>
          </w:p>
        </w:tc>
      </w:tr>
      <w:tr w14:paraId="404A0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5BD7BCD9">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shd w:val="clear" w:color="auto" w:fill="auto"/>
            <w:noWrap w:val="0"/>
            <w:vAlign w:val="center"/>
          </w:tcPr>
          <w:p w14:paraId="715579C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废包装材料</w:t>
            </w:r>
          </w:p>
        </w:tc>
        <w:tc>
          <w:tcPr>
            <w:tcW w:w="1701" w:type="dxa"/>
            <w:shd w:val="clear" w:color="auto" w:fill="auto"/>
            <w:noWrap w:val="0"/>
            <w:vAlign w:val="center"/>
          </w:tcPr>
          <w:p w14:paraId="155CD51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276" w:type="dxa"/>
            <w:shd w:val="clear" w:color="auto" w:fill="auto"/>
            <w:noWrap w:val="0"/>
            <w:vAlign w:val="center"/>
          </w:tcPr>
          <w:p w14:paraId="1C17540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701" w:type="dxa"/>
            <w:shd w:val="clear" w:color="auto" w:fill="auto"/>
            <w:noWrap w:val="0"/>
            <w:vAlign w:val="center"/>
          </w:tcPr>
          <w:p w14:paraId="0947A0FE">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559" w:type="dxa"/>
            <w:shd w:val="clear" w:color="auto" w:fill="auto"/>
            <w:noWrap w:val="0"/>
            <w:vAlign w:val="center"/>
          </w:tcPr>
          <w:p w14:paraId="7D5F22A6">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rPr>
              <w:t>0.1t/a</w:t>
            </w:r>
          </w:p>
        </w:tc>
        <w:tc>
          <w:tcPr>
            <w:tcW w:w="1761" w:type="dxa"/>
            <w:shd w:val="clear" w:color="auto" w:fill="auto"/>
            <w:noWrap w:val="0"/>
            <w:vAlign w:val="center"/>
          </w:tcPr>
          <w:p w14:paraId="56C25948">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630" w:type="dxa"/>
            <w:shd w:val="clear" w:color="auto" w:fill="auto"/>
            <w:noWrap w:val="0"/>
            <w:vAlign w:val="center"/>
          </w:tcPr>
          <w:p w14:paraId="15FA433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rPr>
              <w:t>0.1t/a</w:t>
            </w:r>
          </w:p>
        </w:tc>
        <w:tc>
          <w:tcPr>
            <w:tcW w:w="1155" w:type="dxa"/>
            <w:shd w:val="clear" w:color="auto" w:fill="auto"/>
            <w:noWrap w:val="0"/>
            <w:vAlign w:val="center"/>
          </w:tcPr>
          <w:p w14:paraId="3BFB79B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rPr>
              <w:t>+0.1t/a</w:t>
            </w:r>
          </w:p>
        </w:tc>
      </w:tr>
      <w:tr w14:paraId="208815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4D063D2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75028DCD">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p>
        </w:tc>
        <w:tc>
          <w:tcPr>
            <w:tcW w:w="1701" w:type="dxa"/>
            <w:noWrap w:val="0"/>
            <w:vAlign w:val="center"/>
          </w:tcPr>
          <w:p w14:paraId="2B10A82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p>
        </w:tc>
        <w:tc>
          <w:tcPr>
            <w:tcW w:w="1276" w:type="dxa"/>
            <w:noWrap w:val="0"/>
            <w:vAlign w:val="center"/>
          </w:tcPr>
          <w:p w14:paraId="335A214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p>
        </w:tc>
        <w:tc>
          <w:tcPr>
            <w:tcW w:w="1701" w:type="dxa"/>
            <w:noWrap w:val="0"/>
            <w:vAlign w:val="center"/>
          </w:tcPr>
          <w:p w14:paraId="6B87FBA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bidi="ar-SA"/>
              </w:rPr>
            </w:pPr>
          </w:p>
        </w:tc>
        <w:tc>
          <w:tcPr>
            <w:tcW w:w="1559" w:type="dxa"/>
            <w:noWrap w:val="0"/>
            <w:vAlign w:val="center"/>
          </w:tcPr>
          <w:p w14:paraId="7703C16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p>
        </w:tc>
        <w:tc>
          <w:tcPr>
            <w:tcW w:w="1761" w:type="dxa"/>
            <w:noWrap w:val="0"/>
            <w:vAlign w:val="center"/>
          </w:tcPr>
          <w:p w14:paraId="44C715A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p>
        </w:tc>
        <w:tc>
          <w:tcPr>
            <w:tcW w:w="1630" w:type="dxa"/>
            <w:noWrap w:val="0"/>
            <w:vAlign w:val="center"/>
          </w:tcPr>
          <w:p w14:paraId="133F6827">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p>
        </w:tc>
        <w:tc>
          <w:tcPr>
            <w:tcW w:w="1155" w:type="dxa"/>
            <w:noWrap w:val="0"/>
            <w:vAlign w:val="center"/>
          </w:tcPr>
          <w:p w14:paraId="621DFB6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p>
        </w:tc>
      </w:tr>
      <w:tr w14:paraId="2587DF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restart"/>
            <w:noWrap w:val="0"/>
            <w:vAlign w:val="center"/>
          </w:tcPr>
          <w:p w14:paraId="34F1F28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r>
              <w:rPr>
                <w:rFonts w:hint="default" w:ascii="Times New Roman" w:hAnsi="Times New Roman" w:cs="Times New Roman"/>
                <w:snapToGrid w:val="0"/>
                <w:color w:val="000000"/>
                <w:kern w:val="21"/>
                <w:sz w:val="21"/>
                <w:szCs w:val="21"/>
                <w:highlight w:val="none"/>
              </w:rPr>
              <w:t>危险废物</w:t>
            </w:r>
          </w:p>
        </w:tc>
        <w:tc>
          <w:tcPr>
            <w:tcW w:w="1417" w:type="dxa"/>
            <w:noWrap w:val="0"/>
            <w:vAlign w:val="center"/>
          </w:tcPr>
          <w:p w14:paraId="10ED6958">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真空泵废油</w:t>
            </w:r>
          </w:p>
        </w:tc>
        <w:tc>
          <w:tcPr>
            <w:tcW w:w="1701" w:type="dxa"/>
            <w:noWrap w:val="0"/>
            <w:vAlign w:val="center"/>
          </w:tcPr>
          <w:p w14:paraId="2F36FEE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45C29E0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5CE6C3E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65F0F6F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0.2</w:t>
            </w:r>
            <w:r>
              <w:rPr>
                <w:rFonts w:hint="eastAsia" w:ascii="Times New Roman" w:cs="Times New Roman"/>
                <w:snapToGrid w:val="0"/>
                <w:color w:val="000000"/>
                <w:kern w:val="21"/>
                <w:sz w:val="21"/>
                <w:szCs w:val="21"/>
                <w:highlight w:val="none"/>
                <w:lang w:val="en-US" w:eastAsia="zh-CN"/>
              </w:rPr>
              <w:t>25</w:t>
            </w:r>
            <w:r>
              <w:rPr>
                <w:rFonts w:hint="eastAsia" w:ascii="Times New Roman" w:hAnsi="Times New Roman" w:eastAsia="宋体" w:cs="Times New Roman"/>
                <w:snapToGrid w:val="0"/>
                <w:color w:val="000000"/>
                <w:kern w:val="21"/>
                <w:sz w:val="21"/>
                <w:szCs w:val="21"/>
                <w:highlight w:val="none"/>
                <w:lang w:val="en-US" w:eastAsia="zh-CN"/>
              </w:rPr>
              <w:t>t/a</w:t>
            </w:r>
          </w:p>
        </w:tc>
        <w:tc>
          <w:tcPr>
            <w:tcW w:w="1761" w:type="dxa"/>
            <w:noWrap w:val="0"/>
            <w:vAlign w:val="center"/>
          </w:tcPr>
          <w:p w14:paraId="3242A12E">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7C942FC7">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0.2</w:t>
            </w:r>
            <w:r>
              <w:rPr>
                <w:rFonts w:hint="eastAsia" w:ascii="Times New Roman" w:cs="Times New Roman"/>
                <w:snapToGrid w:val="0"/>
                <w:color w:val="000000"/>
                <w:kern w:val="21"/>
                <w:sz w:val="21"/>
                <w:szCs w:val="21"/>
                <w:highlight w:val="none"/>
                <w:lang w:val="en-US" w:eastAsia="zh-CN"/>
              </w:rPr>
              <w:t>25</w:t>
            </w:r>
            <w:r>
              <w:rPr>
                <w:rFonts w:hint="eastAsia" w:ascii="Times New Roman" w:hAnsi="Times New Roman" w:eastAsia="宋体" w:cs="Times New Roman"/>
                <w:snapToGrid w:val="0"/>
                <w:color w:val="000000"/>
                <w:kern w:val="21"/>
                <w:sz w:val="21"/>
                <w:szCs w:val="21"/>
                <w:highlight w:val="none"/>
                <w:lang w:val="en-US" w:eastAsia="zh-CN"/>
              </w:rPr>
              <w:t>t/a</w:t>
            </w:r>
          </w:p>
        </w:tc>
        <w:tc>
          <w:tcPr>
            <w:tcW w:w="1155" w:type="dxa"/>
            <w:noWrap w:val="0"/>
            <w:vAlign w:val="center"/>
          </w:tcPr>
          <w:p w14:paraId="27B20B50">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+0.2</w:t>
            </w:r>
            <w:r>
              <w:rPr>
                <w:rFonts w:hint="eastAsia" w:ascii="Times New Roman" w:cs="Times New Roman"/>
                <w:snapToGrid w:val="0"/>
                <w:color w:val="000000"/>
                <w:kern w:val="21"/>
                <w:sz w:val="21"/>
                <w:szCs w:val="21"/>
                <w:highlight w:val="none"/>
                <w:lang w:val="en-US" w:eastAsia="zh-CN"/>
              </w:rPr>
              <w:t>25</w:t>
            </w:r>
            <w:r>
              <w:rPr>
                <w:rFonts w:hint="eastAsia" w:ascii="Times New Roman" w:hAnsi="Times New Roman" w:eastAsia="宋体" w:cs="Times New Roman"/>
                <w:snapToGrid w:val="0"/>
                <w:color w:val="000000"/>
                <w:kern w:val="21"/>
                <w:sz w:val="21"/>
                <w:szCs w:val="21"/>
                <w:highlight w:val="none"/>
                <w:lang w:val="en-US" w:eastAsia="zh-CN"/>
              </w:rPr>
              <w:t>t/a</w:t>
            </w:r>
          </w:p>
        </w:tc>
      </w:tr>
      <w:tr w14:paraId="5B7374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756DF3F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0B59E3F6">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废活性炭</w:t>
            </w:r>
          </w:p>
        </w:tc>
        <w:tc>
          <w:tcPr>
            <w:tcW w:w="1701" w:type="dxa"/>
            <w:noWrap w:val="0"/>
            <w:vAlign w:val="center"/>
          </w:tcPr>
          <w:p w14:paraId="3D435FE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531CD55D">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6CFEC54E">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566EFD1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0.3t/a</w:t>
            </w:r>
          </w:p>
        </w:tc>
        <w:tc>
          <w:tcPr>
            <w:tcW w:w="1761" w:type="dxa"/>
            <w:noWrap w:val="0"/>
            <w:vAlign w:val="center"/>
          </w:tcPr>
          <w:p w14:paraId="5828EA9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2BC1643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0.3t/a</w:t>
            </w:r>
          </w:p>
        </w:tc>
        <w:tc>
          <w:tcPr>
            <w:tcW w:w="1155" w:type="dxa"/>
            <w:noWrap w:val="0"/>
            <w:vAlign w:val="center"/>
          </w:tcPr>
          <w:p w14:paraId="21663519">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+0.3t/a</w:t>
            </w:r>
          </w:p>
        </w:tc>
      </w:tr>
      <w:tr w14:paraId="23333F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5F501842">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0233E41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废润滑油</w:t>
            </w:r>
          </w:p>
        </w:tc>
        <w:tc>
          <w:tcPr>
            <w:tcW w:w="1701" w:type="dxa"/>
            <w:noWrap w:val="0"/>
            <w:vAlign w:val="center"/>
          </w:tcPr>
          <w:p w14:paraId="6120FCAE">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38B836E5">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39B34FAA">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1B9FDB3C">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w:t>
            </w:r>
            <w:r>
              <w:rPr>
                <w:rFonts w:hint="eastAsia" w:ascii="Times New Roman" w:cs="Times New Roman"/>
                <w:snapToGrid w:val="0"/>
                <w:color w:val="000000"/>
                <w:kern w:val="21"/>
                <w:sz w:val="21"/>
                <w:szCs w:val="21"/>
                <w:highlight w:val="none"/>
                <w:lang w:val="en-US" w:eastAsia="zh-CN"/>
              </w:rPr>
              <w:t>1</w:t>
            </w:r>
            <w:r>
              <w:rPr>
                <w:rFonts w:hint="eastAsia" w:ascii="Times New Roman" w:hAnsi="Times New Roman" w:eastAsia="宋体" w:cs="Times New Roman"/>
                <w:snapToGrid w:val="0"/>
                <w:color w:val="000000"/>
                <w:kern w:val="21"/>
                <w:sz w:val="21"/>
                <w:szCs w:val="21"/>
                <w:highlight w:val="none"/>
                <w:lang w:val="en-US" w:eastAsia="zh-CN"/>
              </w:rPr>
              <w:t>t/a</w:t>
            </w:r>
          </w:p>
        </w:tc>
        <w:tc>
          <w:tcPr>
            <w:tcW w:w="1761" w:type="dxa"/>
            <w:noWrap w:val="0"/>
            <w:vAlign w:val="center"/>
          </w:tcPr>
          <w:p w14:paraId="11EFCBC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0AE2E2F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w:t>
            </w:r>
            <w:r>
              <w:rPr>
                <w:rFonts w:hint="eastAsia" w:ascii="Times New Roman" w:cs="Times New Roman"/>
                <w:snapToGrid w:val="0"/>
                <w:color w:val="000000"/>
                <w:kern w:val="21"/>
                <w:sz w:val="21"/>
                <w:szCs w:val="21"/>
                <w:highlight w:val="none"/>
                <w:lang w:val="en-US" w:eastAsia="zh-CN"/>
              </w:rPr>
              <w:t>1</w:t>
            </w:r>
            <w:r>
              <w:rPr>
                <w:rFonts w:hint="eastAsia" w:ascii="Times New Roman" w:hAnsi="Times New Roman" w:eastAsia="宋体" w:cs="Times New Roman"/>
                <w:snapToGrid w:val="0"/>
                <w:color w:val="000000"/>
                <w:kern w:val="21"/>
                <w:sz w:val="21"/>
                <w:szCs w:val="21"/>
                <w:highlight w:val="none"/>
                <w:lang w:val="en-US" w:eastAsia="zh-CN"/>
              </w:rPr>
              <w:t>t/a</w:t>
            </w:r>
          </w:p>
        </w:tc>
        <w:tc>
          <w:tcPr>
            <w:tcW w:w="1155" w:type="dxa"/>
            <w:noWrap w:val="0"/>
            <w:vAlign w:val="center"/>
          </w:tcPr>
          <w:p w14:paraId="249FF620">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w:t>
            </w:r>
            <w:r>
              <w:rPr>
                <w:rFonts w:hint="eastAsia" w:ascii="Times New Roman" w:cs="Times New Roman"/>
                <w:snapToGrid w:val="0"/>
                <w:color w:val="000000"/>
                <w:kern w:val="21"/>
                <w:sz w:val="21"/>
                <w:szCs w:val="21"/>
                <w:highlight w:val="none"/>
                <w:lang w:val="en-US" w:eastAsia="zh-CN"/>
              </w:rPr>
              <w:t>1</w:t>
            </w:r>
            <w:r>
              <w:rPr>
                <w:rFonts w:hint="eastAsia" w:ascii="Times New Roman" w:hAnsi="Times New Roman" w:eastAsia="宋体" w:cs="Times New Roman"/>
                <w:snapToGrid w:val="0"/>
                <w:color w:val="000000"/>
                <w:kern w:val="21"/>
                <w:sz w:val="21"/>
                <w:szCs w:val="21"/>
                <w:highlight w:val="none"/>
                <w:lang w:val="en-US" w:eastAsia="zh-CN"/>
              </w:rPr>
              <w:t>t/a</w:t>
            </w:r>
          </w:p>
        </w:tc>
      </w:tr>
      <w:tr w14:paraId="33B2ED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0F55BD8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793F72D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废液压油</w:t>
            </w:r>
          </w:p>
        </w:tc>
        <w:tc>
          <w:tcPr>
            <w:tcW w:w="1701" w:type="dxa"/>
            <w:noWrap w:val="0"/>
            <w:vAlign w:val="center"/>
          </w:tcPr>
          <w:p w14:paraId="6B2053D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26ED9854">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1901869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0FFEE4E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9t/a</w:t>
            </w:r>
          </w:p>
        </w:tc>
        <w:tc>
          <w:tcPr>
            <w:tcW w:w="1761" w:type="dxa"/>
            <w:noWrap w:val="0"/>
            <w:vAlign w:val="center"/>
          </w:tcPr>
          <w:p w14:paraId="6B03BA1F">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674DDFF8">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9t/a</w:t>
            </w:r>
          </w:p>
        </w:tc>
        <w:tc>
          <w:tcPr>
            <w:tcW w:w="1155" w:type="dxa"/>
            <w:noWrap w:val="0"/>
            <w:vAlign w:val="center"/>
          </w:tcPr>
          <w:p w14:paraId="182B8B75">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eastAsia"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+9t/a</w:t>
            </w:r>
          </w:p>
        </w:tc>
      </w:tr>
      <w:tr w14:paraId="2185B7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 w:hRule="atLeast"/>
        </w:trPr>
        <w:tc>
          <w:tcPr>
            <w:tcW w:w="1588" w:type="dxa"/>
            <w:vMerge w:val="continue"/>
            <w:noWrap w:val="0"/>
            <w:vAlign w:val="center"/>
          </w:tcPr>
          <w:p w14:paraId="0C5A13B9">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cs="Times New Roman"/>
                <w:snapToGrid w:val="0"/>
                <w:color w:val="000000"/>
                <w:kern w:val="21"/>
                <w:sz w:val="21"/>
                <w:szCs w:val="21"/>
                <w:highlight w:val="none"/>
              </w:rPr>
            </w:pPr>
          </w:p>
        </w:tc>
        <w:tc>
          <w:tcPr>
            <w:tcW w:w="1417" w:type="dxa"/>
            <w:noWrap w:val="0"/>
            <w:vAlign w:val="center"/>
          </w:tcPr>
          <w:p w14:paraId="5F6051E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cs="Times New Roman"/>
                <w:snapToGrid w:val="0"/>
                <w:color w:val="000000"/>
                <w:kern w:val="21"/>
                <w:sz w:val="21"/>
                <w:szCs w:val="21"/>
                <w:highlight w:val="none"/>
                <w:lang w:val="en-US" w:eastAsia="zh-CN"/>
              </w:rPr>
              <w:t>含油</w:t>
            </w:r>
            <w:r>
              <w:rPr>
                <w:rFonts w:hint="eastAsia" w:ascii="Times New Roman" w:hAnsi="Times New Roman" w:eastAsia="宋体" w:cs="Times New Roman"/>
                <w:snapToGrid w:val="0"/>
                <w:color w:val="000000"/>
                <w:kern w:val="21"/>
                <w:sz w:val="21"/>
                <w:szCs w:val="21"/>
                <w:highlight w:val="none"/>
                <w:lang w:val="en-US" w:eastAsia="zh-CN"/>
              </w:rPr>
              <w:t>废袋</w:t>
            </w:r>
          </w:p>
        </w:tc>
        <w:tc>
          <w:tcPr>
            <w:tcW w:w="1701" w:type="dxa"/>
            <w:noWrap w:val="0"/>
            <w:vAlign w:val="center"/>
          </w:tcPr>
          <w:p w14:paraId="68FA545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76" w:type="dxa"/>
            <w:noWrap w:val="0"/>
            <w:vAlign w:val="center"/>
          </w:tcPr>
          <w:p w14:paraId="6AB2CD7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701" w:type="dxa"/>
            <w:noWrap w:val="0"/>
            <w:vAlign w:val="center"/>
          </w:tcPr>
          <w:p w14:paraId="7DC4BD93">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59" w:type="dxa"/>
            <w:noWrap w:val="0"/>
            <w:vAlign w:val="center"/>
          </w:tcPr>
          <w:p w14:paraId="3829F75B">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0.1t/a</w:t>
            </w:r>
          </w:p>
        </w:tc>
        <w:tc>
          <w:tcPr>
            <w:tcW w:w="1761" w:type="dxa"/>
            <w:noWrap w:val="0"/>
            <w:vAlign w:val="center"/>
          </w:tcPr>
          <w:p w14:paraId="5419AFE1">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30" w:type="dxa"/>
            <w:noWrap w:val="0"/>
            <w:vAlign w:val="center"/>
          </w:tcPr>
          <w:p w14:paraId="33034D68">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0.1t/a</w:t>
            </w:r>
          </w:p>
        </w:tc>
        <w:tc>
          <w:tcPr>
            <w:tcW w:w="1155" w:type="dxa"/>
            <w:noWrap w:val="0"/>
            <w:vAlign w:val="center"/>
          </w:tcPr>
          <w:p w14:paraId="200C7367">
            <w:pPr>
              <w:pStyle w:val="40"/>
              <w:keepNext w:val="0"/>
              <w:keepLines w:val="0"/>
              <w:pageBreakBefore w:val="0"/>
              <w:widowControl w:val="0"/>
              <w:kinsoku/>
              <w:wordWrap/>
              <w:overflowPunct/>
              <w:topLinePunct w:val="0"/>
              <w:autoSpaceDE/>
              <w:autoSpaceDN/>
              <w:bidi w:val="0"/>
              <w:adjustRightInd w:val="0"/>
              <w:snapToGrid w:val="0"/>
              <w:spacing w:beforeLines="0" w:afterLines="0" w:line="360" w:lineRule="exact"/>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+0.1t/a</w:t>
            </w:r>
          </w:p>
        </w:tc>
      </w:tr>
    </w:tbl>
    <w:p w14:paraId="021AF43B">
      <w:pPr>
        <w:pStyle w:val="40"/>
        <w:spacing w:before="192" w:beforeLines="80" w:after="24"/>
        <w:jc w:val="left"/>
        <w:rPr>
          <w:rFonts w:hint="eastAsia"/>
          <w:highlight w:val="none"/>
        </w:rPr>
      </w:pPr>
      <w:r>
        <w:rPr>
          <w:rFonts w:hAnsi="宋体"/>
          <w:snapToGrid w:val="0"/>
          <w:color w:val="000000"/>
          <w:kern w:val="21"/>
          <w:szCs w:val="21"/>
          <w:highlight w:val="none"/>
        </w:rPr>
        <w:t>注：</w:t>
      </w:r>
      <w:r>
        <w:rPr>
          <w:rFonts w:hAnsi="宋体"/>
          <w:snapToGrid w:val="0"/>
          <w:color w:val="000000"/>
          <w:spacing w:val="-16"/>
          <w:kern w:val="21"/>
          <w:szCs w:val="21"/>
          <w:highlight w:val="none"/>
        </w:rPr>
        <w:fldChar w:fldCharType="begin"/>
      </w:r>
      <w:r>
        <w:rPr>
          <w:rFonts w:hAnsi="宋体"/>
          <w:snapToGrid w:val="0"/>
          <w:color w:val="000000"/>
          <w:spacing w:val="-16"/>
          <w:kern w:val="21"/>
          <w:szCs w:val="21"/>
          <w:highlight w:val="none"/>
        </w:rPr>
        <w:instrText xml:space="preserve">=6\*GB3\*MERGEFORMAT</w:instrText>
      </w:r>
      <w:r>
        <w:rPr>
          <w:rFonts w:hAnsi="宋体"/>
          <w:snapToGrid w:val="0"/>
          <w:color w:val="000000"/>
          <w:spacing w:val="-16"/>
          <w:kern w:val="21"/>
          <w:szCs w:val="21"/>
          <w:highlight w:val="none"/>
        </w:rPr>
        <w:fldChar w:fldCharType="separate"/>
      </w:r>
      <w:r>
        <w:rPr>
          <w:rFonts w:hint="eastAsia" w:hAnsi="宋体"/>
          <w:szCs w:val="21"/>
          <w:highlight w:val="none"/>
        </w:rPr>
        <w:t>⑥</w:t>
      </w:r>
      <w:r>
        <w:rPr>
          <w:rFonts w:hAnsi="宋体"/>
          <w:snapToGrid w:val="0"/>
          <w:color w:val="000000"/>
          <w:spacing w:val="-16"/>
          <w:kern w:val="21"/>
          <w:szCs w:val="21"/>
          <w:highlight w:val="none"/>
        </w:rPr>
        <w:fldChar w:fldCharType="end"/>
      </w:r>
      <w:r>
        <w:rPr>
          <w:rFonts w:hAnsi="宋体"/>
          <w:snapToGrid w:val="0"/>
          <w:color w:val="000000"/>
          <w:spacing w:val="-16"/>
          <w:kern w:val="21"/>
          <w:szCs w:val="21"/>
          <w:highlight w:val="none"/>
        </w:rPr>
        <w:t>=</w:t>
      </w:r>
      <w:r>
        <w:rPr>
          <w:rFonts w:hAnsi="宋体"/>
          <w:snapToGrid w:val="0"/>
          <w:color w:val="000000"/>
          <w:spacing w:val="-6"/>
          <w:kern w:val="21"/>
          <w:szCs w:val="21"/>
          <w:highlight w:val="none"/>
        </w:rPr>
        <w:fldChar w:fldCharType="begin"/>
      </w:r>
      <w:r>
        <w:rPr>
          <w:rFonts w:hAnsi="宋体"/>
          <w:snapToGrid w:val="0"/>
          <w:color w:val="000000"/>
          <w:spacing w:val="-6"/>
          <w:kern w:val="21"/>
          <w:szCs w:val="21"/>
          <w:highlight w:val="none"/>
        </w:rPr>
        <w:instrText xml:space="preserve">=1\*GB3\*MERGEFORMAT</w:instrText>
      </w:r>
      <w:r>
        <w:rPr>
          <w:rFonts w:hAnsi="宋体"/>
          <w:snapToGrid w:val="0"/>
          <w:color w:val="000000"/>
          <w:spacing w:val="-6"/>
          <w:kern w:val="21"/>
          <w:szCs w:val="21"/>
          <w:highlight w:val="none"/>
        </w:rPr>
        <w:fldChar w:fldCharType="separate"/>
      </w:r>
      <w:r>
        <w:rPr>
          <w:rFonts w:hint="eastAsia" w:hAnsi="宋体"/>
          <w:szCs w:val="21"/>
          <w:highlight w:val="none"/>
        </w:rPr>
        <w:t>①</w:t>
      </w:r>
      <w:r>
        <w:rPr>
          <w:rFonts w:hAnsi="宋体"/>
          <w:snapToGrid w:val="0"/>
          <w:color w:val="000000"/>
          <w:spacing w:val="-6"/>
          <w:kern w:val="21"/>
          <w:szCs w:val="21"/>
          <w:highlight w:val="none"/>
        </w:rPr>
        <w:fldChar w:fldCharType="end"/>
      </w:r>
      <w:r>
        <w:rPr>
          <w:rFonts w:hAnsi="宋体"/>
          <w:snapToGrid w:val="0"/>
          <w:color w:val="000000"/>
          <w:spacing w:val="-6"/>
          <w:kern w:val="21"/>
          <w:szCs w:val="21"/>
          <w:highlight w:val="none"/>
        </w:rPr>
        <w:t>+</w:t>
      </w:r>
      <w:r>
        <w:rPr>
          <w:rFonts w:hAnsi="宋体"/>
          <w:snapToGrid w:val="0"/>
          <w:color w:val="000000"/>
          <w:spacing w:val="-6"/>
          <w:kern w:val="21"/>
          <w:szCs w:val="21"/>
          <w:highlight w:val="none"/>
        </w:rPr>
        <w:fldChar w:fldCharType="begin"/>
      </w:r>
      <w:r>
        <w:rPr>
          <w:rFonts w:hAnsi="宋体"/>
          <w:snapToGrid w:val="0"/>
          <w:color w:val="000000"/>
          <w:spacing w:val="-6"/>
          <w:kern w:val="21"/>
          <w:szCs w:val="21"/>
          <w:highlight w:val="none"/>
        </w:rPr>
        <w:instrText xml:space="preserve">=3\*GB3\*MERGEFORMAT</w:instrText>
      </w:r>
      <w:r>
        <w:rPr>
          <w:rFonts w:hAnsi="宋体"/>
          <w:snapToGrid w:val="0"/>
          <w:color w:val="000000"/>
          <w:spacing w:val="-6"/>
          <w:kern w:val="21"/>
          <w:szCs w:val="21"/>
          <w:highlight w:val="none"/>
        </w:rPr>
        <w:fldChar w:fldCharType="separate"/>
      </w:r>
      <w:r>
        <w:rPr>
          <w:rFonts w:hint="eastAsia" w:hAnsi="宋体"/>
          <w:szCs w:val="21"/>
          <w:highlight w:val="none"/>
        </w:rPr>
        <w:t>③</w:t>
      </w:r>
      <w:r>
        <w:rPr>
          <w:rFonts w:hAnsi="宋体"/>
          <w:snapToGrid w:val="0"/>
          <w:color w:val="000000"/>
          <w:spacing w:val="-6"/>
          <w:kern w:val="21"/>
          <w:szCs w:val="21"/>
          <w:highlight w:val="none"/>
        </w:rPr>
        <w:fldChar w:fldCharType="end"/>
      </w:r>
      <w:r>
        <w:rPr>
          <w:rFonts w:hAnsi="宋体"/>
          <w:snapToGrid w:val="0"/>
          <w:color w:val="000000"/>
          <w:spacing w:val="-6"/>
          <w:kern w:val="21"/>
          <w:szCs w:val="21"/>
          <w:highlight w:val="none"/>
        </w:rPr>
        <w:t>+</w:t>
      </w:r>
      <w:r>
        <w:rPr>
          <w:rFonts w:hAnsi="宋体"/>
          <w:snapToGrid w:val="0"/>
          <w:color w:val="000000"/>
          <w:spacing w:val="-6"/>
          <w:kern w:val="21"/>
          <w:szCs w:val="21"/>
          <w:highlight w:val="none"/>
        </w:rPr>
        <w:fldChar w:fldCharType="begin"/>
      </w:r>
      <w:r>
        <w:rPr>
          <w:rFonts w:hAnsi="宋体"/>
          <w:snapToGrid w:val="0"/>
          <w:color w:val="000000"/>
          <w:spacing w:val="-6"/>
          <w:kern w:val="21"/>
          <w:szCs w:val="21"/>
          <w:highlight w:val="none"/>
        </w:rPr>
        <w:instrText xml:space="preserve">=4\*GB3\*MERGEFORMAT</w:instrText>
      </w:r>
      <w:r>
        <w:rPr>
          <w:rFonts w:hAnsi="宋体"/>
          <w:snapToGrid w:val="0"/>
          <w:color w:val="000000"/>
          <w:spacing w:val="-6"/>
          <w:kern w:val="21"/>
          <w:szCs w:val="21"/>
          <w:highlight w:val="none"/>
        </w:rPr>
        <w:fldChar w:fldCharType="separate"/>
      </w:r>
      <w:r>
        <w:rPr>
          <w:rFonts w:hint="eastAsia" w:hAnsi="宋体"/>
          <w:szCs w:val="21"/>
          <w:highlight w:val="none"/>
        </w:rPr>
        <w:t>④</w:t>
      </w:r>
      <w:r>
        <w:rPr>
          <w:rFonts w:hAnsi="宋体"/>
          <w:snapToGrid w:val="0"/>
          <w:color w:val="000000"/>
          <w:spacing w:val="-6"/>
          <w:kern w:val="21"/>
          <w:szCs w:val="21"/>
          <w:highlight w:val="none"/>
        </w:rPr>
        <w:fldChar w:fldCharType="end"/>
      </w:r>
      <w:r>
        <w:rPr>
          <w:rFonts w:hAnsi="宋体"/>
          <w:snapToGrid w:val="0"/>
          <w:color w:val="000000"/>
          <w:spacing w:val="-6"/>
          <w:kern w:val="21"/>
          <w:szCs w:val="21"/>
          <w:highlight w:val="none"/>
        </w:rPr>
        <w:t>-</w:t>
      </w:r>
      <w:r>
        <w:rPr>
          <w:rFonts w:hAnsi="宋体"/>
          <w:snapToGrid w:val="0"/>
          <w:color w:val="000000"/>
          <w:spacing w:val="-16"/>
          <w:kern w:val="21"/>
          <w:szCs w:val="21"/>
          <w:highlight w:val="none"/>
        </w:rPr>
        <w:fldChar w:fldCharType="begin"/>
      </w:r>
      <w:r>
        <w:rPr>
          <w:rFonts w:hAnsi="宋体"/>
          <w:snapToGrid w:val="0"/>
          <w:color w:val="000000"/>
          <w:spacing w:val="-16"/>
          <w:kern w:val="21"/>
          <w:szCs w:val="21"/>
          <w:highlight w:val="none"/>
        </w:rPr>
        <w:instrText xml:space="preserve">=5\*GB3\*MERGEFORMAT</w:instrText>
      </w:r>
      <w:r>
        <w:rPr>
          <w:rFonts w:hAnsi="宋体"/>
          <w:snapToGrid w:val="0"/>
          <w:color w:val="000000"/>
          <w:spacing w:val="-16"/>
          <w:kern w:val="21"/>
          <w:szCs w:val="21"/>
          <w:highlight w:val="none"/>
        </w:rPr>
        <w:fldChar w:fldCharType="separate"/>
      </w:r>
      <w:r>
        <w:rPr>
          <w:rFonts w:hint="eastAsia" w:hAnsi="宋体"/>
          <w:szCs w:val="21"/>
          <w:highlight w:val="none"/>
        </w:rPr>
        <w:t>⑤</w:t>
      </w:r>
      <w:r>
        <w:rPr>
          <w:rFonts w:hAnsi="宋体"/>
          <w:snapToGrid w:val="0"/>
          <w:color w:val="000000"/>
          <w:spacing w:val="-16"/>
          <w:kern w:val="21"/>
          <w:szCs w:val="21"/>
          <w:highlight w:val="none"/>
        </w:rPr>
        <w:fldChar w:fldCharType="end"/>
      </w:r>
      <w:r>
        <w:rPr>
          <w:rFonts w:hAnsi="宋体"/>
          <w:snapToGrid w:val="0"/>
          <w:color w:val="000000"/>
          <w:spacing w:val="-16"/>
          <w:kern w:val="21"/>
          <w:szCs w:val="21"/>
          <w:highlight w:val="none"/>
        </w:rPr>
        <w:t>；</w:t>
      </w:r>
      <w:r>
        <w:rPr>
          <w:rFonts w:hAnsi="宋体"/>
          <w:snapToGrid w:val="0"/>
          <w:color w:val="000000"/>
          <w:spacing w:val="-6"/>
          <w:kern w:val="21"/>
          <w:szCs w:val="21"/>
          <w:highlight w:val="none"/>
        </w:rPr>
        <w:fldChar w:fldCharType="begin"/>
      </w:r>
      <w:r>
        <w:rPr>
          <w:rFonts w:hAnsi="宋体"/>
          <w:snapToGrid w:val="0"/>
          <w:color w:val="000000"/>
          <w:spacing w:val="-6"/>
          <w:kern w:val="21"/>
          <w:szCs w:val="21"/>
          <w:highlight w:val="none"/>
        </w:rPr>
        <w:instrText xml:space="preserve">=7\*GB3\*MERGEFORMAT</w:instrText>
      </w:r>
      <w:r>
        <w:rPr>
          <w:rFonts w:hAnsi="宋体"/>
          <w:snapToGrid w:val="0"/>
          <w:color w:val="000000"/>
          <w:spacing w:val="-6"/>
          <w:kern w:val="21"/>
          <w:szCs w:val="21"/>
          <w:highlight w:val="none"/>
        </w:rPr>
        <w:fldChar w:fldCharType="separate"/>
      </w:r>
      <w:r>
        <w:rPr>
          <w:rFonts w:hint="eastAsia" w:hAnsi="宋体"/>
          <w:szCs w:val="21"/>
          <w:highlight w:val="none"/>
        </w:rPr>
        <w:t>⑦</w:t>
      </w:r>
      <w:r>
        <w:rPr>
          <w:rFonts w:hAnsi="宋体"/>
          <w:snapToGrid w:val="0"/>
          <w:color w:val="000000"/>
          <w:spacing w:val="-6"/>
          <w:kern w:val="21"/>
          <w:szCs w:val="21"/>
          <w:highlight w:val="none"/>
        </w:rPr>
        <w:fldChar w:fldCharType="end"/>
      </w:r>
      <w:r>
        <w:rPr>
          <w:rFonts w:hAnsi="宋体"/>
          <w:snapToGrid w:val="0"/>
          <w:color w:val="000000"/>
          <w:spacing w:val="-6"/>
          <w:kern w:val="21"/>
          <w:szCs w:val="21"/>
          <w:highlight w:val="none"/>
        </w:rPr>
        <w:t>=</w:t>
      </w:r>
      <w:r>
        <w:rPr>
          <w:rFonts w:hAnsi="宋体"/>
          <w:snapToGrid w:val="0"/>
          <w:color w:val="000000"/>
          <w:spacing w:val="-16"/>
          <w:kern w:val="21"/>
          <w:szCs w:val="21"/>
          <w:highlight w:val="none"/>
        </w:rPr>
        <w:fldChar w:fldCharType="begin"/>
      </w:r>
      <w:r>
        <w:rPr>
          <w:rFonts w:hAnsi="宋体"/>
          <w:snapToGrid w:val="0"/>
          <w:color w:val="000000"/>
          <w:spacing w:val="-16"/>
          <w:kern w:val="21"/>
          <w:szCs w:val="21"/>
          <w:highlight w:val="none"/>
        </w:rPr>
        <w:instrText xml:space="preserve">=6\*GB3\*MERGEFORMAT</w:instrText>
      </w:r>
      <w:r>
        <w:rPr>
          <w:rFonts w:hAnsi="宋体"/>
          <w:snapToGrid w:val="0"/>
          <w:color w:val="000000"/>
          <w:spacing w:val="-16"/>
          <w:kern w:val="21"/>
          <w:szCs w:val="21"/>
          <w:highlight w:val="none"/>
        </w:rPr>
        <w:fldChar w:fldCharType="separate"/>
      </w:r>
      <w:r>
        <w:rPr>
          <w:rFonts w:hint="eastAsia" w:hAnsi="宋体"/>
          <w:szCs w:val="21"/>
          <w:highlight w:val="none"/>
        </w:rPr>
        <w:t>⑥</w:t>
      </w:r>
      <w:r>
        <w:rPr>
          <w:rFonts w:hAnsi="宋体"/>
          <w:snapToGrid w:val="0"/>
          <w:color w:val="000000"/>
          <w:spacing w:val="-16"/>
          <w:kern w:val="21"/>
          <w:szCs w:val="21"/>
          <w:highlight w:val="none"/>
        </w:rPr>
        <w:fldChar w:fldCharType="end"/>
      </w:r>
      <w:r>
        <w:rPr>
          <w:rFonts w:hAnsi="宋体"/>
          <w:snapToGrid w:val="0"/>
          <w:color w:val="000000"/>
          <w:spacing w:val="-16"/>
          <w:kern w:val="21"/>
          <w:szCs w:val="21"/>
          <w:highlight w:val="none"/>
        </w:rPr>
        <w:t>-</w:t>
      </w:r>
      <w:r>
        <w:rPr>
          <w:rFonts w:hAnsi="宋体"/>
          <w:snapToGrid w:val="0"/>
          <w:color w:val="000000"/>
          <w:spacing w:val="-6"/>
          <w:kern w:val="21"/>
          <w:szCs w:val="21"/>
          <w:highlight w:val="none"/>
        </w:rPr>
        <w:fldChar w:fldCharType="begin"/>
      </w:r>
      <w:r>
        <w:rPr>
          <w:rFonts w:hAnsi="宋体"/>
          <w:snapToGrid w:val="0"/>
          <w:color w:val="000000"/>
          <w:spacing w:val="-6"/>
          <w:kern w:val="21"/>
          <w:szCs w:val="21"/>
          <w:highlight w:val="none"/>
        </w:rPr>
        <w:instrText xml:space="preserve">=1\*GB3\*MERGEFORMAT</w:instrText>
      </w:r>
      <w:r>
        <w:rPr>
          <w:rFonts w:hAnsi="宋体"/>
          <w:snapToGrid w:val="0"/>
          <w:color w:val="000000"/>
          <w:spacing w:val="-6"/>
          <w:kern w:val="21"/>
          <w:szCs w:val="21"/>
          <w:highlight w:val="none"/>
        </w:rPr>
        <w:fldChar w:fldCharType="separate"/>
      </w:r>
      <w:r>
        <w:rPr>
          <w:rFonts w:hint="eastAsia" w:hAnsi="宋体"/>
          <w:szCs w:val="21"/>
          <w:highlight w:val="none"/>
        </w:rPr>
        <w:t>①</w:t>
      </w:r>
      <w:r>
        <w:rPr>
          <w:rFonts w:hAnsi="宋体"/>
          <w:snapToGrid w:val="0"/>
          <w:color w:val="000000"/>
          <w:spacing w:val="-6"/>
          <w:kern w:val="21"/>
          <w:szCs w:val="21"/>
          <w:highlight w:val="none"/>
        </w:rPr>
        <w:fldChar w:fldCharType="end"/>
      </w:r>
    </w:p>
    <w:p w14:paraId="5949D16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0"/>
        <w:rPr>
          <w:rFonts w:hint="default" w:ascii="Times New Roman" w:hAnsi="Times New Roman" w:eastAsia="宋体" w:cs="Times New Roman"/>
          <w:highlight w:val="none"/>
          <w:lang w:val="en-US" w:eastAsia="zh-CN"/>
        </w:rPr>
      </w:pPr>
    </w:p>
    <w:sectPr>
      <w:footerReference r:id="rId8" w:type="default"/>
      <w:pgSz w:w="16838" w:h="11906" w:orient="landscape"/>
      <w:pgMar w:top="1531" w:right="1701" w:bottom="1531" w:left="1701" w:header="851" w:footer="1304"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40001"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44D60">
    <w:pPr>
      <w:pStyle w:val="1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A0AE2">
    <w:pPr>
      <w:pStyle w:val="16"/>
      <w:framePr w:wrap="around" w:vAnchor="text" w:hAnchor="margin" w:xAlign="center" w:y="1"/>
      <w:rPr>
        <w:rStyle w:val="26"/>
      </w:rPr>
    </w:pPr>
    <w:r>
      <w:fldChar w:fldCharType="begin"/>
    </w:r>
    <w:r>
      <w:rPr>
        <w:rStyle w:val="26"/>
      </w:rPr>
      <w:instrText xml:space="preserve">PAGE  </w:instrText>
    </w:r>
    <w:r>
      <w:fldChar w:fldCharType="end"/>
    </w:r>
  </w:p>
  <w:p w14:paraId="1E1E589A">
    <w:pPr>
      <w:pStyle w:val="1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8FEC85">
    <w:pPr>
      <w:pStyle w:val="16"/>
      <w:keepNext w:val="0"/>
      <w:keepLines w:val="0"/>
      <w:pageBreakBefore w:val="0"/>
      <w:widowControl w:val="0"/>
      <w:kinsoku/>
      <w:wordWrap/>
      <w:overflowPunct/>
      <w:topLinePunct w:val="0"/>
      <w:autoSpaceDE/>
      <w:autoSpaceDN/>
      <w:bidi w:val="0"/>
      <w:adjustRightInd/>
      <w:snapToGrid/>
      <w:ind w:right="0" w:firstLine="0"/>
      <w:jc w:val="center"/>
      <w:textAlignment w:val="auto"/>
    </w:pPr>
    <w:r>
      <w:rPr>
        <w:sz w:val="18"/>
      </w:rPr>
      <mc:AlternateContent>
        <mc:Choice Requires="wps">
          <w:drawing>
            <wp:anchor distT="0" distB="0" distL="114300" distR="114300" simplePos="0" relativeHeight="251659264" behindDoc="0" locked="0" layoutInCell="1" allowOverlap="1">
              <wp:simplePos x="0" y="0"/>
              <wp:positionH relativeFrom="margin">
                <wp:posOffset>2750820</wp:posOffset>
              </wp:positionH>
              <wp:positionV relativeFrom="paragraph">
                <wp:posOffset>-27940</wp:posOffset>
              </wp:positionV>
              <wp:extent cx="156210" cy="1828800"/>
              <wp:effectExtent l="0" t="0" r="0" b="0"/>
              <wp:wrapNone/>
              <wp:docPr id="74" name="文本框 1025"/>
              <wp:cNvGraphicFramePr/>
              <a:graphic xmlns:a="http://schemas.openxmlformats.org/drawingml/2006/main">
                <a:graphicData uri="http://schemas.microsoft.com/office/word/2010/wordprocessingShape">
                  <wps:wsp>
                    <wps:cNvSpPr txBox="1"/>
                    <wps:spPr>
                      <a:xfrm>
                        <a:off x="0" y="0"/>
                        <a:ext cx="156210" cy="1828800"/>
                      </a:xfrm>
                      <a:prstGeom prst="rect">
                        <a:avLst/>
                      </a:prstGeom>
                      <a:noFill/>
                      <a:ln>
                        <a:noFill/>
                      </a:ln>
                    </wps:spPr>
                    <wps:txbx>
                      <w:txbxContent>
                        <w:p w14:paraId="6730960F">
                          <w:pPr>
                            <w:pStyle w:val="16"/>
                          </w:pPr>
                          <w:r>
                            <w:fldChar w:fldCharType="begin"/>
                          </w:r>
                          <w:r>
                            <w:instrText xml:space="preserve"> PAGE  \* MERGEFORMAT </w:instrText>
                          </w:r>
                          <w:r>
                            <w:fldChar w:fldCharType="separate"/>
                          </w:r>
                          <w:r>
                            <w:t>5</w:t>
                          </w:r>
                          <w:r>
                            <w:fldChar w:fldCharType="end"/>
                          </w:r>
                        </w:p>
                      </w:txbxContent>
                    </wps:txbx>
                    <wps:bodyPr vert="horz" wrap="square" lIns="0" tIns="0" rIns="0" bIns="0" anchor="t" anchorCtr="0" upright="0">
                      <a:spAutoFit/>
                    </wps:bodyPr>
                  </wps:wsp>
                </a:graphicData>
              </a:graphic>
            </wp:anchor>
          </w:drawing>
        </mc:Choice>
        <mc:Fallback>
          <w:pict>
            <v:shape id="文本框 1025" o:spid="_x0000_s1026" o:spt="202" type="#_x0000_t202" style="position:absolute;left:0pt;margin-left:216.6pt;margin-top:-2.2pt;height:144pt;width:12.3pt;mso-position-horizontal-relative:margin;z-index:251659264;mso-width-relative:page;mso-height-relative:page;" filled="f" stroked="f" coordsize="21600,21600" o:gfxdata="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BculU&#10;2AAAAAoBAAAPAAAAAAAAAAEAIAAAACIAAABkcnMvZG93bnJldi54bWxQSwECFAAUAAAACACHTuJA&#10;Vr1sjOgBAADDAwAADgAAAAAAAAABACAAAAAnAQAAZHJzL2Uyb0RvYy54bWxQSwUGAAAAAAYABgBZ&#10;AQAAgQUAAAAA&#10;">
              <v:fill on="f" focussize="0,0"/>
              <v:stroke on="f"/>
              <v:imagedata o:title=""/>
              <o:lock v:ext="edit" aspectratio="f"/>
              <v:textbox inset="0mm,0mm,0mm,0mm" style="mso-fit-shape-to-text:t;">
                <w:txbxContent>
                  <w:p w14:paraId="6730960F">
                    <w:pPr>
                      <w:pStyle w:val="16"/>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122B0">
    <w:pPr>
      <w:pStyle w:val="16"/>
      <w:keepNext w:val="0"/>
      <w:keepLines w:val="0"/>
      <w:pageBreakBefore w:val="0"/>
      <w:widowControl w:val="0"/>
      <w:kinsoku/>
      <w:wordWrap/>
      <w:overflowPunct/>
      <w:topLinePunct w:val="0"/>
      <w:autoSpaceDE/>
      <w:autoSpaceDN/>
      <w:bidi w:val="0"/>
      <w:adjustRightInd/>
      <w:snapToGrid/>
      <w:ind w:right="0" w:firstLine="0"/>
      <w:jc w:val="center"/>
      <w:textAlignment w:val="auto"/>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2F4BEA4">
                          <w:pPr>
                            <w:pStyle w:val="16"/>
                          </w:pPr>
                          <w:r>
                            <w:fldChar w:fldCharType="begin"/>
                          </w:r>
                          <w:r>
                            <w:instrText xml:space="preserve"> PAGE  \* MERGEFORMAT </w:instrText>
                          </w:r>
                          <w:r>
                            <w:fldChar w:fldCharType="separate"/>
                          </w:r>
                          <w:r>
                            <w:t>5</w:t>
                          </w:r>
                          <w:r>
                            <w:fldChar w:fldCharType="end"/>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qxoHquIBAADCAwAADgAA&#10;AAAAAAABACAAAAAeAQAAZHJzL2Uyb0RvYy54bWxQSwUGAAAAAAYABgBZAQAAcgUAAAAA&#10;">
              <v:fill on="f" focussize="0,0"/>
              <v:stroke on="f"/>
              <v:imagedata o:title=""/>
              <o:lock v:ext="edit" aspectratio="f"/>
              <v:textbox inset="0mm,0mm,0mm,0mm" style="mso-fit-shape-to-text:t;">
                <w:txbxContent>
                  <w:p w14:paraId="22F4BEA4">
                    <w:pPr>
                      <w:pStyle w:val="16"/>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F52E5">
    <w:pPr>
      <w:pStyle w:val="16"/>
      <w:keepNext w:val="0"/>
      <w:keepLines w:val="0"/>
      <w:pageBreakBefore w:val="0"/>
      <w:widowControl w:val="0"/>
      <w:kinsoku/>
      <w:wordWrap/>
      <w:overflowPunct/>
      <w:topLinePunct w:val="0"/>
      <w:autoSpaceDE/>
      <w:autoSpaceDN/>
      <w:bidi w:val="0"/>
      <w:adjustRightInd/>
      <w:snapToGrid/>
      <w:ind w:right="0" w:firstLine="0"/>
      <w:jc w:val="center"/>
      <w:textAlignment w:val="auto"/>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43A4D6">
                          <w:pPr>
                            <w:pStyle w:val="16"/>
                          </w:pPr>
                          <w:r>
                            <w:fldChar w:fldCharType="begin"/>
                          </w:r>
                          <w:r>
                            <w:instrText xml:space="preserve"> PAGE  \* MERGEFORMAT </w:instrText>
                          </w:r>
                          <w:r>
                            <w:fldChar w:fldCharType="separate"/>
                          </w:r>
                          <w:r>
                            <w:t>5</w:t>
                          </w:r>
                          <w:r>
                            <w:fldChar w:fldCharType="end"/>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D+PNjOIBAADCAwAADgAA&#10;AAAAAAABACAAAAAeAQAAZHJzL2Uyb0RvYy54bWxQSwUGAAAAAAYABgBZAQAAcgUAAAAA&#10;">
              <v:fill on="f" focussize="0,0"/>
              <v:stroke on="f"/>
              <v:imagedata o:title=""/>
              <o:lock v:ext="edit" aspectratio="f"/>
              <v:textbox inset="0mm,0mm,0mm,0mm" style="mso-fit-shape-to-text:t;">
                <w:txbxContent>
                  <w:p w14:paraId="6343A4D6">
                    <w:pPr>
                      <w:pStyle w:val="16"/>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63229">
    <w:pPr>
      <w:pStyle w:val="16"/>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BD0E2E"/>
    <w:multiLevelType w:val="singleLevel"/>
    <w:tmpl w:val="8EBD0E2E"/>
    <w:lvl w:ilvl="0" w:tentative="0">
      <w:start w:val="1"/>
      <w:numFmt w:val="decimal"/>
      <w:suff w:val="nothing"/>
      <w:lvlText w:val="%1、"/>
      <w:lvlJc w:val="left"/>
    </w:lvl>
  </w:abstractNum>
  <w:abstractNum w:abstractNumId="1">
    <w:nsid w:val="98889930"/>
    <w:multiLevelType w:val="singleLevel"/>
    <w:tmpl w:val="98889930"/>
    <w:lvl w:ilvl="0" w:tentative="0">
      <w:start w:val="1"/>
      <w:numFmt w:val="chineseCounting"/>
      <w:suff w:val="nothing"/>
      <w:lvlText w:val="%1、"/>
      <w:lvlJc w:val="left"/>
      <w:rPr>
        <w:rFonts w:hint="eastAsia"/>
      </w:rPr>
    </w:lvl>
  </w:abstractNum>
  <w:abstractNum w:abstractNumId="2">
    <w:nsid w:val="C08FD013"/>
    <w:multiLevelType w:val="singleLevel"/>
    <w:tmpl w:val="C08FD013"/>
    <w:lvl w:ilvl="0" w:tentative="0">
      <w:start w:val="2"/>
      <w:numFmt w:val="chineseCounting"/>
      <w:suff w:val="nothing"/>
      <w:lvlText w:val="%1、"/>
      <w:lvlJc w:val="left"/>
      <w:rPr>
        <w:rFonts w:hint="eastAsia"/>
      </w:rPr>
    </w:lvl>
  </w:abstractNum>
  <w:abstractNum w:abstractNumId="3">
    <w:nsid w:val="C46577C4"/>
    <w:multiLevelType w:val="singleLevel"/>
    <w:tmpl w:val="C46577C4"/>
    <w:lvl w:ilvl="0" w:tentative="0">
      <w:start w:val="3"/>
      <w:numFmt w:val="decimal"/>
      <w:suff w:val="nothing"/>
      <w:lvlText w:val="%1、"/>
      <w:lvlJc w:val="left"/>
    </w:lvl>
  </w:abstractNum>
  <w:abstractNum w:abstractNumId="4">
    <w:nsid w:val="E48F1FC5"/>
    <w:multiLevelType w:val="singleLevel"/>
    <w:tmpl w:val="E48F1FC5"/>
    <w:lvl w:ilvl="0" w:tentative="0">
      <w:start w:val="1"/>
      <w:numFmt w:val="decimal"/>
      <w:suff w:val="nothing"/>
      <w:lvlText w:val="%1．"/>
      <w:lvlJc w:val="left"/>
      <w:pPr>
        <w:ind w:left="0" w:firstLine="0"/>
      </w:pPr>
      <w:rPr>
        <w:rFonts w:hint="default"/>
      </w:rPr>
    </w:lvl>
  </w:abstractNum>
  <w:abstractNum w:abstractNumId="5">
    <w:nsid w:val="044398AB"/>
    <w:multiLevelType w:val="singleLevel"/>
    <w:tmpl w:val="044398AB"/>
    <w:lvl w:ilvl="0" w:tentative="0">
      <w:start w:val="1"/>
      <w:numFmt w:val="decimal"/>
      <w:suff w:val="nothing"/>
      <w:lvlText w:val="%1．"/>
      <w:lvlJc w:val="left"/>
      <w:pPr>
        <w:ind w:left="0" w:firstLine="0"/>
      </w:pPr>
      <w:rPr>
        <w:rFonts w:hint="default"/>
      </w:rPr>
    </w:lvl>
  </w:abstractNum>
  <w:abstractNum w:abstractNumId="6">
    <w:nsid w:val="0CA6E21C"/>
    <w:multiLevelType w:val="singleLevel"/>
    <w:tmpl w:val="0CA6E21C"/>
    <w:lvl w:ilvl="0" w:tentative="0">
      <w:start w:val="1"/>
      <w:numFmt w:val="decimal"/>
      <w:suff w:val="nothing"/>
      <w:lvlText w:val="%1．"/>
      <w:lvlJc w:val="left"/>
      <w:pPr>
        <w:ind w:left="0" w:firstLine="0"/>
      </w:pPr>
      <w:rPr>
        <w:rFonts w:hint="default"/>
      </w:rPr>
    </w:lvl>
  </w:abstractNum>
  <w:abstractNum w:abstractNumId="7">
    <w:nsid w:val="219BAFF8"/>
    <w:multiLevelType w:val="singleLevel"/>
    <w:tmpl w:val="219BAFF8"/>
    <w:lvl w:ilvl="0" w:tentative="0">
      <w:start w:val="1"/>
      <w:numFmt w:val="decimal"/>
      <w:lvlText w:val="%1"/>
      <w:lvlJc w:val="left"/>
      <w:pPr>
        <w:tabs>
          <w:tab w:val="left" w:pos="0"/>
        </w:tabs>
        <w:ind w:left="0" w:leftChars="0" w:firstLine="0" w:firstLineChars="0"/>
      </w:pPr>
      <w:rPr>
        <w:rFonts w:hint="default"/>
      </w:rPr>
    </w:lvl>
  </w:abstractNum>
  <w:abstractNum w:abstractNumId="8">
    <w:nsid w:val="2889F722"/>
    <w:multiLevelType w:val="singleLevel"/>
    <w:tmpl w:val="2889F722"/>
    <w:lvl w:ilvl="0" w:tentative="0">
      <w:start w:val="1"/>
      <w:numFmt w:val="decimal"/>
      <w:suff w:val="nothing"/>
      <w:lvlText w:val="%1．"/>
      <w:lvlJc w:val="left"/>
      <w:pPr>
        <w:ind w:left="0" w:firstLine="0"/>
      </w:pPr>
      <w:rPr>
        <w:rFonts w:hint="default"/>
      </w:rPr>
    </w:lvl>
  </w:abstractNum>
  <w:abstractNum w:abstractNumId="9">
    <w:nsid w:val="3A2F9B9A"/>
    <w:multiLevelType w:val="singleLevel"/>
    <w:tmpl w:val="3A2F9B9A"/>
    <w:lvl w:ilvl="0" w:tentative="0">
      <w:start w:val="1"/>
      <w:numFmt w:val="decimal"/>
      <w:suff w:val="nothing"/>
      <w:lvlText w:val="%1．"/>
      <w:lvlJc w:val="left"/>
      <w:pPr>
        <w:ind w:left="0" w:firstLine="0"/>
      </w:pPr>
      <w:rPr>
        <w:rFonts w:hint="default"/>
      </w:rPr>
    </w:lvl>
  </w:abstractNum>
  <w:abstractNum w:abstractNumId="10">
    <w:nsid w:val="5E2E8E85"/>
    <w:multiLevelType w:val="singleLevel"/>
    <w:tmpl w:val="5E2E8E85"/>
    <w:lvl w:ilvl="0" w:tentative="0">
      <w:start w:val="1"/>
      <w:numFmt w:val="decimal"/>
      <w:suff w:val="nothing"/>
      <w:lvlText w:val="%1．"/>
      <w:lvlJc w:val="left"/>
      <w:pPr>
        <w:ind w:left="0" w:firstLine="0"/>
      </w:pPr>
      <w:rPr>
        <w:rFonts w:hint="default"/>
      </w:rPr>
    </w:lvl>
  </w:abstractNum>
  <w:num w:numId="1">
    <w:abstractNumId w:val="10"/>
  </w:num>
  <w:num w:numId="2">
    <w:abstractNumId w:val="5"/>
  </w:num>
  <w:num w:numId="3">
    <w:abstractNumId w:val="6"/>
  </w:num>
  <w:num w:numId="4">
    <w:abstractNumId w:val="9"/>
  </w:num>
  <w:num w:numId="5">
    <w:abstractNumId w:val="8"/>
  </w:num>
  <w:num w:numId="6">
    <w:abstractNumId w:val="4"/>
  </w:num>
  <w:num w:numId="7">
    <w:abstractNumId w:val="2"/>
  </w:num>
  <w:num w:numId="8">
    <w:abstractNumId w:val="1"/>
  </w:num>
  <w:num w:numId="9">
    <w:abstractNumId w:val="7"/>
  </w:num>
  <w:num w:numId="10">
    <w:abstractNumId w:val="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yYWNhOWM0ZjYzNjZiYjAwOTJlMjgxNWE3ZWNiMTgifQ=="/>
  </w:docVars>
  <w:rsids>
    <w:rsidRoot w:val="00A1494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252F"/>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106611"/>
    <w:rsid w:val="01194DB9"/>
    <w:rsid w:val="01290F7E"/>
    <w:rsid w:val="015D1E09"/>
    <w:rsid w:val="01A80DF1"/>
    <w:rsid w:val="02697903"/>
    <w:rsid w:val="02715718"/>
    <w:rsid w:val="02F96569"/>
    <w:rsid w:val="0399404E"/>
    <w:rsid w:val="03EA7B21"/>
    <w:rsid w:val="041932CC"/>
    <w:rsid w:val="050414F1"/>
    <w:rsid w:val="05C31CC6"/>
    <w:rsid w:val="05D20778"/>
    <w:rsid w:val="05F83EAE"/>
    <w:rsid w:val="063E7D85"/>
    <w:rsid w:val="070520F0"/>
    <w:rsid w:val="07293586"/>
    <w:rsid w:val="07295285"/>
    <w:rsid w:val="07636392"/>
    <w:rsid w:val="07770C56"/>
    <w:rsid w:val="078F7026"/>
    <w:rsid w:val="08D55106"/>
    <w:rsid w:val="092217DD"/>
    <w:rsid w:val="093A7294"/>
    <w:rsid w:val="09795099"/>
    <w:rsid w:val="09A978F0"/>
    <w:rsid w:val="0A263993"/>
    <w:rsid w:val="0A2D3AC2"/>
    <w:rsid w:val="0A711B74"/>
    <w:rsid w:val="0A7328AB"/>
    <w:rsid w:val="0AA755DF"/>
    <w:rsid w:val="0B120D44"/>
    <w:rsid w:val="0BD27BF6"/>
    <w:rsid w:val="0C3B3C7D"/>
    <w:rsid w:val="0CAB2EAE"/>
    <w:rsid w:val="0D621C7D"/>
    <w:rsid w:val="0D641266"/>
    <w:rsid w:val="0D8A59E0"/>
    <w:rsid w:val="0E73034D"/>
    <w:rsid w:val="0F13775A"/>
    <w:rsid w:val="0F5F45FE"/>
    <w:rsid w:val="0F9A112B"/>
    <w:rsid w:val="106D2F64"/>
    <w:rsid w:val="10B63710"/>
    <w:rsid w:val="10F10820"/>
    <w:rsid w:val="111C2F7A"/>
    <w:rsid w:val="11665CA1"/>
    <w:rsid w:val="11822B7A"/>
    <w:rsid w:val="129E2520"/>
    <w:rsid w:val="12F07147"/>
    <w:rsid w:val="1314237F"/>
    <w:rsid w:val="13951726"/>
    <w:rsid w:val="14396509"/>
    <w:rsid w:val="147D04A8"/>
    <w:rsid w:val="14C90064"/>
    <w:rsid w:val="14DD2C3C"/>
    <w:rsid w:val="16087E1D"/>
    <w:rsid w:val="17701D14"/>
    <w:rsid w:val="17735226"/>
    <w:rsid w:val="181D2639"/>
    <w:rsid w:val="186F7E85"/>
    <w:rsid w:val="189F624C"/>
    <w:rsid w:val="1A034A60"/>
    <w:rsid w:val="1A1C66C0"/>
    <w:rsid w:val="1A42393B"/>
    <w:rsid w:val="1AAD45DE"/>
    <w:rsid w:val="1B046F80"/>
    <w:rsid w:val="1B3267B5"/>
    <w:rsid w:val="1B40161D"/>
    <w:rsid w:val="1B441859"/>
    <w:rsid w:val="1B480802"/>
    <w:rsid w:val="1B6606B1"/>
    <w:rsid w:val="1BBD5DDE"/>
    <w:rsid w:val="1C5E7925"/>
    <w:rsid w:val="1C861FC3"/>
    <w:rsid w:val="1CAB4206"/>
    <w:rsid w:val="1CFD070F"/>
    <w:rsid w:val="1D5F6196"/>
    <w:rsid w:val="1D6132A5"/>
    <w:rsid w:val="1D8E56D5"/>
    <w:rsid w:val="1D9C64AC"/>
    <w:rsid w:val="1E2F0A5F"/>
    <w:rsid w:val="1E3769E0"/>
    <w:rsid w:val="1E7A43DA"/>
    <w:rsid w:val="1FC47274"/>
    <w:rsid w:val="1FE7539E"/>
    <w:rsid w:val="200F4BCF"/>
    <w:rsid w:val="20246EC9"/>
    <w:rsid w:val="20671BE0"/>
    <w:rsid w:val="20944C80"/>
    <w:rsid w:val="20963CB8"/>
    <w:rsid w:val="20A81A1B"/>
    <w:rsid w:val="20B07FB6"/>
    <w:rsid w:val="20B646FB"/>
    <w:rsid w:val="21224E94"/>
    <w:rsid w:val="213B74B1"/>
    <w:rsid w:val="215A2310"/>
    <w:rsid w:val="219303E0"/>
    <w:rsid w:val="21DE318A"/>
    <w:rsid w:val="21EF5B80"/>
    <w:rsid w:val="22576990"/>
    <w:rsid w:val="229509A8"/>
    <w:rsid w:val="22F47480"/>
    <w:rsid w:val="23DB1509"/>
    <w:rsid w:val="23DE1C48"/>
    <w:rsid w:val="23F40868"/>
    <w:rsid w:val="240210CD"/>
    <w:rsid w:val="24267B8B"/>
    <w:rsid w:val="24555926"/>
    <w:rsid w:val="24BF09F7"/>
    <w:rsid w:val="25196C2A"/>
    <w:rsid w:val="252D53FE"/>
    <w:rsid w:val="25B12BAE"/>
    <w:rsid w:val="25EC2D81"/>
    <w:rsid w:val="26C83961"/>
    <w:rsid w:val="277057A2"/>
    <w:rsid w:val="29206EB8"/>
    <w:rsid w:val="29566C3F"/>
    <w:rsid w:val="29595666"/>
    <w:rsid w:val="29874881"/>
    <w:rsid w:val="29E325E0"/>
    <w:rsid w:val="2A452503"/>
    <w:rsid w:val="2A92065B"/>
    <w:rsid w:val="2AFA6021"/>
    <w:rsid w:val="2BA936A8"/>
    <w:rsid w:val="2C315A5A"/>
    <w:rsid w:val="2C3E14C6"/>
    <w:rsid w:val="2C4B1C25"/>
    <w:rsid w:val="2C782029"/>
    <w:rsid w:val="2D510EC7"/>
    <w:rsid w:val="2D9E56F5"/>
    <w:rsid w:val="2DB9204C"/>
    <w:rsid w:val="2E667F96"/>
    <w:rsid w:val="2E8226AB"/>
    <w:rsid w:val="2EB04114"/>
    <w:rsid w:val="2F5727D6"/>
    <w:rsid w:val="2F6674BE"/>
    <w:rsid w:val="2F697447"/>
    <w:rsid w:val="2FD065E6"/>
    <w:rsid w:val="2FD96870"/>
    <w:rsid w:val="30580BC9"/>
    <w:rsid w:val="311E2ED7"/>
    <w:rsid w:val="31414BF3"/>
    <w:rsid w:val="315619EE"/>
    <w:rsid w:val="315C449C"/>
    <w:rsid w:val="31B82709"/>
    <w:rsid w:val="31D05482"/>
    <w:rsid w:val="31EF53FD"/>
    <w:rsid w:val="32203089"/>
    <w:rsid w:val="32400B34"/>
    <w:rsid w:val="329E6876"/>
    <w:rsid w:val="332F2560"/>
    <w:rsid w:val="333015F2"/>
    <w:rsid w:val="334B6320"/>
    <w:rsid w:val="33D934D4"/>
    <w:rsid w:val="33FE2F6A"/>
    <w:rsid w:val="340E07E5"/>
    <w:rsid w:val="34235BF7"/>
    <w:rsid w:val="34362BC5"/>
    <w:rsid w:val="35547F95"/>
    <w:rsid w:val="358C5FA8"/>
    <w:rsid w:val="35C15DF1"/>
    <w:rsid w:val="36074A7F"/>
    <w:rsid w:val="36923549"/>
    <w:rsid w:val="36B75FBF"/>
    <w:rsid w:val="36BD0C45"/>
    <w:rsid w:val="37E00298"/>
    <w:rsid w:val="38111F4B"/>
    <w:rsid w:val="3828393B"/>
    <w:rsid w:val="38B302F9"/>
    <w:rsid w:val="38F12CD3"/>
    <w:rsid w:val="38F94775"/>
    <w:rsid w:val="390E40A0"/>
    <w:rsid w:val="392971ED"/>
    <w:rsid w:val="39325651"/>
    <w:rsid w:val="39B20DC5"/>
    <w:rsid w:val="3A493796"/>
    <w:rsid w:val="3A872856"/>
    <w:rsid w:val="3AAA74BD"/>
    <w:rsid w:val="3B3763D1"/>
    <w:rsid w:val="3BD403F4"/>
    <w:rsid w:val="3C2F6E1E"/>
    <w:rsid w:val="3C4F64BA"/>
    <w:rsid w:val="3C6B208E"/>
    <w:rsid w:val="3C9464AE"/>
    <w:rsid w:val="3CDA245A"/>
    <w:rsid w:val="3D1E06B7"/>
    <w:rsid w:val="3DE873B3"/>
    <w:rsid w:val="3E0149E7"/>
    <w:rsid w:val="3EDA0523"/>
    <w:rsid w:val="3EF54BB8"/>
    <w:rsid w:val="3F163DEE"/>
    <w:rsid w:val="3F78452B"/>
    <w:rsid w:val="407A6407"/>
    <w:rsid w:val="40FB3F2C"/>
    <w:rsid w:val="412D0ED5"/>
    <w:rsid w:val="41777715"/>
    <w:rsid w:val="41927085"/>
    <w:rsid w:val="419624CD"/>
    <w:rsid w:val="41B9630E"/>
    <w:rsid w:val="4200449D"/>
    <w:rsid w:val="423A3BCC"/>
    <w:rsid w:val="424941BA"/>
    <w:rsid w:val="424E57D2"/>
    <w:rsid w:val="428A31E3"/>
    <w:rsid w:val="42A6360C"/>
    <w:rsid w:val="42B26C49"/>
    <w:rsid w:val="433A6FE6"/>
    <w:rsid w:val="43480868"/>
    <w:rsid w:val="4350713C"/>
    <w:rsid w:val="436653E0"/>
    <w:rsid w:val="43B65516"/>
    <w:rsid w:val="43C4431A"/>
    <w:rsid w:val="44B951CC"/>
    <w:rsid w:val="44CD14E0"/>
    <w:rsid w:val="44F20B0B"/>
    <w:rsid w:val="44FC4A9D"/>
    <w:rsid w:val="452E5F4C"/>
    <w:rsid w:val="45612018"/>
    <w:rsid w:val="458946E9"/>
    <w:rsid w:val="45A47C0E"/>
    <w:rsid w:val="45C22D61"/>
    <w:rsid w:val="46577FD6"/>
    <w:rsid w:val="46D955A7"/>
    <w:rsid w:val="46F15C3B"/>
    <w:rsid w:val="47133957"/>
    <w:rsid w:val="47A07E0C"/>
    <w:rsid w:val="47C373C8"/>
    <w:rsid w:val="4870272E"/>
    <w:rsid w:val="48F20B64"/>
    <w:rsid w:val="49B678FD"/>
    <w:rsid w:val="49DC7715"/>
    <w:rsid w:val="49EF0422"/>
    <w:rsid w:val="4A023139"/>
    <w:rsid w:val="4A7B576F"/>
    <w:rsid w:val="4AF561A9"/>
    <w:rsid w:val="4C054E2C"/>
    <w:rsid w:val="4C496B22"/>
    <w:rsid w:val="4C4A0649"/>
    <w:rsid w:val="4C524A41"/>
    <w:rsid w:val="4C5B7215"/>
    <w:rsid w:val="4C763857"/>
    <w:rsid w:val="4C7E5ECA"/>
    <w:rsid w:val="4C876AA5"/>
    <w:rsid w:val="4D0E00FB"/>
    <w:rsid w:val="4D176606"/>
    <w:rsid w:val="4DEC4FB0"/>
    <w:rsid w:val="4DF17453"/>
    <w:rsid w:val="4E075D8A"/>
    <w:rsid w:val="4EB76932"/>
    <w:rsid w:val="4EC00FAD"/>
    <w:rsid w:val="4EC4301D"/>
    <w:rsid w:val="4F9843DC"/>
    <w:rsid w:val="4FC62A8C"/>
    <w:rsid w:val="4FE20F0D"/>
    <w:rsid w:val="4FE51552"/>
    <w:rsid w:val="50504C4B"/>
    <w:rsid w:val="50820C6F"/>
    <w:rsid w:val="509C6E7C"/>
    <w:rsid w:val="510A17D0"/>
    <w:rsid w:val="5162104E"/>
    <w:rsid w:val="52D21C1A"/>
    <w:rsid w:val="5358625C"/>
    <w:rsid w:val="538B7607"/>
    <w:rsid w:val="53A039CC"/>
    <w:rsid w:val="53A1505A"/>
    <w:rsid w:val="54063E08"/>
    <w:rsid w:val="540A4CB1"/>
    <w:rsid w:val="542535AD"/>
    <w:rsid w:val="543437E8"/>
    <w:rsid w:val="543F2101"/>
    <w:rsid w:val="545F08F8"/>
    <w:rsid w:val="549F32F9"/>
    <w:rsid w:val="54F73313"/>
    <w:rsid w:val="54F80955"/>
    <w:rsid w:val="55330D3F"/>
    <w:rsid w:val="555170A7"/>
    <w:rsid w:val="55552C0B"/>
    <w:rsid w:val="5587536D"/>
    <w:rsid w:val="559B174B"/>
    <w:rsid w:val="55CE0CF4"/>
    <w:rsid w:val="56B22A9C"/>
    <w:rsid w:val="57517B92"/>
    <w:rsid w:val="57B72A76"/>
    <w:rsid w:val="57C3426C"/>
    <w:rsid w:val="57CE1F93"/>
    <w:rsid w:val="582B7DA1"/>
    <w:rsid w:val="58871392"/>
    <w:rsid w:val="588743D1"/>
    <w:rsid w:val="5887701A"/>
    <w:rsid w:val="59B97296"/>
    <w:rsid w:val="59C0439F"/>
    <w:rsid w:val="5ABE2233"/>
    <w:rsid w:val="5AD34C11"/>
    <w:rsid w:val="5ADC107B"/>
    <w:rsid w:val="5BA504AD"/>
    <w:rsid w:val="5BA5687D"/>
    <w:rsid w:val="5BDF5D95"/>
    <w:rsid w:val="5BFE7528"/>
    <w:rsid w:val="5C2F4508"/>
    <w:rsid w:val="5DAE7788"/>
    <w:rsid w:val="5E2467F1"/>
    <w:rsid w:val="5E2E0D9C"/>
    <w:rsid w:val="5EA144FC"/>
    <w:rsid w:val="5F182D44"/>
    <w:rsid w:val="5F1A2B43"/>
    <w:rsid w:val="5FB837BB"/>
    <w:rsid w:val="5FC827D7"/>
    <w:rsid w:val="60CC405A"/>
    <w:rsid w:val="60D75429"/>
    <w:rsid w:val="61923DAD"/>
    <w:rsid w:val="61B66110"/>
    <w:rsid w:val="61E215D8"/>
    <w:rsid w:val="621B3775"/>
    <w:rsid w:val="62364782"/>
    <w:rsid w:val="62EA49F7"/>
    <w:rsid w:val="633B7CB2"/>
    <w:rsid w:val="63794B95"/>
    <w:rsid w:val="6394356A"/>
    <w:rsid w:val="63C61B2C"/>
    <w:rsid w:val="63D40BE9"/>
    <w:rsid w:val="64102431"/>
    <w:rsid w:val="642B61E4"/>
    <w:rsid w:val="644D2FCE"/>
    <w:rsid w:val="64A5243A"/>
    <w:rsid w:val="64BC13AB"/>
    <w:rsid w:val="64F531DE"/>
    <w:rsid w:val="65275372"/>
    <w:rsid w:val="65373578"/>
    <w:rsid w:val="658C4E7B"/>
    <w:rsid w:val="65F30B86"/>
    <w:rsid w:val="664A23C3"/>
    <w:rsid w:val="671F124A"/>
    <w:rsid w:val="677A33C6"/>
    <w:rsid w:val="678D0DBF"/>
    <w:rsid w:val="681F6961"/>
    <w:rsid w:val="68367D7E"/>
    <w:rsid w:val="68610A2F"/>
    <w:rsid w:val="68805514"/>
    <w:rsid w:val="69316E2F"/>
    <w:rsid w:val="694E2071"/>
    <w:rsid w:val="69766163"/>
    <w:rsid w:val="697A3B33"/>
    <w:rsid w:val="69D44760"/>
    <w:rsid w:val="6A4F1D3E"/>
    <w:rsid w:val="6A520EC7"/>
    <w:rsid w:val="6A7410EF"/>
    <w:rsid w:val="6AF87E20"/>
    <w:rsid w:val="6B322639"/>
    <w:rsid w:val="6B572E3E"/>
    <w:rsid w:val="6C636C38"/>
    <w:rsid w:val="6CCE436E"/>
    <w:rsid w:val="6DB34098"/>
    <w:rsid w:val="6DB545B6"/>
    <w:rsid w:val="6DBD052E"/>
    <w:rsid w:val="6DE02FB4"/>
    <w:rsid w:val="6E514CED"/>
    <w:rsid w:val="6E9327DA"/>
    <w:rsid w:val="6EB563D5"/>
    <w:rsid w:val="6ED92677"/>
    <w:rsid w:val="6F225983"/>
    <w:rsid w:val="6FA268E9"/>
    <w:rsid w:val="6FA76A10"/>
    <w:rsid w:val="6FC62D19"/>
    <w:rsid w:val="6FFC5590"/>
    <w:rsid w:val="702E7D0D"/>
    <w:rsid w:val="705F230F"/>
    <w:rsid w:val="706935BB"/>
    <w:rsid w:val="706D1DD0"/>
    <w:rsid w:val="70856B87"/>
    <w:rsid w:val="70964921"/>
    <w:rsid w:val="70D527EE"/>
    <w:rsid w:val="712770B0"/>
    <w:rsid w:val="715B5300"/>
    <w:rsid w:val="71C67ACC"/>
    <w:rsid w:val="71D27F8A"/>
    <w:rsid w:val="72553024"/>
    <w:rsid w:val="72BB67E1"/>
    <w:rsid w:val="72CE64A5"/>
    <w:rsid w:val="73122968"/>
    <w:rsid w:val="731F5D5E"/>
    <w:rsid w:val="73A553A8"/>
    <w:rsid w:val="73C51AD5"/>
    <w:rsid w:val="741E793C"/>
    <w:rsid w:val="745E3944"/>
    <w:rsid w:val="74C46BFE"/>
    <w:rsid w:val="751C7D67"/>
    <w:rsid w:val="7582375C"/>
    <w:rsid w:val="7635099D"/>
    <w:rsid w:val="76414518"/>
    <w:rsid w:val="76A50DB0"/>
    <w:rsid w:val="77067B4C"/>
    <w:rsid w:val="77762421"/>
    <w:rsid w:val="777A05F3"/>
    <w:rsid w:val="77A94A29"/>
    <w:rsid w:val="77B56B1F"/>
    <w:rsid w:val="780F09F4"/>
    <w:rsid w:val="78A90480"/>
    <w:rsid w:val="79B162F0"/>
    <w:rsid w:val="7A364017"/>
    <w:rsid w:val="7A8265E1"/>
    <w:rsid w:val="7ABB5F6D"/>
    <w:rsid w:val="7B686D42"/>
    <w:rsid w:val="7B841746"/>
    <w:rsid w:val="7C6C5AC7"/>
    <w:rsid w:val="7C8E1ADF"/>
    <w:rsid w:val="7C9C097F"/>
    <w:rsid w:val="7CC630BE"/>
    <w:rsid w:val="7CC6544B"/>
    <w:rsid w:val="7D0239FF"/>
    <w:rsid w:val="7D5E40CD"/>
    <w:rsid w:val="7DA653DA"/>
    <w:rsid w:val="7DCD56F2"/>
    <w:rsid w:val="7E4A4335"/>
    <w:rsid w:val="7F001CE7"/>
    <w:rsid w:val="7F155C45"/>
    <w:rsid w:val="7FCA6A50"/>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nhideWhenUsed="0" w:uiPriority="0" w:semiHidden="0" w:name="Body Text Indent 3" w:locked="1"/>
    <w:lsdException w:qFormat="1"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unhideWhenUsed/>
    <w:qFormat/>
    <w:locked/>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4">
    <w:name w:val="heading 4"/>
    <w:basedOn w:val="1"/>
    <w:next w:val="1"/>
    <w:qFormat/>
    <w:locked/>
    <w:uiPriority w:val="0"/>
    <w:pPr>
      <w:keepNext/>
      <w:keepLines/>
      <w:spacing w:before="280" w:beforeLines="0" w:beforeAutospacing="0" w:after="290" w:afterLines="0" w:afterAutospacing="0" w:line="374" w:lineRule="auto"/>
      <w:outlineLvl w:val="3"/>
    </w:pPr>
    <w:rPr>
      <w:rFonts w:ascii="Arial" w:hAnsi="Arial" w:eastAsia="黑体"/>
      <w:b/>
      <w:sz w:val="28"/>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locked/>
    <w:uiPriority w:val="0"/>
    <w:pPr>
      <w:widowControl w:val="0"/>
      <w:adjustRightInd w:val="0"/>
      <w:spacing w:line="500" w:lineRule="exact"/>
      <w:ind w:firstLine="560" w:firstLineChars="200"/>
    </w:pPr>
    <w:rPr>
      <w:color w:val="auto"/>
      <w:kern w:val="2"/>
      <w:u w:val="none" w:color="auto"/>
    </w:rPr>
  </w:style>
  <w:style w:type="paragraph" w:customStyle="1" w:styleId="6">
    <w:name w:val="Default"/>
    <w:basedOn w:val="7"/>
    <w:next w:val="8"/>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
    <w:name w:val="纯文本1"/>
    <w:basedOn w:val="1"/>
    <w:qFormat/>
    <w:uiPriority w:val="0"/>
    <w:rPr>
      <w:rFonts w:ascii="宋体" w:hAnsi="Courier New" w:cs="Courier New"/>
      <w:sz w:val="30"/>
      <w:szCs w:val="21"/>
    </w:rPr>
  </w:style>
  <w:style w:type="paragraph" w:customStyle="1" w:styleId="8">
    <w:name w:val="表格文字"/>
    <w:basedOn w:val="1"/>
    <w:next w:val="1"/>
    <w:qFormat/>
    <w:uiPriority w:val="0"/>
    <w:pPr>
      <w:adjustRightInd/>
      <w:snapToGrid/>
      <w:spacing w:line="360" w:lineRule="exact"/>
      <w:ind w:firstLine="0" w:firstLineChars="0"/>
      <w:jc w:val="center"/>
    </w:pPr>
    <w:rPr>
      <w:rFonts w:ascii="Times New Roman" w:hAnsi="Times New Roman" w:eastAsia="宋体"/>
      <w:color w:val="000000"/>
    </w:rPr>
  </w:style>
  <w:style w:type="paragraph" w:styleId="9">
    <w:name w:val="annotation text"/>
    <w:basedOn w:val="1"/>
    <w:link w:val="29"/>
    <w:semiHidden/>
    <w:qFormat/>
    <w:uiPriority w:val="0"/>
    <w:pPr>
      <w:jc w:val="left"/>
    </w:pPr>
    <w:rPr>
      <w:kern w:val="0"/>
      <w:sz w:val="24"/>
      <w:szCs w:val="20"/>
    </w:rPr>
  </w:style>
  <w:style w:type="paragraph" w:styleId="10">
    <w:name w:val="Body Text"/>
    <w:basedOn w:val="1"/>
    <w:link w:val="30"/>
    <w:qFormat/>
    <w:uiPriority w:val="0"/>
    <w:pPr>
      <w:widowControl/>
      <w:snapToGrid w:val="0"/>
      <w:spacing w:before="60" w:after="160" w:line="259" w:lineRule="auto"/>
      <w:ind w:right="113"/>
    </w:pPr>
    <w:rPr>
      <w:kern w:val="0"/>
      <w:sz w:val="18"/>
      <w:szCs w:val="20"/>
    </w:rPr>
  </w:style>
  <w:style w:type="paragraph" w:styleId="11">
    <w:name w:val="Body Text Indent"/>
    <w:basedOn w:val="1"/>
    <w:link w:val="31"/>
    <w:qFormat/>
    <w:uiPriority w:val="0"/>
    <w:pPr>
      <w:spacing w:after="120"/>
      <w:ind w:left="420" w:leftChars="200"/>
    </w:pPr>
    <w:rPr>
      <w:kern w:val="0"/>
      <w:sz w:val="24"/>
      <w:szCs w:val="20"/>
    </w:rPr>
  </w:style>
  <w:style w:type="paragraph" w:styleId="12">
    <w:name w:val="Block Text"/>
    <w:basedOn w:val="1"/>
    <w:unhideWhenUsed/>
    <w:qFormat/>
    <w:locked/>
    <w:uiPriority w:val="0"/>
    <w:pPr>
      <w:ind w:left="-540" w:right="-514" w:firstLine="540"/>
    </w:pPr>
    <w:rPr>
      <w:rFonts w:ascii="华文楷体" w:hAnsi="华文楷体" w:eastAsia="华文楷体"/>
      <w:sz w:val="30"/>
      <w:szCs w:val="30"/>
    </w:rPr>
  </w:style>
  <w:style w:type="paragraph" w:styleId="13">
    <w:name w:val="Plain Text"/>
    <w:basedOn w:val="1"/>
    <w:qFormat/>
    <w:locked/>
    <w:uiPriority w:val="0"/>
    <w:pPr>
      <w:spacing w:line="420" w:lineRule="exact"/>
      <w:ind w:firstLine="200" w:firstLineChars="200"/>
    </w:pPr>
    <w:rPr>
      <w:rFonts w:ascii="宋体" w:hAnsi="Courier New" w:cs="Courier New"/>
      <w:szCs w:val="21"/>
    </w:rPr>
  </w:style>
  <w:style w:type="paragraph" w:styleId="14">
    <w:name w:val="Date"/>
    <w:basedOn w:val="1"/>
    <w:next w:val="1"/>
    <w:link w:val="32"/>
    <w:qFormat/>
    <w:uiPriority w:val="0"/>
    <w:pPr>
      <w:ind w:left="100" w:leftChars="2500"/>
    </w:pPr>
    <w:rPr>
      <w:kern w:val="0"/>
      <w:sz w:val="24"/>
      <w:szCs w:val="20"/>
    </w:rPr>
  </w:style>
  <w:style w:type="paragraph" w:styleId="15">
    <w:name w:val="Balloon Text"/>
    <w:basedOn w:val="1"/>
    <w:link w:val="33"/>
    <w:semiHidden/>
    <w:qFormat/>
    <w:uiPriority w:val="0"/>
    <w:rPr>
      <w:kern w:val="0"/>
      <w:sz w:val="18"/>
      <w:szCs w:val="20"/>
    </w:rPr>
  </w:style>
  <w:style w:type="paragraph" w:styleId="16">
    <w:name w:val="footer"/>
    <w:basedOn w:val="1"/>
    <w:link w:val="34"/>
    <w:qFormat/>
    <w:uiPriority w:val="99"/>
    <w:pPr>
      <w:tabs>
        <w:tab w:val="center" w:pos="4153"/>
        <w:tab w:val="right" w:pos="8306"/>
      </w:tabs>
      <w:snapToGrid w:val="0"/>
      <w:jc w:val="left"/>
    </w:pPr>
    <w:rPr>
      <w:kern w:val="0"/>
      <w:sz w:val="18"/>
      <w:szCs w:val="20"/>
    </w:rPr>
  </w:style>
  <w:style w:type="paragraph" w:styleId="17">
    <w:name w:val="header"/>
    <w:basedOn w:val="1"/>
    <w:link w:val="35"/>
    <w:qFormat/>
    <w:uiPriority w:val="0"/>
    <w:pPr>
      <w:pBdr>
        <w:bottom w:val="single" w:color="auto" w:sz="6" w:space="1"/>
      </w:pBdr>
      <w:tabs>
        <w:tab w:val="center" w:pos="4153"/>
        <w:tab w:val="right" w:pos="8306"/>
      </w:tabs>
      <w:snapToGrid w:val="0"/>
      <w:jc w:val="center"/>
    </w:pPr>
    <w:rPr>
      <w:kern w:val="0"/>
      <w:sz w:val="18"/>
      <w:szCs w:val="20"/>
    </w:rPr>
  </w:style>
  <w:style w:type="paragraph" w:styleId="18">
    <w:name w:val="Body Text Indent 3"/>
    <w:basedOn w:val="1"/>
    <w:qFormat/>
    <w:locked/>
    <w:uiPriority w:val="0"/>
    <w:pPr>
      <w:spacing w:line="360" w:lineRule="auto"/>
      <w:ind w:firstLine="394" w:firstLineChars="164"/>
      <w:jc w:val="left"/>
    </w:pPr>
    <w:rPr>
      <w:sz w:val="24"/>
    </w:rPr>
  </w:style>
  <w:style w:type="paragraph" w:styleId="19">
    <w:name w:val="Normal (Web)"/>
    <w:basedOn w:val="1"/>
    <w:link w:val="36"/>
    <w:qFormat/>
    <w:uiPriority w:val="0"/>
    <w:pPr>
      <w:widowControl/>
      <w:spacing w:before="100" w:beforeAutospacing="1" w:after="100" w:afterAutospacing="1"/>
      <w:jc w:val="left"/>
    </w:pPr>
    <w:rPr>
      <w:rFonts w:ascii="宋体" w:hAnsi="宋体"/>
      <w:kern w:val="0"/>
      <w:sz w:val="24"/>
      <w:szCs w:val="20"/>
    </w:rPr>
  </w:style>
  <w:style w:type="paragraph" w:styleId="20">
    <w:name w:val="annotation subject"/>
    <w:basedOn w:val="9"/>
    <w:next w:val="9"/>
    <w:link w:val="37"/>
    <w:semiHidden/>
    <w:qFormat/>
    <w:uiPriority w:val="0"/>
    <w:rPr>
      <w:b/>
      <w:sz w:val="24"/>
      <w:szCs w:val="20"/>
    </w:rPr>
  </w:style>
  <w:style w:type="paragraph" w:styleId="21">
    <w:name w:val="Body Text First Indent 2"/>
    <w:basedOn w:val="1"/>
    <w:next w:val="1"/>
    <w:unhideWhenUsed/>
    <w:qFormat/>
    <w:locked/>
    <w:uiPriority w:val="99"/>
    <w:pPr>
      <w:spacing w:line="360" w:lineRule="auto"/>
      <w:ind w:firstLine="420" w:firstLineChars="200"/>
    </w:pPr>
    <w:rPr>
      <w:rFonts w:cs="Times New Roman"/>
      <w:sz w:val="24"/>
      <w:szCs w:val="21"/>
    </w:rPr>
  </w:style>
  <w:style w:type="table" w:styleId="23">
    <w:name w:val="Table Grid"/>
    <w:basedOn w:val="22"/>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0"/>
    <w:rPr>
      <w:b/>
    </w:rPr>
  </w:style>
  <w:style w:type="character" w:styleId="26">
    <w:name w:val="page number"/>
    <w:basedOn w:val="24"/>
    <w:qFormat/>
    <w:locked/>
    <w:uiPriority w:val="0"/>
  </w:style>
  <w:style w:type="character" w:styleId="27">
    <w:name w:val="Hyperlink"/>
    <w:basedOn w:val="24"/>
    <w:qFormat/>
    <w:locked/>
    <w:uiPriority w:val="0"/>
    <w:rPr>
      <w:color w:val="0000FF"/>
      <w:u w:val="single"/>
    </w:rPr>
  </w:style>
  <w:style w:type="character" w:styleId="28">
    <w:name w:val="annotation reference"/>
    <w:semiHidden/>
    <w:qFormat/>
    <w:uiPriority w:val="0"/>
    <w:rPr>
      <w:sz w:val="21"/>
    </w:rPr>
  </w:style>
  <w:style w:type="character" w:customStyle="1" w:styleId="29">
    <w:name w:val="批注文字 Char"/>
    <w:link w:val="9"/>
    <w:qFormat/>
    <w:locked/>
    <w:uiPriority w:val="0"/>
    <w:rPr>
      <w:rFonts w:ascii="Times New Roman" w:hAnsi="Times New Roman" w:eastAsia="宋体"/>
      <w:sz w:val="24"/>
    </w:rPr>
  </w:style>
  <w:style w:type="character" w:customStyle="1" w:styleId="30">
    <w:name w:val="正文文本 Char"/>
    <w:link w:val="10"/>
    <w:qFormat/>
    <w:locked/>
    <w:uiPriority w:val="0"/>
    <w:rPr>
      <w:sz w:val="18"/>
    </w:rPr>
  </w:style>
  <w:style w:type="character" w:customStyle="1" w:styleId="31">
    <w:name w:val="正文文本缩进 Char"/>
    <w:link w:val="11"/>
    <w:semiHidden/>
    <w:qFormat/>
    <w:locked/>
    <w:uiPriority w:val="0"/>
    <w:rPr>
      <w:rFonts w:ascii="Times New Roman" w:hAnsi="Times New Roman" w:eastAsia="宋体"/>
      <w:sz w:val="24"/>
    </w:rPr>
  </w:style>
  <w:style w:type="character" w:customStyle="1" w:styleId="32">
    <w:name w:val="日期 Char"/>
    <w:link w:val="14"/>
    <w:qFormat/>
    <w:locked/>
    <w:uiPriority w:val="0"/>
    <w:rPr>
      <w:rFonts w:ascii="Times New Roman" w:hAnsi="Times New Roman" w:eastAsia="宋体"/>
      <w:sz w:val="24"/>
    </w:rPr>
  </w:style>
  <w:style w:type="character" w:customStyle="1" w:styleId="33">
    <w:name w:val="批注框文本 Char"/>
    <w:link w:val="15"/>
    <w:semiHidden/>
    <w:qFormat/>
    <w:locked/>
    <w:uiPriority w:val="0"/>
    <w:rPr>
      <w:rFonts w:ascii="Times New Roman" w:hAnsi="Times New Roman" w:eastAsia="宋体"/>
      <w:sz w:val="18"/>
    </w:rPr>
  </w:style>
  <w:style w:type="character" w:customStyle="1" w:styleId="34">
    <w:name w:val="页脚 Char"/>
    <w:link w:val="16"/>
    <w:qFormat/>
    <w:locked/>
    <w:uiPriority w:val="99"/>
    <w:rPr>
      <w:sz w:val="18"/>
    </w:rPr>
  </w:style>
  <w:style w:type="character" w:customStyle="1" w:styleId="35">
    <w:name w:val="页眉 Char"/>
    <w:link w:val="17"/>
    <w:qFormat/>
    <w:locked/>
    <w:uiPriority w:val="0"/>
    <w:rPr>
      <w:sz w:val="18"/>
    </w:rPr>
  </w:style>
  <w:style w:type="character" w:customStyle="1" w:styleId="36">
    <w:name w:val="普通(网站) Char"/>
    <w:link w:val="19"/>
    <w:qFormat/>
    <w:locked/>
    <w:uiPriority w:val="0"/>
    <w:rPr>
      <w:rFonts w:ascii="宋体" w:hAnsi="宋体" w:eastAsia="宋体"/>
      <w:sz w:val="24"/>
    </w:rPr>
  </w:style>
  <w:style w:type="character" w:customStyle="1" w:styleId="37">
    <w:name w:val="批注主题 Char"/>
    <w:link w:val="20"/>
    <w:semiHidden/>
    <w:qFormat/>
    <w:locked/>
    <w:uiPriority w:val="0"/>
    <w:rPr>
      <w:rFonts w:ascii="Times New Roman" w:hAnsi="Times New Roman" w:eastAsia="宋体"/>
      <w:b/>
      <w:kern w:val="2"/>
      <w:sz w:val="24"/>
    </w:rPr>
  </w:style>
  <w:style w:type="character" w:customStyle="1" w:styleId="38">
    <w:name w:val="日期 字符"/>
    <w:semiHidden/>
    <w:qFormat/>
    <w:uiPriority w:val="0"/>
    <w:rPr>
      <w:rFonts w:ascii="Times New Roman" w:hAnsi="Times New Roman" w:eastAsia="宋体"/>
      <w:sz w:val="24"/>
    </w:rPr>
  </w:style>
  <w:style w:type="character" w:customStyle="1" w:styleId="39">
    <w:name w:val="表格 Char"/>
    <w:link w:val="40"/>
    <w:qFormat/>
    <w:locked/>
    <w:uiPriority w:val="0"/>
    <w:rPr>
      <w:rFonts w:ascii="Times New Roman" w:hAnsi="Times New Roman" w:eastAsia="宋体"/>
      <w:b/>
      <w:bCs/>
      <w:kern w:val="0"/>
    </w:rPr>
  </w:style>
  <w:style w:type="paragraph" w:customStyle="1" w:styleId="40">
    <w:name w:val="表格"/>
    <w:basedOn w:val="1"/>
    <w:next w:val="1"/>
    <w:link w:val="39"/>
    <w:qFormat/>
    <w:uiPriority w:val="0"/>
    <w:pPr>
      <w:adjustRightInd w:val="0"/>
      <w:snapToGrid w:val="0"/>
      <w:spacing w:beforeLines="10" w:afterLines="10" w:line="259" w:lineRule="auto"/>
      <w:jc w:val="center"/>
    </w:pPr>
    <w:rPr>
      <w:rFonts w:ascii="宋体"/>
      <w:kern w:val="0"/>
      <w:szCs w:val="20"/>
    </w:rPr>
  </w:style>
  <w:style w:type="paragraph" w:customStyle="1" w:styleId="41">
    <w:name w:val="表格标头"/>
    <w:basedOn w:val="1"/>
    <w:next w:val="8"/>
    <w:link w:val="39"/>
    <w:qFormat/>
    <w:uiPriority w:val="0"/>
    <w:pPr>
      <w:adjustRightInd w:val="0"/>
      <w:snapToGrid w:val="0"/>
      <w:spacing w:line="360" w:lineRule="exact"/>
      <w:ind w:firstLine="0" w:firstLineChars="0"/>
      <w:jc w:val="center"/>
    </w:pPr>
    <w:rPr>
      <w:rFonts w:ascii="Times New Roman" w:hAnsi="Times New Roman" w:eastAsia="宋体"/>
      <w:b/>
      <w:bCs/>
      <w:kern w:val="0"/>
    </w:rPr>
  </w:style>
  <w:style w:type="character" w:customStyle="1" w:styleId="42">
    <w:name w:val="正文文本 字符1"/>
    <w:semiHidden/>
    <w:qFormat/>
    <w:uiPriority w:val="0"/>
    <w:rPr>
      <w:rFonts w:ascii="Times New Roman" w:hAnsi="Times New Roman" w:eastAsia="宋体"/>
      <w:sz w:val="24"/>
    </w:rPr>
  </w:style>
  <w:style w:type="character" w:customStyle="1" w:styleId="43">
    <w:name w:val="页脚 字符"/>
    <w:basedOn w:val="24"/>
    <w:qFormat/>
    <w:uiPriority w:val="99"/>
  </w:style>
  <w:style w:type="character" w:customStyle="1" w:styleId="44">
    <w:name w:val="批注文字 字符1"/>
    <w:semiHidden/>
    <w:qFormat/>
    <w:uiPriority w:val="0"/>
    <w:rPr>
      <w:rFonts w:ascii="Times New Roman" w:hAnsi="Times New Roman" w:eastAsia="宋体"/>
      <w:sz w:val="24"/>
    </w:rPr>
  </w:style>
  <w:style w:type="paragraph" w:customStyle="1" w:styleId="45">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6">
    <w:name w:val="普通(网站)2"/>
    <w:basedOn w:val="1"/>
    <w:qFormat/>
    <w:uiPriority w:val="0"/>
    <w:pPr>
      <w:widowControl/>
      <w:spacing w:before="100" w:beforeAutospacing="1" w:after="100" w:afterAutospacing="1"/>
      <w:jc w:val="left"/>
    </w:pPr>
    <w:rPr>
      <w:rFonts w:ascii="宋体" w:hAnsi="宋体"/>
      <w:sz w:val="24"/>
      <w:szCs w:val="20"/>
    </w:rPr>
  </w:style>
  <w:style w:type="table" w:customStyle="1" w:styleId="47">
    <w:name w:val="Table Normal"/>
    <w:unhideWhenUsed/>
    <w:qFormat/>
    <w:uiPriority w:val="0"/>
    <w:tblPr>
      <w:tblCellMar>
        <w:top w:w="0" w:type="dxa"/>
        <w:left w:w="0" w:type="dxa"/>
        <w:bottom w:w="0" w:type="dxa"/>
        <w:right w:w="0" w:type="dxa"/>
      </w:tblCellMar>
    </w:tblPr>
  </w:style>
  <w:style w:type="paragraph" w:customStyle="1" w:styleId="48">
    <w:name w:val="表中文字"/>
    <w:basedOn w:val="1"/>
    <w:qFormat/>
    <w:uiPriority w:val="0"/>
    <w:pPr>
      <w:adjustRightInd w:val="0"/>
      <w:snapToGrid w:val="0"/>
      <w:spacing w:line="240" w:lineRule="auto"/>
      <w:ind w:firstLine="0" w:firstLineChars="0"/>
      <w:jc w:val="center"/>
    </w:pPr>
    <w:rPr>
      <w:rFonts w:ascii="Times New Roman" w:hAnsi="Times New Roman"/>
      <w:sz w:val="21"/>
    </w:rPr>
  </w:style>
  <w:style w:type="paragraph" w:customStyle="1" w:styleId="49">
    <w:name w:val="正文格式"/>
    <w:basedOn w:val="1"/>
    <w:qFormat/>
    <w:uiPriority w:val="0"/>
    <w:pPr>
      <w:spacing w:line="520" w:lineRule="exact"/>
      <w:ind w:firstLine="200" w:firstLineChars="200"/>
    </w:pPr>
    <w:rPr>
      <w:sz w:val="24"/>
    </w:rPr>
  </w:style>
  <w:style w:type="paragraph" w:customStyle="1" w:styleId="50">
    <w:name w:val="表头格式"/>
    <w:basedOn w:val="51"/>
    <w:qFormat/>
    <w:uiPriority w:val="0"/>
    <w:pPr>
      <w:spacing w:before="120" w:after="120"/>
    </w:pPr>
    <w:rPr>
      <w:lang w:val="zh-CN"/>
    </w:rPr>
  </w:style>
  <w:style w:type="paragraph" w:customStyle="1" w:styleId="51">
    <w:name w:val="表头"/>
    <w:next w:val="1"/>
    <w:qFormat/>
    <w:uiPriority w:val="0"/>
    <w:pPr>
      <w:spacing w:before="50" w:beforeLines="50" w:after="50" w:afterLines="50"/>
      <w:jc w:val="center"/>
    </w:pPr>
    <w:rPr>
      <w:rFonts w:ascii="Times New Roman" w:hAnsi="Times New Roman" w:eastAsia="黑体" w:cs="Times New Roman"/>
      <w:color w:val="000000"/>
      <w:kern w:val="2"/>
      <w:sz w:val="21"/>
      <w:szCs w:val="24"/>
      <w:lang w:val="en-US" w:eastAsia="zh-CN" w:bidi="ar-SA"/>
    </w:rPr>
  </w:style>
  <w:style w:type="paragraph" w:customStyle="1" w:styleId="52">
    <w:name w:val="表格内容"/>
    <w:basedOn w:val="1"/>
    <w:qFormat/>
    <w:uiPriority w:val="0"/>
    <w:pPr>
      <w:jc w:val="center"/>
    </w:pPr>
  </w:style>
  <w:style w:type="paragraph" w:customStyle="1" w:styleId="53">
    <w:name w:val="WPSOffice手动目录 1"/>
    <w:qFormat/>
    <w:uiPriority w:val="0"/>
    <w:pPr>
      <w:ind w:leftChars="0"/>
    </w:pPr>
    <w:rPr>
      <w:rFonts w:ascii="Times New Roman" w:hAnsi="Times New Roman" w:eastAsia="宋体" w:cs="Times New Roman"/>
      <w:sz w:val="20"/>
      <w:szCs w:val="20"/>
    </w:rPr>
  </w:style>
  <w:style w:type="paragraph" w:customStyle="1" w:styleId="54">
    <w:name w:val="曹1.1"/>
    <w:basedOn w:val="1"/>
    <w:qFormat/>
    <w:uiPriority w:val="0"/>
    <w:pPr>
      <w:spacing w:line="360" w:lineRule="auto"/>
    </w:pPr>
    <w:rPr>
      <w:b/>
      <w:sz w:val="24"/>
    </w:rPr>
  </w:style>
  <w:style w:type="character" w:customStyle="1" w:styleId="55">
    <w:name w:val="font11"/>
    <w:basedOn w:val="24"/>
    <w:qFormat/>
    <w:uiPriority w:val="0"/>
    <w:rPr>
      <w:rFonts w:hint="eastAsia" w:ascii="宋体" w:hAnsi="宋体" w:eastAsia="宋体" w:cs="宋体"/>
      <w:color w:val="000000"/>
      <w:sz w:val="21"/>
      <w:szCs w:val="21"/>
      <w:u w:val="none"/>
    </w:rPr>
  </w:style>
  <w:style w:type="paragraph" w:customStyle="1" w:styleId="56">
    <w:name w:val="Table Text"/>
    <w:basedOn w:val="1"/>
    <w:semiHidden/>
    <w:qFormat/>
    <w:uiPriority w:val="0"/>
    <w:rPr>
      <w:rFonts w:ascii="宋体" w:hAnsi="宋体" w:eastAsia="宋体" w:cs="宋体"/>
      <w:sz w:val="14"/>
      <w:szCs w:val="14"/>
      <w:lang w:val="en-US" w:eastAsia="en-US" w:bidi="ar-SA"/>
    </w:rPr>
  </w:style>
  <w:style w:type="paragraph" w:customStyle="1" w:styleId="57">
    <w:name w:val="【正文】"/>
    <w:basedOn w:val="1"/>
    <w:qFormat/>
    <w:uiPriority w:val="0"/>
    <w:pPr>
      <w:spacing w:line="440" w:lineRule="exact"/>
      <w:ind w:firstLine="420" w:firstLineChars="200"/>
    </w:pPr>
    <w:rPr>
      <w:color w:val="FF0000"/>
      <w:szCs w:val="20"/>
    </w:rPr>
  </w:style>
  <w:style w:type="paragraph" w:customStyle="1" w:styleId="58">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59">
    <w:name w:val="表格内容五号"/>
    <w:basedOn w:val="1"/>
    <w:autoRedefine/>
    <w:qFormat/>
    <w:uiPriority w:val="99"/>
    <w:pPr>
      <w:widowControl w:val="0"/>
      <w:snapToGrid/>
      <w:spacing w:line="280" w:lineRule="exact"/>
      <w:ind w:firstLine="0" w:firstLineChars="0"/>
      <w:jc w:val="center"/>
      <w:textAlignment w:val="baseline"/>
    </w:pPr>
    <w:rPr>
      <w:sz w:val="21"/>
      <w:szCs w:val="20"/>
    </w:rPr>
  </w:style>
  <w:style w:type="paragraph" w:customStyle="1" w:styleId="60">
    <w:name w:val="表头五号"/>
    <w:basedOn w:val="1"/>
    <w:autoRedefine/>
    <w:qFormat/>
    <w:uiPriority w:val="0"/>
    <w:pPr>
      <w:spacing w:line="400" w:lineRule="exact"/>
      <w:ind w:firstLine="0" w:firstLineChars="0"/>
      <w:jc w:val="center"/>
    </w:pPr>
    <w:rPr>
      <w:b/>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image" Target="media/image15.jpe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jpeg"/><Relationship Id="rId24" Type="http://schemas.openxmlformats.org/officeDocument/2006/relationships/image" Target="media/image10.png"/><Relationship Id="rId23" Type="http://schemas.openxmlformats.org/officeDocument/2006/relationships/image" Target="media/image9.jpeg"/><Relationship Id="rId22" Type="http://schemas.openxmlformats.org/officeDocument/2006/relationships/image" Target="media/image8.wmf"/><Relationship Id="rId21" Type="http://schemas.openxmlformats.org/officeDocument/2006/relationships/oleObject" Target="embeddings/oleObject5.bin"/><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6.wmf"/><Relationship Id="rId17" Type="http://schemas.openxmlformats.org/officeDocument/2006/relationships/oleObject" Target="embeddings/oleObject3.bin"/><Relationship Id="rId16" Type="http://schemas.openxmlformats.org/officeDocument/2006/relationships/image" Target="media/image5.wmf"/><Relationship Id="rId15" Type="http://schemas.openxmlformats.org/officeDocument/2006/relationships/oleObject" Target="embeddings/oleObject2.bin"/><Relationship Id="rId14" Type="http://schemas.openxmlformats.org/officeDocument/2006/relationships/image" Target="media/image4.wmf"/><Relationship Id="rId13" Type="http://schemas.openxmlformats.org/officeDocument/2006/relationships/oleObject" Target="embeddings/oleObject1.bin"/><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66</Pages>
  <Words>119</Words>
  <Characters>151</Characters>
  <Lines>13</Lines>
  <Paragraphs>3</Paragraphs>
  <TotalTime>277</TotalTime>
  <ScaleCrop>false</ScaleCrop>
  <LinksUpToDate>false</LinksUpToDate>
  <CharactersWithSpaces>191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尚云环境</dc:creator>
  <cp:lastModifiedBy>角逐</cp:lastModifiedBy>
  <cp:lastPrinted>2025-03-11T12:56:00Z</cp:lastPrinted>
  <dcterms:modified xsi:type="dcterms:W3CDTF">2025-06-10T08:21:52Z</dcterms:modified>
  <dc:title>建设项目环境影响报告表（污染影响类）</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5D3E45A3E17F4A629CC90E35AEBA6ACD_13</vt:lpwstr>
  </property>
  <property fmtid="{D5CDD505-2E9C-101B-9397-08002B2CF9AE}" pid="4" name="KSOTemplateDocerSaveRecord">
    <vt:lpwstr>eyJoZGlkIjoiZGViNTliOGZjYTYwYzhiOTU3NDdhNjc4OWRjNTVkY2QiLCJ1c2VySWQiOiI0NDg5NzU5NTYifQ==</vt:lpwstr>
  </property>
</Properties>
</file>